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AB7DF7BB893A4D8EBB5A0F283F93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2C6D99C3029439F803CD0DC728F6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25C0E" w:rsidP="00325C0E">
                <w:r>
                  <w:t>Amanda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52E1E3DEA92741A0769E4C96CED8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807F2B8D0C6A4884BDF3D12C849DA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25C0E" w:rsidP="00325C0E">
                <w:proofErr w:type="spellStart"/>
                <w:r>
                  <w:t>Rath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5CCD979F0792D41A4E1299C8D24E3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892C05D9CEC6419EB376A79E57783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AF39DB5201B2A941896EEA19A5B6638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25C0E" w:rsidP="00325C0E">
                <w:proofErr w:type="spellStart"/>
                <w:r>
                  <w:rPr>
                    <w:lang w:val="en-US"/>
                  </w:rPr>
                  <w:t>Sadali</w:t>
                </w:r>
                <w:proofErr w:type="spellEnd"/>
                <w:r>
                  <w:rPr>
                    <w:lang w:val="en-US"/>
                  </w:rPr>
                  <w:t>, Ahmad (1924</w:t>
                </w:r>
                <w:r w:rsidRPr="00D17DF2">
                  <w:rPr>
                    <w:lang w:val="en-US"/>
                  </w:rPr>
                  <w:t xml:space="preserve"> – 1987)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4A96748277DCC4DA96B428C367B6A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E2D94DE9BBF844AABA04689F2F5EA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25C0E" w:rsidRDefault="00325C0E" w:rsidP="00E85A05">
                <w:pPr>
                  <w:rPr>
                    <w:color w:val="000000"/>
                  </w:rPr>
                </w:pPr>
                <w:r>
                  <w:t xml:space="preserve">Ahmad </w:t>
                </w:r>
                <w:proofErr w:type="spellStart"/>
                <w:r>
                  <w:t>Sadali</w:t>
                </w:r>
                <w:proofErr w:type="spellEnd"/>
                <w:r>
                  <w:t xml:space="preserve"> </w:t>
                </w:r>
                <w:r w:rsidRPr="00801A0E">
                  <w:t xml:space="preserve">was an iconic figure of the Bandung School and </w:t>
                </w:r>
                <w:r>
                  <w:t xml:space="preserve">remains a key influence as a </w:t>
                </w:r>
                <w:r w:rsidRPr="00801A0E">
                  <w:t xml:space="preserve">pioneer in modern abstract painting in Indonesia.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, along with But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Apin</w:t>
                </w:r>
                <w:proofErr w:type="spellEnd"/>
                <w:r w:rsidRPr="00801A0E">
                  <w:rPr>
                    <w:color w:val="000000"/>
                  </w:rPr>
                  <w:t xml:space="preserve">, and </w:t>
                </w:r>
                <w:proofErr w:type="spellStart"/>
                <w:r w:rsidRPr="00801A0E">
                  <w:rPr>
                    <w:color w:val="000000"/>
                  </w:rPr>
                  <w:t>Srihadi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Soedarsono</w:t>
                </w:r>
                <w:proofErr w:type="spellEnd"/>
                <w:r w:rsidRPr="00801A0E">
                  <w:rPr>
                    <w:color w:val="000000"/>
                  </w:rPr>
                  <w:t xml:space="preserve">, was among the first generation of Indonesian students in the </w:t>
                </w:r>
                <w:r w:rsidRPr="0096013D">
                  <w:rPr>
                    <w:color w:val="000000"/>
                  </w:rPr>
                  <w:t>Bandung School</w:t>
                </w:r>
                <w:r>
                  <w:rPr>
                    <w:color w:val="000000"/>
                  </w:rPr>
                  <w:t xml:space="preserve">. </w:t>
                </w:r>
                <w:r w:rsidRPr="00801A0E">
                  <w:rPr>
                    <w:color w:val="000000"/>
                  </w:rPr>
                  <w:t>His early work of the 1950s</w:t>
                </w:r>
                <w:r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demonstrates the direct influence of his teacher, Dutch painter </w:t>
                </w:r>
                <w:proofErr w:type="spellStart"/>
                <w:r w:rsidRPr="00801A0E">
                  <w:rPr>
                    <w:color w:val="000000"/>
                  </w:rPr>
                  <w:t>Ries</w:t>
                </w:r>
                <w:proofErr w:type="spellEnd"/>
                <w:r w:rsidRPr="00801A0E">
                  <w:rPr>
                    <w:color w:val="000000"/>
                  </w:rPr>
                  <w:t xml:space="preserve"> Mulder (1909-1973), whose own work was influenced by the Cubist work of Jacques Villon (18</w:t>
                </w:r>
                <w:bookmarkStart w:id="0" w:name="_GoBack"/>
                <w:bookmarkEnd w:id="0"/>
                <w:r w:rsidRPr="00801A0E">
                  <w:rPr>
                    <w:color w:val="000000"/>
                  </w:rPr>
                  <w:t xml:space="preserve">75-1963). Immediately upon graduation in 1953,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became one of the fi</w:t>
                </w:r>
                <w:r>
                  <w:rPr>
                    <w:color w:val="000000"/>
                  </w:rPr>
                  <w:t>rst Indonesian lecturers of the Academy</w:t>
                </w:r>
                <w:r w:rsidRPr="00801A0E">
                  <w:rPr>
                    <w:color w:val="000000"/>
                  </w:rPr>
                  <w:t xml:space="preserve">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a key figure in the development of a modern Islamic art and its discourse in Indonesia, for which the principles of abstraction in modern painting </w:t>
                </w:r>
                <w:r>
                  <w:rPr>
                    <w:color w:val="000000"/>
                  </w:rPr>
                  <w:t>were well suited</w:t>
                </w:r>
                <w:r w:rsidRPr="00801A0E">
                  <w:rPr>
                    <w:color w:val="000000"/>
                  </w:rPr>
                  <w:t xml:space="preserve">. A devout Muslim and </w:t>
                </w:r>
                <w:r>
                  <w:rPr>
                    <w:color w:val="000000"/>
                  </w:rPr>
                  <w:t xml:space="preserve">the </w:t>
                </w:r>
                <w:r w:rsidRPr="00801A0E">
                  <w:rPr>
                    <w:color w:val="000000"/>
                  </w:rPr>
                  <w:t xml:space="preserve">son of a founder of the </w:t>
                </w:r>
                <w:proofErr w:type="spellStart"/>
                <w:r w:rsidRPr="00801A0E">
                  <w:rPr>
                    <w:color w:val="000000"/>
                  </w:rPr>
                  <w:t>Garut</w:t>
                </w:r>
                <w:proofErr w:type="spellEnd"/>
                <w:r w:rsidRPr="00801A0E">
                  <w:rPr>
                    <w:color w:val="000000"/>
                  </w:rPr>
                  <w:t xml:space="preserve"> chapter of </w:t>
                </w:r>
                <w:proofErr w:type="spellStart"/>
                <w:r w:rsidRPr="00801A0E">
                  <w:rPr>
                    <w:color w:val="000000"/>
                  </w:rPr>
                  <w:t>Muhammadiyah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perceived painting as a spiritual act, as a way of seeking God’s blessing, and as imbued with </w:t>
                </w:r>
                <w:proofErr w:type="spellStart"/>
                <w:r w:rsidRPr="00801A0E">
                  <w:rPr>
                    <w:i/>
                    <w:color w:val="000000"/>
                  </w:rPr>
                  <w:t>tasawuf</w:t>
                </w:r>
                <w:proofErr w:type="spellEnd"/>
                <w:r w:rsidRPr="00801A0E">
                  <w:rPr>
                    <w:color w:val="000000"/>
                  </w:rPr>
                  <w:t xml:space="preserve"> (inner mystical quality). He referred to his paintings as visual meditations, and the act of painting as a form of </w:t>
                </w:r>
                <w:proofErr w:type="spellStart"/>
                <w:r w:rsidRPr="00801A0E">
                  <w:rPr>
                    <w:i/>
                    <w:color w:val="000000"/>
                  </w:rPr>
                  <w:t>zikir</w:t>
                </w:r>
                <w:proofErr w:type="spellEnd"/>
                <w:r w:rsidRPr="00801A0E">
                  <w:rPr>
                    <w:color w:val="000000"/>
                  </w:rPr>
                  <w:t xml:space="preserve"> (repetitive acts leading to a mindfulness of God).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FBCCD889B74B045B5D798D69E90B1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25C0E" w:rsidRDefault="00325C0E" w:rsidP="00325C0E">
                <w:pPr>
                  <w:rPr>
                    <w:color w:val="000000"/>
                  </w:rPr>
                </w:pPr>
                <w:r>
                  <w:t xml:space="preserve">Ahmad </w:t>
                </w:r>
                <w:proofErr w:type="spellStart"/>
                <w:r>
                  <w:t>Sadali</w:t>
                </w:r>
                <w:proofErr w:type="spellEnd"/>
                <w:r>
                  <w:t xml:space="preserve"> </w:t>
                </w:r>
                <w:r w:rsidRPr="00801A0E">
                  <w:t xml:space="preserve">was an iconic figure of the Bandung School and </w:t>
                </w:r>
                <w:r>
                  <w:t xml:space="preserve">remains a key influence as a </w:t>
                </w:r>
                <w:r w:rsidRPr="00801A0E">
                  <w:t xml:space="preserve">pioneer in modern abstract painting in Indonesia.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, along with But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Apin</w:t>
                </w:r>
                <w:proofErr w:type="spellEnd"/>
                <w:r w:rsidRPr="00801A0E">
                  <w:rPr>
                    <w:color w:val="000000"/>
                  </w:rPr>
                  <w:t xml:space="preserve">, and </w:t>
                </w:r>
                <w:proofErr w:type="spellStart"/>
                <w:r w:rsidRPr="00801A0E">
                  <w:rPr>
                    <w:color w:val="000000"/>
                  </w:rPr>
                  <w:t>Srihadi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Soedarsono</w:t>
                </w:r>
                <w:proofErr w:type="spellEnd"/>
                <w:r w:rsidRPr="00801A0E">
                  <w:rPr>
                    <w:color w:val="000000"/>
                  </w:rPr>
                  <w:t xml:space="preserve">, was among the first generation of Indonesian students in the </w:t>
                </w:r>
                <w:r w:rsidRPr="0096013D">
                  <w:rPr>
                    <w:color w:val="000000"/>
                  </w:rPr>
                  <w:t>Bandung School</w:t>
                </w:r>
                <w:r>
                  <w:rPr>
                    <w:color w:val="000000"/>
                  </w:rPr>
                  <w:t xml:space="preserve">. </w:t>
                </w:r>
                <w:r w:rsidRPr="00801A0E">
                  <w:rPr>
                    <w:color w:val="000000"/>
                  </w:rPr>
                  <w:t>His early work of the 1950s</w:t>
                </w:r>
                <w:r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demonstrates the direct influence of his teacher, Dutch painter </w:t>
                </w:r>
                <w:proofErr w:type="spellStart"/>
                <w:r w:rsidRPr="00801A0E">
                  <w:rPr>
                    <w:color w:val="000000"/>
                  </w:rPr>
                  <w:t>Ries</w:t>
                </w:r>
                <w:proofErr w:type="spellEnd"/>
                <w:r w:rsidRPr="00801A0E">
                  <w:rPr>
                    <w:color w:val="000000"/>
                  </w:rPr>
                  <w:t xml:space="preserve"> Mulder (1909-1973), whose own work was influenced by the Cubist work of Jacques Villon (1875-1963). Immediately upon graduation in 1953,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became one of the fi</w:t>
                </w:r>
                <w:r>
                  <w:rPr>
                    <w:color w:val="000000"/>
                  </w:rPr>
                  <w:t>rst Indonesian lecturers of the Academy</w:t>
                </w:r>
                <w:r w:rsidRPr="00801A0E">
                  <w:rPr>
                    <w:color w:val="000000"/>
                  </w:rPr>
                  <w:t xml:space="preserve">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a key figure in the development of a modern Islamic art and its discourse in Indonesia, for which the principles of abstraction in modern painting </w:t>
                </w:r>
                <w:r>
                  <w:rPr>
                    <w:color w:val="000000"/>
                  </w:rPr>
                  <w:t>were well suited</w:t>
                </w:r>
                <w:r w:rsidRPr="00801A0E">
                  <w:rPr>
                    <w:color w:val="000000"/>
                  </w:rPr>
                  <w:t xml:space="preserve">. A devout Muslim and </w:t>
                </w:r>
                <w:r>
                  <w:rPr>
                    <w:color w:val="000000"/>
                  </w:rPr>
                  <w:t xml:space="preserve">the </w:t>
                </w:r>
                <w:r w:rsidRPr="00801A0E">
                  <w:rPr>
                    <w:color w:val="000000"/>
                  </w:rPr>
                  <w:t xml:space="preserve">son of a founder of the </w:t>
                </w:r>
                <w:proofErr w:type="spellStart"/>
                <w:r w:rsidRPr="00801A0E">
                  <w:rPr>
                    <w:color w:val="000000"/>
                  </w:rPr>
                  <w:t>Garut</w:t>
                </w:r>
                <w:proofErr w:type="spellEnd"/>
                <w:r w:rsidRPr="00801A0E">
                  <w:rPr>
                    <w:color w:val="000000"/>
                  </w:rPr>
                  <w:t xml:space="preserve"> chapter of </w:t>
                </w:r>
                <w:proofErr w:type="spellStart"/>
                <w:r w:rsidRPr="00801A0E">
                  <w:rPr>
                    <w:color w:val="000000"/>
                  </w:rPr>
                  <w:t>Muhammadiyah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perceived painting as a spiritual act, as a way of seeking God’s blessing, and as imbued with </w:t>
                </w:r>
                <w:proofErr w:type="spellStart"/>
                <w:r w:rsidRPr="00801A0E">
                  <w:rPr>
                    <w:i/>
                    <w:color w:val="000000"/>
                  </w:rPr>
                  <w:t>tasawuf</w:t>
                </w:r>
                <w:proofErr w:type="spellEnd"/>
                <w:r w:rsidRPr="00801A0E">
                  <w:rPr>
                    <w:color w:val="000000"/>
                  </w:rPr>
                  <w:t xml:space="preserve"> (inner mystical quality). He referred to his paintings as visual meditations, and the act of painting as a form of </w:t>
                </w:r>
                <w:proofErr w:type="spellStart"/>
                <w:r w:rsidRPr="00801A0E">
                  <w:rPr>
                    <w:i/>
                    <w:color w:val="000000"/>
                  </w:rPr>
                  <w:t>zikir</w:t>
                </w:r>
                <w:proofErr w:type="spellEnd"/>
                <w:r w:rsidRPr="00801A0E">
                  <w:rPr>
                    <w:color w:val="000000"/>
                  </w:rPr>
                  <w:t xml:space="preserve"> (repetitive acts leading to a mindfulness of God). </w:t>
                </w:r>
              </w:p>
              <w:p w:rsidR="00325C0E" w:rsidRDefault="00325C0E" w:rsidP="00325C0E">
                <w:pPr>
                  <w:rPr>
                    <w:color w:val="000000"/>
                  </w:rPr>
                </w:pPr>
              </w:p>
              <w:p w:rsidR="00325C0E" w:rsidRDefault="00325C0E" w:rsidP="00325C0E">
                <w:pPr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Sadali’s</w:t>
                </w:r>
                <w:proofErr w:type="spellEnd"/>
                <w:r>
                  <w:rPr>
                    <w:color w:val="000000"/>
                  </w:rPr>
                  <w:t xml:space="preserve"> works become increasingly abstract and devoid of narrative</w:t>
                </w:r>
                <w:r w:rsidRPr="00801A0E">
                  <w:rPr>
                    <w:color w:val="000000"/>
                  </w:rPr>
                  <w:t xml:space="preserve"> following his studies in the United States as a Rockefeller Foundation grant recipient in 1956-57. </w:t>
                </w:r>
                <w:r>
                  <w:rPr>
                    <w:color w:val="000000"/>
                  </w:rPr>
                  <w:t>He</w:t>
                </w:r>
                <w:r w:rsidRPr="00801A0E">
                  <w:rPr>
                    <w:color w:val="000000"/>
                  </w:rPr>
                  <w:t xml:space="preserve"> studied painting and arts education at the Iowa State University, and at Columbia University and the Art Students League in New York. During his tenure as </w:t>
                </w:r>
                <w:r>
                  <w:rPr>
                    <w:color w:val="000000"/>
                  </w:rPr>
                  <w:t>l</w:t>
                </w:r>
                <w:r w:rsidRPr="00801A0E">
                  <w:rPr>
                    <w:color w:val="000000"/>
                  </w:rPr>
                  <w:t xml:space="preserve">ecturer, </w:t>
                </w:r>
                <w:r>
                  <w:rPr>
                    <w:color w:val="000000"/>
                  </w:rPr>
                  <w:t>p</w:t>
                </w:r>
                <w:r w:rsidRPr="00801A0E">
                  <w:rPr>
                    <w:color w:val="000000"/>
                  </w:rPr>
                  <w:t xml:space="preserve">rofessor and later Dean of the Fine Arts Department at ITB,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known for his </w:t>
                </w:r>
                <w:r>
                  <w:t>innovations in</w:t>
                </w:r>
                <w:r w:rsidRPr="00801A0E">
                  <w:t xml:space="preserve"> the medium and practice of painting. Influencing seve</w:t>
                </w:r>
                <w:r>
                  <w:t>ral generations of ITB students h</w:t>
                </w:r>
                <w:r w:rsidRPr="00801A0E">
                  <w:t xml:space="preserve">e introduced new materials considered unconventional by </w:t>
                </w:r>
                <w:proofErr w:type="spellStart"/>
                <w:r w:rsidRPr="00801A0E">
                  <w:t>preexisting</w:t>
                </w:r>
                <w:proofErr w:type="spellEnd"/>
                <w:r w:rsidRPr="00801A0E">
                  <w:t xml:space="preserve"> standards to build </w:t>
                </w:r>
                <w:r w:rsidRPr="00801A0E">
                  <w:rPr>
                    <w:color w:val="000000"/>
                  </w:rPr>
                  <w:t>thick textures onto the surface pla</w:t>
                </w:r>
                <w:r>
                  <w:rPr>
                    <w:color w:val="000000"/>
                  </w:rPr>
                  <w:t>ne</w:t>
                </w:r>
                <w:r w:rsidRPr="00801A0E">
                  <w:rPr>
                    <w:color w:val="000000"/>
                  </w:rPr>
                  <w:t xml:space="preserve">, as well as the use of </w:t>
                </w:r>
                <w:r w:rsidRPr="00801A0E">
                  <w:rPr>
                    <w:color w:val="000000"/>
                  </w:rPr>
                  <w:lastRenderedPageBreak/>
                  <w:t xml:space="preserve">powdered pigments, and gold paint and gold leaf. Besides numerous solo and group exhibitions in country and internationally, </w:t>
                </w:r>
                <w:r>
                  <w:rPr>
                    <w:color w:val="000000"/>
                  </w:rPr>
                  <w:t xml:space="preserve">beginning in the late 1960s </w:t>
                </w:r>
                <w:r w:rsidRPr="00801A0E">
                  <w:rPr>
                    <w:color w:val="000000"/>
                  </w:rPr>
                  <w:t>he participated</w:t>
                </w:r>
                <w:r>
                  <w:rPr>
                    <w:color w:val="000000"/>
                  </w:rPr>
                  <w:t>,</w:t>
                </w:r>
                <w:r w:rsidRPr="00605FB9"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along with fellow ITB artist, A.D. </w:t>
                </w:r>
                <w:proofErr w:type="spellStart"/>
                <w:r w:rsidRPr="00801A0E">
                  <w:rPr>
                    <w:color w:val="000000"/>
                  </w:rPr>
                  <w:t>Pirous</w:t>
                </w:r>
                <w:proofErr w:type="spellEnd"/>
                <w:r>
                  <w:rPr>
                    <w:color w:val="000000"/>
                  </w:rPr>
                  <w:t>,</w:t>
                </w:r>
                <w:r w:rsidRPr="00801A0E">
                  <w:rPr>
                    <w:color w:val="000000"/>
                  </w:rPr>
                  <w:t xml:space="preserve"> in many group exhibitions </w:t>
                </w:r>
                <w:r>
                  <w:rPr>
                    <w:color w:val="000000"/>
                  </w:rPr>
                  <w:t xml:space="preserve">of specifically </w:t>
                </w:r>
                <w:r w:rsidRPr="00801A0E">
                  <w:rPr>
                    <w:color w:val="000000"/>
                  </w:rPr>
                  <w:t xml:space="preserve">Islamic artists.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8F9965D3F13C458181130534329FF4"/>
              </w:placeholder>
            </w:sdtPr>
            <w:sdtEndPr/>
            <w:sdtContent>
              <w:p w:rsidR="00325C0E" w:rsidRDefault="00325C0E" w:rsidP="00325C0E">
                <w:sdt>
                  <w:sdtPr>
                    <w:id w:val="7518629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Buj72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(Iskandar)</w:t>
                    </w:r>
                    <w:r>
                      <w:fldChar w:fldCharType="end"/>
                    </w:r>
                  </w:sdtContent>
                </w:sdt>
              </w:p>
              <w:p w:rsidR="00325C0E" w:rsidRDefault="00325C0E" w:rsidP="00325C0E">
                <w:sdt>
                  <w:sdtPr>
                    <w:id w:val="-4016117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Geo10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(George)</w:t>
                    </w:r>
                    <w:r>
                      <w:fldChar w:fldCharType="end"/>
                    </w:r>
                  </w:sdtContent>
                </w:sdt>
              </w:p>
              <w:p w:rsidR="00325C0E" w:rsidRDefault="00325C0E" w:rsidP="00325C0E">
                <w:sdt>
                  <w:sdtPr>
                    <w:id w:val="5860409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Hol671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(Holt)</w:t>
                    </w:r>
                    <w:r>
                      <w:fldChar w:fldCharType="end"/>
                    </w:r>
                  </w:sdtContent>
                </w:sdt>
              </w:p>
              <w:p w:rsidR="003235A7" w:rsidRDefault="00325C0E" w:rsidP="00325C0E">
                <w:sdt>
                  <w:sdtPr>
                    <w:id w:val="20718401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Spa90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(Spanjaard)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C0E" w:rsidRDefault="00325C0E" w:rsidP="007A0D55">
      <w:pPr>
        <w:spacing w:after="0" w:line="240" w:lineRule="auto"/>
      </w:pPr>
      <w:r>
        <w:separator/>
      </w:r>
    </w:p>
  </w:endnote>
  <w:endnote w:type="continuationSeparator" w:id="0">
    <w:p w:rsidR="00325C0E" w:rsidRDefault="00325C0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C0E" w:rsidRDefault="00325C0E" w:rsidP="007A0D55">
      <w:pPr>
        <w:spacing w:after="0" w:line="240" w:lineRule="auto"/>
      </w:pPr>
      <w:r>
        <w:separator/>
      </w:r>
    </w:p>
  </w:footnote>
  <w:footnote w:type="continuationSeparator" w:id="0">
    <w:p w:rsidR="00325C0E" w:rsidRDefault="00325C0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5C0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5C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5C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AB7DF7BB893A4D8EBB5A0F283F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C0879-761B-4749-8848-F0A96F623D37}"/>
      </w:docPartPr>
      <w:docPartBody>
        <w:p w:rsidR="00000000" w:rsidRDefault="004E117A">
          <w:pPr>
            <w:pStyle w:val="88AB7DF7BB893A4D8EBB5A0F283F93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2C6D99C3029439F803CD0DC72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6C86-852B-BB4F-9C46-7726CFF05620}"/>
      </w:docPartPr>
      <w:docPartBody>
        <w:p w:rsidR="00000000" w:rsidRDefault="004E117A">
          <w:pPr>
            <w:pStyle w:val="CF62C6D99C3029439F803CD0DC728F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52E1E3DEA92741A0769E4C96CE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15C8-A88B-504B-9EB6-D674F5D2AEB8}"/>
      </w:docPartPr>
      <w:docPartBody>
        <w:p w:rsidR="00000000" w:rsidRDefault="004E117A">
          <w:pPr>
            <w:pStyle w:val="6752E1E3DEA92741A0769E4C96CED8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807F2B8D0C6A4884BDF3D12C849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305C0-11E6-864B-B76E-8B21D6663668}"/>
      </w:docPartPr>
      <w:docPartBody>
        <w:p w:rsidR="00000000" w:rsidRDefault="004E117A">
          <w:pPr>
            <w:pStyle w:val="B4807F2B8D0C6A4884BDF3D12C849DA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5CCD979F0792D41A4E1299C8D24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D30A6-C180-3B42-A025-39389F5298EF}"/>
      </w:docPartPr>
      <w:docPartBody>
        <w:p w:rsidR="00000000" w:rsidRDefault="004E117A">
          <w:pPr>
            <w:pStyle w:val="A5CCD979F0792D41A4E1299C8D24E3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892C05D9CEC6419EB376A79E57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F08BC-B4AF-EE45-A7A1-C90F7AB8DE85}"/>
      </w:docPartPr>
      <w:docPartBody>
        <w:p w:rsidR="00000000" w:rsidRDefault="004E117A">
          <w:pPr>
            <w:pStyle w:val="50892C05D9CEC6419EB376A79E5778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39DB5201B2A941896EEA19A5B66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94F0D-0FDC-214A-9B0F-37A6AADD6A55}"/>
      </w:docPartPr>
      <w:docPartBody>
        <w:p w:rsidR="00000000" w:rsidRDefault="004E117A">
          <w:pPr>
            <w:pStyle w:val="AF39DB5201B2A941896EEA19A5B6638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A96748277DCC4DA96B428C367B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7809-592B-9643-B4FD-6D1FF93F4D6D}"/>
      </w:docPartPr>
      <w:docPartBody>
        <w:p w:rsidR="00000000" w:rsidRDefault="004E117A">
          <w:pPr>
            <w:pStyle w:val="A4A96748277DCC4DA96B428C367B6A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2D94DE9BBF844AABA04689F2F5E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393C-34CD-C14D-A625-0019FEB759B9}"/>
      </w:docPartPr>
      <w:docPartBody>
        <w:p w:rsidR="00000000" w:rsidRDefault="004E117A">
          <w:pPr>
            <w:pStyle w:val="EE2D94DE9BBF844AABA04689F2F5EA7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BCCD889B74B045B5D798D69E90B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EBA28-DF88-3C47-98CF-EDD14124AF74}"/>
      </w:docPartPr>
      <w:docPartBody>
        <w:p w:rsidR="00000000" w:rsidRDefault="004E117A">
          <w:pPr>
            <w:pStyle w:val="7FBCCD889B74B045B5D798D69E90B1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8F9965D3F13C45818113053432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EF558-DE51-2143-B4A3-74662DBA7847}"/>
      </w:docPartPr>
      <w:docPartBody>
        <w:p w:rsidR="00000000" w:rsidRDefault="004E117A">
          <w:pPr>
            <w:pStyle w:val="8F8F9965D3F13C458181130534329F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AB7DF7BB893A4D8EBB5A0F283F93AD">
    <w:name w:val="88AB7DF7BB893A4D8EBB5A0F283F93AD"/>
  </w:style>
  <w:style w:type="paragraph" w:customStyle="1" w:styleId="CF62C6D99C3029439F803CD0DC728F65">
    <w:name w:val="CF62C6D99C3029439F803CD0DC728F65"/>
  </w:style>
  <w:style w:type="paragraph" w:customStyle="1" w:styleId="6752E1E3DEA92741A0769E4C96CED8DB">
    <w:name w:val="6752E1E3DEA92741A0769E4C96CED8DB"/>
  </w:style>
  <w:style w:type="paragraph" w:customStyle="1" w:styleId="B4807F2B8D0C6A4884BDF3D12C849DA1">
    <w:name w:val="B4807F2B8D0C6A4884BDF3D12C849DA1"/>
  </w:style>
  <w:style w:type="paragraph" w:customStyle="1" w:styleId="A5CCD979F0792D41A4E1299C8D24E331">
    <w:name w:val="A5CCD979F0792D41A4E1299C8D24E331"/>
  </w:style>
  <w:style w:type="paragraph" w:customStyle="1" w:styleId="50892C05D9CEC6419EB376A79E57783C">
    <w:name w:val="50892C05D9CEC6419EB376A79E57783C"/>
  </w:style>
  <w:style w:type="paragraph" w:customStyle="1" w:styleId="AF39DB5201B2A941896EEA19A5B6638A">
    <w:name w:val="AF39DB5201B2A941896EEA19A5B6638A"/>
  </w:style>
  <w:style w:type="paragraph" w:customStyle="1" w:styleId="A4A96748277DCC4DA96B428C367B6AA5">
    <w:name w:val="A4A96748277DCC4DA96B428C367B6AA5"/>
  </w:style>
  <w:style w:type="paragraph" w:customStyle="1" w:styleId="EE2D94DE9BBF844AABA04689F2F5EA7C">
    <w:name w:val="EE2D94DE9BBF844AABA04689F2F5EA7C"/>
  </w:style>
  <w:style w:type="paragraph" w:customStyle="1" w:styleId="7FBCCD889B74B045B5D798D69E90B16E">
    <w:name w:val="7FBCCD889B74B045B5D798D69E90B16E"/>
  </w:style>
  <w:style w:type="paragraph" w:customStyle="1" w:styleId="8F8F9965D3F13C458181130534329FF4">
    <w:name w:val="8F8F9965D3F13C458181130534329F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AB7DF7BB893A4D8EBB5A0F283F93AD">
    <w:name w:val="88AB7DF7BB893A4D8EBB5A0F283F93AD"/>
  </w:style>
  <w:style w:type="paragraph" w:customStyle="1" w:styleId="CF62C6D99C3029439F803CD0DC728F65">
    <w:name w:val="CF62C6D99C3029439F803CD0DC728F65"/>
  </w:style>
  <w:style w:type="paragraph" w:customStyle="1" w:styleId="6752E1E3DEA92741A0769E4C96CED8DB">
    <w:name w:val="6752E1E3DEA92741A0769E4C96CED8DB"/>
  </w:style>
  <w:style w:type="paragraph" w:customStyle="1" w:styleId="B4807F2B8D0C6A4884BDF3D12C849DA1">
    <w:name w:val="B4807F2B8D0C6A4884BDF3D12C849DA1"/>
  </w:style>
  <w:style w:type="paragraph" w:customStyle="1" w:styleId="A5CCD979F0792D41A4E1299C8D24E331">
    <w:name w:val="A5CCD979F0792D41A4E1299C8D24E331"/>
  </w:style>
  <w:style w:type="paragraph" w:customStyle="1" w:styleId="50892C05D9CEC6419EB376A79E57783C">
    <w:name w:val="50892C05D9CEC6419EB376A79E57783C"/>
  </w:style>
  <w:style w:type="paragraph" w:customStyle="1" w:styleId="AF39DB5201B2A941896EEA19A5B6638A">
    <w:name w:val="AF39DB5201B2A941896EEA19A5B6638A"/>
  </w:style>
  <w:style w:type="paragraph" w:customStyle="1" w:styleId="A4A96748277DCC4DA96B428C367B6AA5">
    <w:name w:val="A4A96748277DCC4DA96B428C367B6AA5"/>
  </w:style>
  <w:style w:type="paragraph" w:customStyle="1" w:styleId="EE2D94DE9BBF844AABA04689F2F5EA7C">
    <w:name w:val="EE2D94DE9BBF844AABA04689F2F5EA7C"/>
  </w:style>
  <w:style w:type="paragraph" w:customStyle="1" w:styleId="7FBCCD889B74B045B5D798D69E90B16E">
    <w:name w:val="7FBCCD889B74B045B5D798D69E90B16E"/>
  </w:style>
  <w:style w:type="paragraph" w:customStyle="1" w:styleId="8F8F9965D3F13C458181130534329FF4">
    <w:name w:val="8F8F9965D3F13C458181130534329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Geo10</b:Tag>
    <b:SourceType>Book</b:SourceType>
    <b:Guid>{B638A2A6-F9A1-8543-9AA8-1517C9628751}</b:Guid>
    <b:Title>Picturing Islam: Art and Ethics in a Muslim Lifeworld</b:Title>
    <b:City>West Sussex; Malden</b:City>
    <b:Publisher>Chichester; Wiley-Blackwell</b:Publisher>
    <b:Year>2010</b:Year>
    <b:Author>
      <b:Author>
        <b:NameList>
          <b:Person>
            <b:Last>George</b:Last>
            <b:Middle>M.</b:Middle>
            <b:First>Kenneth</b:First>
          </b:Person>
        </b:NameList>
      </b:Author>
    </b:Author>
    <b:RefOrder>2</b:RefOrder>
  </b:Source>
  <b:Source>
    <b:Tag>Hol671</b:Tag>
    <b:SourceType>BookSection</b:SourceType>
    <b:Guid>{6A1FDE6C-AC02-5341-A9CF-1193D6EACE56}</b:Guid>
    <b:Title>The Great Debate</b:Title>
    <b:City>Ithaca</b:City>
    <b:Publisher>Cornell UP</b:Publisher>
    <b:Year>1967</b:Year>
    <b:Pages>211-52</b:Pages>
    <b:Author>
      <b:Author>
        <b:NameList>
          <b:Person>
            <b:Last>Holt</b:Last>
            <b:First>Claire</b:First>
          </b:Person>
        </b:NameList>
      </b:Author>
    </b:Author>
    <b:JournalName>Art in Indonesia: Continuities and Change</b:JournalName>
    <b:BookTitle>Art in Indonesia: Continuities and Change</b:BookTitle>
    <b:RefOrder>3</b:RefOrder>
  </b:Source>
  <b:Source>
    <b:Tag>Spa90</b:Tag>
    <b:SourceType>BookSection</b:SourceType>
    <b:Guid>{60FE51C8-ED20-9849-ACFA-F3A6D3EC50DA}</b:Guid>
    <b:Title>Bandung the Laboratory of the West</b:Title>
    <b:BookTitle>Modern Indonesian Art: Three Generations of Tradition and Change</b:BookTitle>
    <b:City>Jakarta; New York</b:City>
    <b:Publisher>Panitia Pameran KIAS; Festival Indonesia</b:Publisher>
    <b:Year>1990</b:Year>
    <b:Pages>54-77</b:Pages>
    <b:Author>
      <b:Author>
        <b:NameList>
          <b:Person>
            <b:Last>Spanjaard</b:Last>
            <b:First>Helena</b:First>
          </b:Person>
        </b:NameList>
      </b:Author>
      <b:Editor>
        <b:NameList>
          <b:Person>
            <b:Last>Fischer</b:Last>
            <b:First>Joseph</b:First>
          </b:Person>
        </b:NameList>
      </b:Editor>
    </b:Author>
    <b:RefOrder>4</b:RefOrder>
  </b:Source>
  <b:Source>
    <b:Tag>Buj72</b:Tag>
    <b:SourceType>BookSection</b:SourceType>
    <b:Guid>{E4A0B8C9-75F8-BA40-AA1F-0BC275E68BEC}</b:Guid>
    <b:Title>Seni Melalui Virtuositas: Suatu Portret tentang Ahmad Sadali [Art through Virtuosity: A Portrait about Ahmad Sadali]</b:Title>
    <b:BookTitle>Seni Rupa Indonesia Dalam Kritik Dan Esai [Indonesian Art in Criticism and Essay]</b:BookTitle>
    <b:City>Jakarta</b:City>
    <b:Publisher>Dewan Kesenian Jakarta</b:Publisher>
    <b:Year>1972</b:Year>
    <b:Pages>201-205</b:Pages>
    <b:Author>
      <b:Editor>
        <b:NameList>
          <b:Person>
            <b:Last>Bujono</b:Last>
            <b:First>Bambang</b:First>
          </b:Person>
          <b:Person>
            <b:Last>Wicaksono</b:Last>
            <b:First>Adi</b:First>
          </b:Person>
        </b:NameList>
      </b:Editor>
      <b:Author>
        <b:NameList>
          <b:Person>
            <b:Last>Iskandar</b:Last>
            <b:First>Popo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B9065A-B955-B643-A467-3D2DD2AA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2015-03-14T01:56:00Z</dcterms:created>
  <dcterms:modified xsi:type="dcterms:W3CDTF">2015-03-14T02:11:00Z</dcterms:modified>
</cp:coreProperties>
</file>