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Synthetic Exterior Point-Cloud Benchmarking for Rockpile Fragmentation: Fragment Generation, Rockpile Construction, Exterior-Only Learning, and EdgeConv P80 Estimation</w:t>
      </w:r>
    </w:p>
    <w:p>
      <w:pPr>
        <w:jc w:val="center"/>
      </w:pPr>
      <w:r>
        <w:rPr>
          <w:b w:val="0"/>
          <w:sz w:val="22"/>
        </w:rPr>
        <w:t>Namgyu (Noah) Ha</w:t>
      </w:r>
    </w:p>
    <w:p>
      <w:pPr>
        <w:jc w:val="center"/>
      </w:pPr>
      <w:r>
        <w:rPr>
          <w:b w:val="0"/>
          <w:sz w:val="20"/>
        </w:rPr>
        <w:t>Department of Energy and Resources Engineering, National Korea Maritime and Ocean University, Busan, Republic of Korea</w:t>
      </w:r>
    </w:p>
    <w:p>
      <w:pPr>
        <w:pStyle w:val="Heading1"/>
      </w:pPr>
      <w:r>
        <w:t>Abstract</w:t>
      </w:r>
    </w:p>
    <w:p>
      <w:r>
        <w:t>Reliable rock-fragmentation monitoring is useful for blast assessment and mine-to-mill control, but real rockpile point clouds rarely provide point-level fragment labels or independent particle-size-distribution references. This paper presents a synthetic exterior point-cloud benchmark designed as a pre-field testbed for visible-surface PSD proxy estimation. The workflow starts from a library of synthetic rock-like fragment meshes with known volume and identity. These fragments are placed into labelled rockpile scenes, converted to exterior-only point-cloud scans, and used to train a graph edge-affinity model. The learning target is not a scene-specific fragment-ID class; instead, a DGCNN/EdgeConv model predicts whether neighbouring exterior points belong to the same fragment. Connected components of high-affinity edges become visible-surface clusters, and those clusters are converted into PSD and P80 proxy estimates. This formulation was chosen because fragment IDs are arbitrary across scenes, because local boundary decisions depend on neighbourhood geometry, and because hand-designed clustering rules such as DBSCAN or normal/curvature region growing struggle with irregular point density, touching particles, and over-merged surface patches. The latest benchmark run uses 100 no-boundary synthetic exterior scenes with 150 requested fragments per scene and a 60/20/20 train/validation/test split. The EdgeConv model reached validation average precision of 0.9313 after 24 epochs. However, validation selected a high edge threshold of 0.997, and the held-out test mean absolute P80 error was 19.04% with a mean noise fraction of 0.603. The result shows that EdgeConv learns useful same-fragment affinity, but it also makes clear that threshold calibration and connected-component post-processing remain the main obstacle before field deployment.</w:t>
      </w:r>
    </w:p>
    <w:p>
      <w:r>
        <w:t>Keywords: rock fragmentation; synthetic rockpile; exterior point cloud; visible-surface PSD proxy; EdgeConv; DGCNN; P80</w:t>
      </w:r>
    </w:p>
    <w:p>
      <w:pPr>
        <w:pStyle w:val="Heading1"/>
      </w:pPr>
      <w:r>
        <w:t>Introduction</w:t>
      </w:r>
    </w:p>
    <w:p>
      <w:r>
        <w:t>Post-blast fragmentation affects loading, hauling, crushing, and comminution. Excessive fines or oversize material can lower equipment productivity and increase energy demand, so fragmentation monitoring is relevant to mine-to-mill decision support.</w:t>
      </w:r>
    </w:p>
    <w:p>
      <w:r>
        <w:t>Three-dimensional photogrammetry and lidar point clouds provide richer surface geometry than single images. They preserve relative position, local slope, and surface continuity. Nevertheless, a rockpile point cloud still observes only the exterior surface. Buried contacts and the back sides of fragments are unavailable. Consequently, a PSD estimated from a surface point cloud should be interpreted as a visible-surface proxy unless it is calibrated against independent field measurements.</w:t>
      </w:r>
    </w:p>
    <w:p>
      <w:r>
        <w:t>The benchmark reported here asks a narrow and reproducible question: from labelled synthetic rock fragments arranged into rockpiles, how much useful P80 proxy information can be recovered when the learning model sees only exterior points?</w:t>
      </w:r>
    </w:p>
    <w:p>
      <w:pPr>
        <w:jc w:val="center"/>
      </w:pPr>
      <w:r>
        <w:drawing>
          <wp:inline xmlns:a="http://schemas.openxmlformats.org/drawingml/2006/main" xmlns:pic="http://schemas.openxmlformats.org/drawingml/2006/picture">
            <wp:extent cx="5394960" cy="2247900"/>
            <wp:docPr id="1" name="Picture 1"/>
            <wp:cNvGraphicFramePr>
              <a:graphicFrameLocks noChangeAspect="1"/>
            </wp:cNvGraphicFramePr>
            <a:graphic>
              <a:graphicData uri="http://schemas.openxmlformats.org/drawingml/2006/picture">
                <pic:pic>
                  <pic:nvPicPr>
                    <pic:cNvPr id="0" name="workflow_schematic.png"/>
                    <pic:cNvPicPr/>
                  </pic:nvPicPr>
                  <pic:blipFill>
                    <a:blip r:embed="rId9"/>
                    <a:stretch>
                      <a:fillRect/>
                    </a:stretch>
                  </pic:blipFill>
                  <pic:spPr>
                    <a:xfrm>
                      <a:off x="0" y="0"/>
                      <a:ext cx="5394960" cy="2247900"/>
                    </a:xfrm>
                    <a:prstGeom prst="rect"/>
                  </pic:spPr>
                </pic:pic>
              </a:graphicData>
            </a:graphic>
          </wp:inline>
        </w:drawing>
      </w:r>
    </w:p>
    <w:p>
      <w:pPr>
        <w:spacing w:after="200"/>
        <w:jc w:val="center"/>
      </w:pPr>
      <w:r>
        <w:rPr>
          <w:i/>
        </w:rPr>
        <w:t>Figure 1. Benchmark workflow from synthetic fragments to exterior-only learning and field-validation roadmap.</w:t>
      </w:r>
    </w:p>
    <w:p>
      <w:pPr>
        <w:pStyle w:val="Heading1"/>
      </w:pPr>
      <w:r>
        <w:t>Related Work and Benchmark Positioning</w:t>
      </w:r>
    </w:p>
    <w:p>
      <w:r>
        <w:t>Fragmentation measurement sits between blasting, materials handling, crushing, and sustainability. Blast outcomes influence downstream energy use, productivity, rehandling, and oversize management, so fragmentation monitoring is part of a broader mine-to-mill control problem rather than a purely visual segmentation problem.</w:t>
      </w:r>
    </w:p>
    <w:p>
      <w:r>
        <w:t>Image-based systems such as WipFrag and related digital image-processing approaches have been widely used because cameras are cheap and operationally convenient. Their limitation is not usefulness; it is the unavoidable ambiguity of inferring three-dimensional particle size from a two-dimensional visible surface.</w:t>
      </w:r>
    </w:p>
    <w:p>
      <w:r>
        <w:t>Three-dimensional reconstruction methods reduce some of that ambiguity. Structure-from-motion, multi-view stereo, and lidar workflows recover scale, surface orientation, and spatial context. Yet these data sources still observe only exposed surfaces. A surface scan cannot see buried material, so a fair benchmark must separate visible-surface proxy recovery from full-volume PSD measurement.</w:t>
      </w:r>
    </w:p>
    <w:p>
      <w:r>
        <w:t>Point-cloud learning offers useful tools for this exterior-surface problem, but the target must be chosen carefully. Classical partition metrics such as adjusted Rand index and normalized mutual information are useful diagnostics, but a P80 proxy can be sensitive to a small number of large over-merged or over-split components. The benchmark therefore reports both edge-learning behaviour and PSD proxy behaviour.</w:t>
      </w:r>
    </w:p>
    <w:p>
      <w:pPr>
        <w:pStyle w:val="Heading1"/>
      </w:pPr>
      <w:r>
        <w:t>Synthetic Fragment Generation</w:t>
      </w:r>
    </w:p>
    <w:p>
      <w:r>
        <w:t>The benchmark begins with a synthetic fragment library. Each fragment is a rock-like mesh with a known identity, volume, and equivalent spherical diameter. Fragment meshes are generated from randomly sampled surface directions, anisotropic axis scaling, and radial jitter, then stored as convex rock-like hulls.</w:t>
      </w:r>
    </w:p>
    <w:p>
      <w:r>
        <w:t>Because every mesh retains identity and volume, labels can be transferred through placement, point sampling, exterior filtering, graph construction, and evaluation. This gives the benchmark a control that field data usually lacks: a known fragment-volume reference exists before any point-cloud clustering is performed.</w:t>
      </w:r>
    </w:p>
    <w:p>
      <w:pPr>
        <w:pStyle w:val="Heading1"/>
      </w:pPr>
      <w:r>
        <w:t>Rockpile Construction</w:t>
      </w:r>
    </w:p>
    <w:p>
      <w:r>
        <w:t>Fragments from the library are placed into multiple synthetic rockpile scenes. Earlier versions used a cone/drop-and-settle heuristic inspired by the Synthetic_Rockpile notebooks. During this project, physics-informed alternatives were also explored, including DEM-style relaxation, Project Chrono sequential dropping, convex-hull contact, and clump contact.</w:t>
      </w:r>
    </w:p>
    <w:p>
      <w:r>
        <w:t>The final reported dataset uses a no-boundary envelope-relax/axis-clump production preset. It is not presented as a high-fidelity blast-muckpile simulator. It is used because it produces stable, labelled, pile-like exterior point clouds at practical cost for repeated machine-learning experiments. The latest dataset contains 100 scenes, each with 150 requested fragments, split into 60 training scenes, 20 validation scenes, and 20 held-out test scenes.</w:t>
      </w:r>
    </w:p>
    <w:p>
      <w:pPr>
        <w:jc w:val="center"/>
      </w:pPr>
      <w:r>
        <w:drawing>
          <wp:inline xmlns:a="http://schemas.openxmlformats.org/drawingml/2006/main" xmlns:pic="http://schemas.openxmlformats.org/drawingml/2006/picture">
            <wp:extent cx="5394960" cy="2547620"/>
            <wp:docPr id="2" name="Picture 2"/>
            <wp:cNvGraphicFramePr>
              <a:graphicFrameLocks noChangeAspect="1"/>
            </wp:cNvGraphicFramePr>
            <a:graphic>
              <a:graphicData uri="http://schemas.openxmlformats.org/drawingml/2006/picture">
                <pic:pic>
                  <pic:nvPicPr>
                    <pic:cNvPr id="0" name="synthetic_generation_schematic.png"/>
                    <pic:cNvPicPr/>
                  </pic:nvPicPr>
                  <pic:blipFill>
                    <a:blip r:embed="rId10"/>
                    <a:stretch>
                      <a:fillRect/>
                    </a:stretch>
                  </pic:blipFill>
                  <pic:spPr>
                    <a:xfrm>
                      <a:off x="0" y="0"/>
                      <a:ext cx="5394960" cy="2547620"/>
                    </a:xfrm>
                    <a:prstGeom prst="rect"/>
                  </pic:spPr>
                </pic:pic>
              </a:graphicData>
            </a:graphic>
          </wp:inline>
        </w:drawing>
      </w:r>
    </w:p>
    <w:p>
      <w:pPr>
        <w:spacing w:after="200"/>
        <w:jc w:val="center"/>
      </w:pPr>
      <w:r>
        <w:rPr>
          <w:i/>
        </w:rPr>
        <w:t>Figure 2. Synthetic fragment, rockpile, and exterior-scan construction sequence.</w:t>
      </w:r>
    </w:p>
    <w:p>
      <w:pPr>
        <w:pStyle w:val="Heading1"/>
      </w:pPr>
      <w:r>
        <w:t>Exterior-Only Point-Cloud Target</w:t>
      </w:r>
    </w:p>
    <w:p>
      <w:r>
        <w:t>A full synthetic rockpile includes hidden surfaces, buried contacts, and interior points that real photogrammetry or lidar would not observe. The benchmark therefore converts labelled full geometry into an exterior-only scan proxy. A viewpoint-based nearest-surface operation removes many hidden samples. A second plan-view height-envelope filter retains points close to the local upper surface.</w:t>
      </w:r>
    </w:p>
    <w:p>
      <w:r>
        <w:t>This exterior conversion changes the learning target. The model is not asked to recover all mesh surfaces or all buried fragment contacts. It is asked to group the visible upper-surface points that a practical scan might contain.</w:t>
      </w:r>
    </w:p>
    <w:p>
      <w:pPr>
        <w:jc w:val="center"/>
      </w:pPr>
      <w:r>
        <w:drawing>
          <wp:inline xmlns:a="http://schemas.openxmlformats.org/drawingml/2006/main" xmlns:pic="http://schemas.openxmlformats.org/drawingml/2006/picture">
            <wp:extent cx="4389120" cy="4005372"/>
            <wp:docPr id="3" name="Picture 3"/>
            <wp:cNvGraphicFramePr>
              <a:graphicFrameLocks noChangeAspect="1"/>
            </wp:cNvGraphicFramePr>
            <a:graphic>
              <a:graphicData uri="http://schemas.openxmlformats.org/drawingml/2006/picture">
                <pic:pic>
                  <pic:nvPicPr>
                    <pic:cNvPr id="0" name="dem_noboundary_relax150_scene000_preview.png"/>
                    <pic:cNvPicPr/>
                  </pic:nvPicPr>
                  <pic:blipFill>
                    <a:blip r:embed="rId11"/>
                    <a:stretch>
                      <a:fillRect/>
                    </a:stretch>
                  </pic:blipFill>
                  <pic:spPr>
                    <a:xfrm>
                      <a:off x="0" y="0"/>
                      <a:ext cx="4389120" cy="4005372"/>
                    </a:xfrm>
                    <a:prstGeom prst="rect"/>
                  </pic:spPr>
                </pic:pic>
              </a:graphicData>
            </a:graphic>
          </wp:inline>
        </w:drawing>
      </w:r>
    </w:p>
    <w:p>
      <w:pPr>
        <w:spacing w:after="200"/>
        <w:jc w:val="center"/>
      </w:pPr>
      <w:r>
        <w:rPr>
          <w:i/>
        </w:rPr>
        <w:t>Figure 3. Representative exterior point cloud from the no-boundary 150-fragment dataset.</w:t>
      </w:r>
    </w:p>
    <w:p>
      <w:pPr>
        <w:pStyle w:val="Heading1"/>
      </w:pPr>
      <w:r>
        <w:t>Why Edge Affinity and Why DGCNN/EdgeConv?</w:t>
      </w:r>
    </w:p>
    <w:p>
      <w:r>
        <w:t>Direct point classification into fragment identifiers is poorly posed across scenes. Fragment 17 in one pile has no semantic relation to fragment 17 in another pile. A transferable model should therefore learn a relation, not a fixed label vocabulary. The benchmark uses edge affinity: for each edge in a local neighbourhood graph, the model predicts whether the two endpoints belong to the same underlying fragment.</w:t>
      </w:r>
    </w:p>
    <w:p>
      <w:r>
        <w:t>DGCNN/EdgeConv was selected because it learns local geometric relationships on point-cloud graphs. Compared with a global PointNet-style descriptor, EdgeConv better preserves local boundary information. Compared with PointNet++, the implementation is compact and directly suited to edge-pair supervision. Compared with an MLP edge classifier, EdgeConv embeds each point using graph neighbourhood context before scoring an edge. Compared with DBSCAN or normal/curvature region growing, it can learn how multiple cues trade off rather than relying on a fixed radius, angle, or smoothness threshold.</w:t>
      </w:r>
    </w:p>
    <w:p>
      <w:pPr>
        <w:jc w:val="center"/>
      </w:pPr>
      <w:r>
        <w:drawing>
          <wp:inline xmlns:a="http://schemas.openxmlformats.org/drawingml/2006/main" xmlns:pic="http://schemas.openxmlformats.org/drawingml/2006/picture">
            <wp:extent cx="5394960" cy="1723390"/>
            <wp:docPr id="4" name="Picture 4"/>
            <wp:cNvGraphicFramePr>
              <a:graphicFrameLocks noChangeAspect="1"/>
            </wp:cNvGraphicFramePr>
            <a:graphic>
              <a:graphicData uri="http://schemas.openxmlformats.org/drawingml/2006/picture">
                <pic:pic>
                  <pic:nvPicPr>
                    <pic:cNvPr id="0" name="edge_affinity_schematic.png"/>
                    <pic:cNvPicPr/>
                  </pic:nvPicPr>
                  <pic:blipFill>
                    <a:blip r:embed="rId12"/>
                    <a:stretch>
                      <a:fillRect/>
                    </a:stretch>
                  </pic:blipFill>
                  <pic:spPr>
                    <a:xfrm>
                      <a:off x="0" y="0"/>
                      <a:ext cx="5394960" cy="1723390"/>
                    </a:xfrm>
                    <a:prstGeom prst="rect"/>
                  </pic:spPr>
                </pic:pic>
              </a:graphicData>
            </a:graphic>
          </wp:inline>
        </w:drawing>
      </w:r>
    </w:p>
    <w:p>
      <w:pPr>
        <w:spacing w:after="200"/>
        <w:jc w:val="center"/>
      </w:pPr>
      <w:r>
        <w:rPr>
          <w:i/>
        </w:rPr>
        <w:t>Figure 4. Edge-affinity formulation from local graph edges to connected components and PSD proxy.</w:t>
      </w:r>
    </w:p>
    <w:p>
      <w:pPr>
        <w:pStyle w:val="Heading1"/>
      </w:pPr>
      <w:r>
        <w:t>Training Protocol</w:t>
      </w:r>
    </w:p>
    <w:p>
      <w:r>
        <w:t>Point features include normalized coordinates, normals, and curvature. Edge features encode local geometric differences and surface continuity cues. During training, edges are sampled in balanced positive/negative batches because same-fragment and different-fragment edges are naturally imbalanced in a local graph.</w:t>
      </w:r>
    </w:p>
    <w:p>
      <w:r>
        <w:t>The latest run trained the EdgeConv model for 24 epochs. The maximum number of sampled training edges per scene was 22,000, the maximum number of validation edges per scene was 36,000, and validation metrics were evaluated on 12 validation scenes per epoch for efficiency. Photogrammetry-realism augmentation was retained during training with strength 0.75.</w:t>
      </w:r>
    </w:p>
    <w:p>
      <w:pPr>
        <w:pStyle w:val="Heading1"/>
      </w:pPr>
      <w:r>
        <w:t>PSD Proxy Evaluation</w:t>
      </w:r>
    </w:p>
    <w:p>
      <w:r>
        <w:t>Predicted components are converted into visible-surface PSD proxies. For each predicted component, a surface-cluster diameter proxy is estimated from the spatial span of its points. Proxy volumes are then accumulated into a volume-weighted passing curve, from which P80 is interpolated.</w:t>
      </w:r>
    </w:p>
    <w:p>
      <w:r>
        <w:t>The evaluation reports both edge-learning and downstream PSD behaviour. Average precision and ROC-AUC measure how well the model ranks same-fragment edges. P80 error measures whether the resulting connected components preserve enough size information for a volume-weighted surface proxy. Noise fraction, NMI, and ARI diagnose whether predicted components resemble fragment instances.</w:t>
      </w:r>
    </w:p>
    <w:p>
      <w:pPr>
        <w:pStyle w:val="Heading1"/>
      </w:pPr>
      <w:r>
        <w:t>Results</w:t>
      </w:r>
    </w:p>
    <w:p>
      <w:r>
        <w:t>The EdgeConv model learned edge affinity clearly. Training loss decreased from 0.5722 at epoch 1 to 0.3479 at epoch 24. Validation average precision increased from 0.8569 to 0.9313, and validation ROC-AUC reached 0.9179.</w:t>
      </w:r>
    </w:p>
    <w:p>
      <w:r>
        <w:t>The downstream connected-component calibration remained difficult. The validation sweep selected the EdgeConv post-split variant at threshold 0.997. On the 20 held-out test scenes, this setting produced a mean absolute P80 error of 19.04%, a median absolute P80 error of 18.36%, and a mean noise fraction of 0.603.</w:t>
      </w:r>
    </w:p>
    <w:p>
      <w:pPr>
        <w:jc w:val="center"/>
      </w:pPr>
      <w:r>
        <w:drawing>
          <wp:inline xmlns:a="http://schemas.openxmlformats.org/drawingml/2006/main" xmlns:pic="http://schemas.openxmlformats.org/drawingml/2006/picture">
            <wp:extent cx="4937760" cy="2932416"/>
            <wp:docPr id="5" name="Picture 5"/>
            <wp:cNvGraphicFramePr>
              <a:graphicFrameLocks noChangeAspect="1"/>
            </wp:cNvGraphicFramePr>
            <a:graphic>
              <a:graphicData uri="http://schemas.openxmlformats.org/drawingml/2006/picture">
                <pic:pic>
                  <pic:nvPicPr>
                    <pic:cNvPr id="0" name="02_edgeconv_training_curve.png"/>
                    <pic:cNvPicPr/>
                  </pic:nvPicPr>
                  <pic:blipFill>
                    <a:blip r:embed="rId13"/>
                    <a:stretch>
                      <a:fillRect/>
                    </a:stretch>
                  </pic:blipFill>
                  <pic:spPr>
                    <a:xfrm>
                      <a:off x="0" y="0"/>
                      <a:ext cx="4937760" cy="2932416"/>
                    </a:xfrm>
                    <a:prstGeom prst="rect"/>
                  </pic:spPr>
                </pic:pic>
              </a:graphicData>
            </a:graphic>
          </wp:inline>
        </w:drawing>
      </w:r>
    </w:p>
    <w:p>
      <w:pPr>
        <w:spacing w:after="200"/>
        <w:jc w:val="center"/>
      </w:pPr>
      <w:r>
        <w:rPr>
          <w:i/>
        </w:rPr>
        <w:t>Figure 5. Training loss and validation average precision for the 24-epoch EdgeConv run.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Variant</w:t>
            </w:r>
          </w:p>
        </w:tc>
        <w:tc>
          <w:tcPr>
            <w:tcW w:type="dxa" w:w="1872"/>
          </w:tcPr>
          <w:p>
            <w:r>
              <w:rPr>
                <w:b/>
              </w:rPr>
              <w:t>Threshold</w:t>
            </w:r>
          </w:p>
        </w:tc>
        <w:tc>
          <w:tcPr>
            <w:tcW w:type="dxa" w:w="1872"/>
          </w:tcPr>
          <w:p>
            <w:r>
              <w:rPr>
                <w:b/>
              </w:rPr>
              <w:t>Mean abs. P80 error (%)</w:t>
            </w:r>
          </w:p>
        </w:tc>
        <w:tc>
          <w:tcPr>
            <w:tcW w:type="dxa" w:w="1872"/>
          </w:tcPr>
          <w:p>
            <w:r>
              <w:rPr>
                <w:b/>
              </w:rPr>
              <w:t>Median abs. P80 error (%)</w:t>
            </w:r>
          </w:p>
        </w:tc>
        <w:tc>
          <w:tcPr>
            <w:tcW w:type="dxa" w:w="1872"/>
          </w:tcPr>
          <w:p>
            <w:r>
              <w:rPr>
                <w:b/>
              </w:rPr>
              <w:t>Noise fraction</w:t>
            </w:r>
          </w:p>
        </w:tc>
      </w:tr>
      <w:tr>
        <w:tc>
          <w:tcPr>
            <w:tcW w:type="dxa" w:w="1872"/>
          </w:tcPr>
          <w:p>
            <w:r>
              <w:t>EdgeConv post split</w:t>
            </w:r>
          </w:p>
        </w:tc>
        <w:tc>
          <w:tcPr>
            <w:tcW w:type="dxa" w:w="1872"/>
          </w:tcPr>
          <w:p>
            <w:r>
              <w:t>0.997</w:t>
            </w:r>
          </w:p>
        </w:tc>
        <w:tc>
          <w:tcPr>
            <w:tcW w:type="dxa" w:w="1872"/>
          </w:tcPr>
          <w:p>
            <w:r>
              <w:t>19.04</w:t>
            </w:r>
          </w:p>
        </w:tc>
        <w:tc>
          <w:tcPr>
            <w:tcW w:type="dxa" w:w="1872"/>
          </w:tcPr>
          <w:p>
            <w:r>
              <w:t>18.36</w:t>
            </w:r>
          </w:p>
        </w:tc>
        <w:tc>
          <w:tcPr>
            <w:tcW w:type="dxa" w:w="1872"/>
          </w:tcPr>
          <w:p>
            <w:r>
              <w:t>0.603</w:t>
            </w:r>
          </w:p>
        </w:tc>
      </w:tr>
      <w:tr>
        <w:tc>
          <w:tcPr>
            <w:tcW w:type="dxa" w:w="1872"/>
          </w:tcPr>
          <w:p>
            <w:r>
              <w:t>EdgeConv raw</w:t>
            </w:r>
          </w:p>
        </w:tc>
        <w:tc>
          <w:tcPr>
            <w:tcW w:type="dxa" w:w="1872"/>
          </w:tcPr>
          <w:p>
            <w:r>
              <w:t>0.997</w:t>
            </w:r>
          </w:p>
        </w:tc>
        <w:tc>
          <w:tcPr>
            <w:tcW w:type="dxa" w:w="1872"/>
          </w:tcPr>
          <w:p>
            <w:r>
              <w:t>20.82</w:t>
            </w:r>
          </w:p>
        </w:tc>
        <w:tc>
          <w:tcPr>
            <w:tcW w:type="dxa" w:w="1872"/>
          </w:tcPr>
          <w:p>
            <w:r>
              <w:t>19.42</w:t>
            </w:r>
          </w:p>
        </w:tc>
        <w:tc>
          <w:tcPr>
            <w:tcW w:type="dxa" w:w="1872"/>
          </w:tcPr>
          <w:p>
            <w:r>
              <w:t>0.603</w:t>
            </w:r>
          </w:p>
        </w:tc>
      </w:tr>
      <w:tr>
        <w:tc>
          <w:tcPr>
            <w:tcW w:type="dxa" w:w="1872"/>
          </w:tcPr>
          <w:p>
            <w:r>
              <w:t>EdgeConv absorb + post split</w:t>
            </w:r>
          </w:p>
        </w:tc>
        <w:tc>
          <w:tcPr>
            <w:tcW w:type="dxa" w:w="1872"/>
          </w:tcPr>
          <w:p>
            <w:r>
              <w:t>0.997</w:t>
            </w:r>
          </w:p>
        </w:tc>
        <w:tc>
          <w:tcPr>
            <w:tcW w:type="dxa" w:w="1872"/>
          </w:tcPr>
          <w:p>
            <w:r>
              <w:t>21.84</w:t>
            </w:r>
          </w:p>
        </w:tc>
        <w:tc>
          <w:tcPr>
            <w:tcW w:type="dxa" w:w="1872"/>
          </w:tcPr>
          <w:p>
            <w:r>
              <w:t>21.40</w:t>
            </w:r>
          </w:p>
        </w:tc>
        <w:tc>
          <w:tcPr>
            <w:tcW w:type="dxa" w:w="1872"/>
          </w:tcPr>
          <w:p>
            <w:r>
              <w:t>0.506</w:t>
            </w:r>
          </w:p>
        </w:tc>
      </w:tr>
      <w:tr>
        <w:tc>
          <w:tcPr>
            <w:tcW w:type="dxa" w:w="1872"/>
          </w:tcPr>
          <w:p>
            <w:r>
              <w:t>EdgeConv absorb</w:t>
            </w:r>
          </w:p>
        </w:tc>
        <w:tc>
          <w:tcPr>
            <w:tcW w:type="dxa" w:w="1872"/>
          </w:tcPr>
          <w:p>
            <w:r>
              <w:t>0.997</w:t>
            </w:r>
          </w:p>
        </w:tc>
        <w:tc>
          <w:tcPr>
            <w:tcW w:type="dxa" w:w="1872"/>
          </w:tcPr>
          <w:p>
            <w:r>
              <w:t>23.45</w:t>
            </w:r>
          </w:p>
        </w:tc>
        <w:tc>
          <w:tcPr>
            <w:tcW w:type="dxa" w:w="1872"/>
          </w:tcPr>
          <w:p>
            <w:r>
              <w:t>21.40</w:t>
            </w:r>
          </w:p>
        </w:tc>
        <w:tc>
          <w:tcPr>
            <w:tcW w:type="dxa" w:w="1872"/>
          </w:tcPr>
          <w:p>
            <w:r>
              <w:t>0.506</w:t>
            </w:r>
          </w:p>
        </w:tc>
      </w:tr>
    </w:tbl>
    <w:p>
      <w:pPr>
        <w:jc w:val="center"/>
      </w:pPr>
      <w:r>
        <w:rPr>
          <w:i/>
        </w:rPr>
        <w:t>Table 1. Held-out test summary for the 20 test scenes.</w:t>
      </w:r>
    </w:p>
    <w:p>
      <w:pPr>
        <w:jc w:val="center"/>
      </w:pPr>
      <w:r>
        <w:drawing>
          <wp:inline xmlns:a="http://schemas.openxmlformats.org/drawingml/2006/main" xmlns:pic="http://schemas.openxmlformats.org/drawingml/2006/picture">
            <wp:extent cx="4389120" cy="2717074"/>
            <wp:docPr id="6" name="Picture 6"/>
            <wp:cNvGraphicFramePr>
              <a:graphicFrameLocks noChangeAspect="1"/>
            </wp:cNvGraphicFramePr>
            <a:graphic>
              <a:graphicData uri="http://schemas.openxmlformats.org/drawingml/2006/picture">
                <pic:pic>
                  <pic:nvPicPr>
                    <pic:cNvPr id="0" name="03_edgeconv_test_p80_error_histogram.png"/>
                    <pic:cNvPicPr/>
                  </pic:nvPicPr>
                  <pic:blipFill>
                    <a:blip r:embed="rId14"/>
                    <a:stretch>
                      <a:fillRect/>
                    </a:stretch>
                  </pic:blipFill>
                  <pic:spPr>
                    <a:xfrm>
                      <a:off x="0" y="0"/>
                      <a:ext cx="4389120" cy="2717074"/>
                    </a:xfrm>
                    <a:prstGeom prst="rect"/>
                  </pic:spPr>
                </pic:pic>
              </a:graphicData>
            </a:graphic>
          </wp:inline>
        </w:drawing>
      </w:r>
    </w:p>
    <w:p>
      <w:pPr>
        <w:spacing w:after="200"/>
        <w:jc w:val="center"/>
      </w:pPr>
      <w:r>
        <w:rPr>
          <w:i/>
        </w:rPr>
        <w:t>Figure 6. Held-out test distribution of absolute P80 error.</w:t>
      </w:r>
    </w:p>
    <w:p>
      <w:pPr>
        <w:pStyle w:val="Heading1"/>
      </w:pPr>
      <w:r>
        <w:t>Discussion</w:t>
      </w:r>
    </w:p>
    <w:p>
      <w:r>
        <w:t>The result should be read carefully. The model is learning useful edge affinity, but the P80 pipeline is still limited by the conversion from probabilities to connected components. The selected threshold of 0.997 is a symptom of this calibration problem.</w:t>
      </w:r>
    </w:p>
    <w:p>
      <w:r>
        <w:t>This is why the benchmark is useful. Data generation is not the only bottleneck: the no-boundary 150-fragment scenes are stable and reproducible. Edge learning is not the only bottleneck either: validation AP is high. The remaining problem is graph partitioning and post-processing.</w:t>
      </w:r>
    </w:p>
    <w:p>
      <w:pPr>
        <w:pStyle w:val="Heading1"/>
      </w:pPr>
      <w:r>
        <w:t>Limitations and Field Validation</w:t>
      </w:r>
    </w:p>
    <w:p>
      <w:r>
        <w:t>This study reports a synthetic exterior-surface benchmark. It does not report field P80 accuracy. Real muckpile deployment requires independent references such as sieve or belt sampling, calibrated image-analysis outputs, carefully scaled manual annotation, or expert delineation on high-resolution orthomosaics.</w:t>
      </w:r>
    </w:p>
    <w:p>
      <w:r>
        <w:t>The synthetic piles remain simplified. The production preset was selected because it is stable and practical for 100 scenes, not because it fully reproduces blast mechanics. The present benchmark is therefore a pre-field testbed: it is useful for developing and comparing algorithms before expensive field validation.</w:t>
      </w:r>
    </w:p>
    <w:p>
      <w:pPr>
        <w:pStyle w:val="Heading1"/>
      </w:pPr>
      <w:r>
        <w:t>Conclusion</w:t>
      </w:r>
    </w:p>
    <w:p>
      <w:r>
        <w:t>Synthetic fragments are generated with known identity and volume, arranged into labelled rockpiles, converted to exterior-only point clouds, and used to train an EdgeConv edge-affinity model. DGCNN/EdgeConv is used because it learns local graph relationships that are more appropriate for arbitrary fragment IDs than direct point classification or purely geometric clustering. The latest 100-scene run confirms that edge affinity is learned well, with validation AP of 0.9313, but the held-out P80 result remains limited by high-threshold connected-component calibration.</w:t>
      </w:r>
    </w:p>
    <w:p>
      <w:pPr>
        <w:pStyle w:val="Heading1"/>
      </w:pPr>
      <w:r>
        <w:t>Acknowledgments</w:t>
      </w:r>
    </w:p>
    <w:p>
      <w:r>
        <w:t>During preparation of this manuscript, the author used OpenAI Codex for coding, formatting, and drafting assistance. The author reviewed and edited the output and takes responsibility for the manuscript.</w:t>
      </w:r>
    </w:p>
    <w:p>
      <w:pPr>
        <w:pStyle w:val="Heading1"/>
      </w:pPr>
      <w:r>
        <w:t>Data and Code Availability</w:t>
      </w:r>
    </w:p>
    <w:p>
      <w:r>
        <w:t>Code, manuscript source, figures, and summary tables are prepared for release at https://github.com/Linkgyu/rockpile-edgeconv-arxiv. The full generated scenes can be regenerated using the included scripts.</w:t>
      </w:r>
    </w:p>
    <w:p>
      <w:pPr>
        <w:pStyle w:val="Heading1"/>
      </w:pPr>
      <w:r>
        <w:t>References</w:t>
      </w:r>
    </w:p>
    <w:p>
      <w:r>
        <w:t>1. Laurence, D. Establishing a sustainable mining operation: an overview. Journal of Cleaner Production, 2011.</w:t>
      </w:r>
    </w:p>
    <w:p>
      <w:r>
        <w:t>2. Cunningham, C. V. B. The Kuz-Ram model for prediction of fragmentation from blasting. 1st International Symposium on Rock Fragmentation by Blasting, 1983.</w:t>
      </w:r>
    </w:p>
    <w:p>
      <w:r>
        <w:t>3. Ouchterlony, F. The Swebrec function: linking fragmentation by blasting and crushing. Mining Technology, 2005.</w:t>
      </w:r>
    </w:p>
    <w:p>
      <w:r>
        <w:t>4. Palangio, T. C. et al. WIPFRAG: a breakthrough in fragmentation measurement. 21st Annual Conference on Explosives and Blasting Technique, 1995.</w:t>
      </w:r>
    </w:p>
    <w:p>
      <w:r>
        <w:t>5. Siddiqui, F. I. et al. Measurement of size distribution of blasted rock using digital image processing. Journal of King Abdulaziz University: Engineering Sciences, 2009.</w:t>
      </w:r>
    </w:p>
    <w:p>
      <w:r>
        <w:t>6. Westoby, M. J. et al. Structure-from-Motion photogrammetry: a low-cost, effective tool for geoscience applications. Geomorphology, 2012.</w:t>
      </w:r>
    </w:p>
    <w:p>
      <w:r>
        <w:t>7. Eltner, A. et al. Image-based surface reconstruction in geomorphometry: merits, limits and developments. Earth Surface Dynamics, 2016.</w:t>
      </w:r>
    </w:p>
    <w:p>
      <w:r>
        <w:t>8. Anderson, K. et al. Low-budget topography: Structure from Motion photogrammetry in geoscience applications. Progress in Physical Geography, 2019.</w:t>
      </w:r>
    </w:p>
    <w:p>
      <w:r>
        <w:t>9. Engin, I. C. et al. Practical measurement of size distribution of blasted rocks using LiDAR scan data. Rock Mechanics and Rock Engineering, 2020.</w:t>
      </w:r>
    </w:p>
    <w:p>
      <w:r>
        <w:t>10. Onederra, I. et al. Measuring blast fragmentation at Esperanza mine using high-resolution 3D laser scanning. Mining Technology, 2015.</w:t>
      </w:r>
    </w:p>
    <w:p>
      <w:r>
        <w:t>11. Wang, Y. et al. Dynamic Graph CNN for learning on point clouds. ACM Transactions on Graphics, 2019.</w:t>
      </w:r>
    </w:p>
    <w:p>
      <w:r>
        <w:t>12. Qi, C. R. et al. PointNet: Deep learning on point sets for 3D classification and segmentation. CVPR, 2017.</w:t>
      </w:r>
    </w:p>
    <w:p>
      <w:r>
        <w:t>13. Qi, C. R. et al. PointNet++: Deep hierarchical feature learning on point sets in a metric space. NeurIPS, 2017.</w:t>
      </w:r>
    </w:p>
    <w:p>
      <w:r>
        <w:t>14. Ester, M. et al. A density-based algorithm for discovering clusters in large spatial databases with noise. KDD, 1996.</w:t>
      </w:r>
    </w:p>
    <w:p>
      <w:r>
        <w:t>15. Hubert, L.; Arabie, P. Comparing partitions. Journal of Classification, 1985.</w:t>
      </w:r>
    </w:p>
    <w:p>
      <w:r>
        <w:t>16. Vinh, N. X. et al. Information theoretic measures for clusterings comparison. Journal of Machine Learning Research, 2010.</w:t>
      </w:r>
    </w:p>
    <w:p>
      <w:r>
        <w:t>17. Pedregosa, F. et al. Scikit-learn: Machine learning in Python. Journal of Machine Learning Research, 2011.</w:t>
      </w:r>
    </w:p>
    <w:p>
      <w:r>
        <w:t>18. Paszke, A. et al. PyTorch: An imperative style, high-performance deep learning library. NeurIPS, 2019.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