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left"/>
      </w:pPr>
      <w:r>
        <w:rPr>
          <w:b/>
        </w:rPr>
        <w:t>Synthetic exterior point-cloud benchmark for rockpile fragmentation: fragment generation, rockpile construction, EdgeConv learning, and size-distribution proxy evaluation</w:t>
      </w:r>
    </w:p>
    <w:p>
      <w:pPr>
        <w:pStyle w:val="Subtitle"/>
        <w:spacing w:line="360" w:lineRule="auto"/>
        <w:jc w:val="left"/>
      </w:pPr>
      <w:r>
        <w:t>N. Ha1</w:t>
      </w:r>
    </w:p>
    <w:p>
      <w:pPr>
        <w:spacing w:line="360" w:lineRule="auto"/>
        <w:jc w:val="left"/>
      </w:pPr>
      <w:r>
        <w:t>1 Department of Energy and Resources Engineering, National Korea Maritime and Ocean University, Busan, Republic of Korea; ORCID: 0009-0007-4918-6239</w:t>
      </w:r>
    </w:p>
    <w:p>
      <w:pPr>
        <w:spacing w:line="360" w:lineRule="auto"/>
        <w:jc w:val="left"/>
      </w:pPr>
      <w:r>
        <w:t>Corresponding author: N. Ha, noah.ha.au@gmail.com</w:t>
      </w:r>
    </w:p>
    <w:p>
      <w:pPr>
        <w:pStyle w:val="Heading1"/>
        <w:spacing w:line="360" w:lineRule="auto"/>
        <w:jc w:val="left"/>
      </w:pPr>
      <w:r>
        <w:t>Abstract</w:t>
      </w:r>
    </w:p>
    <w:p>
      <w:pPr>
        <w:spacing w:line="360" w:lineRule="auto"/>
        <w:jc w:val="left"/>
      </w:pPr>
      <w:r>
        <w:t>Post-blast rockpile fragmentation controls loading, hauling, and crushing performance, but field point clouds rarely provide fragment-level labels or independent size references. This study presents a synthetic benchmark for exterior rockpile point clouds in which individual rock-like fragments are generated first, assembled into labelled piles, filtered to retain only visible exterior points, and then used to compare fragment clustering methods. A graph EdgeConv model predicts whether neighbouring exterior points belong to the same fragment, and thresholded edge affinities are converted into connected components and visible-surface particle-size proxies. The same 100 scenes, each containing 150 fragments, were used for all methods with a 60:20:20 train, validation, and test split. The revised dataset applies multi-view Hidden Point Removal to the stored fragment poses, producing a stricter photogrammetry-like exterior shell. EdgeConv learned strong same-fragment affinity on this target, with validation average precision increasing to 0.962 after 24 epochs. However, the selected EdgeConv hybrid component rule gave a held-out mean absolute eighty per cent passing-size error of 29.26 per cent, while the MLP affinity, DBSCAN, and graph-threshold baselines gave 13.39, 18.70, and 19.03 per cent, respectively. EdgeConv produced much stronger instance diagnostics than the MLP baseline, but the size proxy was worse. The result shows that synthetic exterior piles can separate two questions that are often conflated in rockpile monitoring: whether visible fragments are cleanly segmented, and whether the resulting surface clusters recover a useful size-distribution proxy. The benchmark is intended as a reproducible pre-field testbed rather than a replacement for mine-site calibration.</w:t>
      </w:r>
    </w:p>
    <w:p>
      <w:pPr>
        <w:spacing w:line="360" w:lineRule="auto"/>
        <w:jc w:val="left"/>
      </w:pPr>
      <w:r>
        <w:t>Keywords: fragmentation monitoring; rockpile; point cloud segmentation; synthetic benchmark; EdgeConv; mine-to-mill</w:t>
      </w:r>
    </w:p>
    <w:p>
      <w:pPr>
        <w:pStyle w:val="Heading1"/>
        <w:spacing w:line="360" w:lineRule="auto"/>
        <w:jc w:val="left"/>
      </w:pPr>
      <w:r>
        <w:t>Introduction</w:t>
      </w:r>
    </w:p>
    <w:p>
      <w:pPr>
        <w:spacing w:line="360" w:lineRule="auto"/>
        <w:jc w:val="left"/>
      </w:pPr>
      <w:r>
        <w:t>Blast fragmentation affects digging, loading, hauling, crushing, and comminution. A reliable estimate of the coarse end of the fragment-size distribution can help engineers detect oversize material, adjust blast designs, and stabilise crusher feed. Two-dimensional image-analysis systems remain attractive because they are practical, but they must infer scale, overlap, and hidden fragment boundaries from a projected view. Three-dimensional photogrammetry and laser scanning preserve richer surface geometry, yet a scan still observes only the outside of the muckpile. Buried contacts and hidden backs of fragments remain unknown.</w:t>
      </w:r>
    </w:p>
    <w:p>
      <w:pPr>
        <w:spacing w:line="360" w:lineRule="auto"/>
        <w:jc w:val="left"/>
      </w:pPr>
      <w:r>
        <w:t>This study therefore treats surface estimates as visible-surface size-distribution proxies. The word proxy is important. The benchmark does not claim that an exterior point cloud directly measures the whole-pile particle size distribution. Instead, it asks how much reference size information can be recovered when the algorithm is given only the kind of exterior points that a camera or scanner could plausibly see.</w:t>
      </w:r>
    </w:p>
    <w:p>
      <w:pPr>
        <w:spacing w:line="360" w:lineRule="auto"/>
        <w:jc w:val="left"/>
      </w:pPr>
      <w:r>
        <w:t>The contribution is a reproducible synthetic pre-field workflow. Rock-like fragments are generated with known identities and volumes; piles are constructed from those fragments; full synthetic geometry is converted into exterior-only point clouds; and an edge-affinity model is compared with graph, density, region-growing, and shallow learning baselines. The manuscript emphasises the construction of the labelled piles and exterior learning target because these steps determine whether a method is being tested on a realistic scan proxy or on unobservable interior geometry.</w:t>
      </w:r>
    </w:p>
    <w:p>
      <w:pPr>
        <w:jc w:val="center"/>
      </w:pPr>
      <w:r>
        <w:drawing>
          <wp:inline xmlns:a="http://schemas.openxmlformats.org/drawingml/2006/main" xmlns:pic="http://schemas.openxmlformats.org/drawingml/2006/picture">
            <wp:extent cx="5688000" cy="2370000"/>
            <wp:docPr id="1" name="Picture 1"/>
            <wp:cNvGraphicFramePr>
              <a:graphicFrameLocks noChangeAspect="1"/>
            </wp:cNvGraphicFramePr>
            <a:graphic>
              <a:graphicData uri="http://schemas.openxmlformats.org/drawingml/2006/picture">
                <pic:pic>
                  <pic:nvPicPr>
                    <pic:cNvPr id="0" name="workflow_schematic.png"/>
                    <pic:cNvPicPr/>
                  </pic:nvPicPr>
                  <pic:blipFill>
                    <a:blip r:embed="rId10"/>
                    <a:stretch>
                      <a:fillRect/>
                    </a:stretch>
                  </pic:blipFill>
                  <pic:spPr>
                    <a:xfrm>
                      <a:off x="0" y="0"/>
                      <a:ext cx="5688000" cy="2370000"/>
                    </a:xfrm>
                    <a:prstGeom prst="rect"/>
                  </pic:spPr>
                </pic:pic>
              </a:graphicData>
            </a:graphic>
          </wp:inline>
        </w:drawing>
      </w:r>
    </w:p>
    <w:p>
      <w:pPr>
        <w:pStyle w:val="Caption"/>
        <w:spacing w:line="360" w:lineRule="auto"/>
        <w:jc w:val="left"/>
      </w:pPr>
      <w:r>
        <w:rPr>
          <w:b/>
        </w:rPr>
        <w:t xml:space="preserve">Figure 1. </w:t>
      </w:r>
      <w:r>
        <w:t>Benchmark workflow from synthetic fragment generation to exterior-only learning and size-distribution proxy evaluation</w:t>
      </w:r>
    </w:p>
    <w:p>
      <w:pPr>
        <w:pStyle w:val="Heading1"/>
        <w:spacing w:line="360" w:lineRule="auto"/>
        <w:jc w:val="left"/>
      </w:pPr>
      <w:r>
        <w:t>Related work and benchmark positioning</w:t>
      </w:r>
    </w:p>
    <w:p>
      <w:pPr>
        <w:spacing w:line="360" w:lineRule="auto"/>
        <w:jc w:val="left"/>
      </w:pPr>
      <w:r>
        <w:t>Fragmentation models and monitoring systems have a long history in blasting and mine-to-mill optimisation (Cunningham, 1983; Ouchterlony, 2005). Commercial and research image-analysis systems such as WipFrag made fragmentation measurement operationally accessible, but their two-dimensional measurements remain sensitive to occlusion, scale, fines, and manual editing (Palangio et al., 1995; Siddiqui et al., 2009). Structure-from-motion and laser scanning provide point clouds that are more suitable for surface-shape reasoning, and have been applied in geoscience and mining contexts (Westoby et al., 2012; Eltner et al., 2016; Engin et al., 2020).</w:t>
      </w:r>
    </w:p>
    <w:p>
      <w:pPr>
        <w:spacing w:line="360" w:lineRule="auto"/>
        <w:jc w:val="left"/>
      </w:pPr>
      <w:r>
        <w:t>Point-cloud neural networks including PointNet, PointNet++, and dynamic graph convolutional neural networks show that local geometric relationships can be learned directly from irregular samples (Qi et al., 2017a; Qi et al., 2017b; Wang et al., 2019). For rockpiles, however, a direct fragment-ID classifier is poorly posed because fragment labels are arbitrary from one scene to another. Edge affinity is a more transferable target: neighbouring points are classified as same-fragment or different-fragment, after which connected components form candidate visible fragments.</w:t>
      </w:r>
    </w:p>
    <w:p>
      <w:pPr>
        <w:pStyle w:val="Heading1"/>
        <w:spacing w:line="360" w:lineRule="auto"/>
        <w:jc w:val="left"/>
      </w:pPr>
      <w:r>
        <w:t>Materials and methods</w:t>
      </w:r>
    </w:p>
    <w:p>
      <w:pPr>
        <w:pStyle w:val="Heading2"/>
        <w:spacing w:line="360" w:lineRule="auto"/>
        <w:jc w:val="left"/>
      </w:pPr>
      <w:r>
        <w:t>Synthetic fragment mesh library</w:t>
      </w:r>
    </w:p>
    <w:p>
      <w:pPr>
        <w:spacing w:line="360" w:lineRule="auto"/>
        <w:jc w:val="left"/>
      </w:pPr>
      <w:r>
        <w:t>The benchmark begins with a library of synthetic rock-like fragment meshes. Each mesh carries a fixed fragment identity, volume, equivalent spherical diameter, and local surface samples. Fragment generation is kept separate from rockpile construction so that the size reference is known before any pile placement, exterior filtering, or machine-learning step is applied. This prevents the downstream segmentation algorithm from defining its own reference size distribution.</w:t>
      </w:r>
    </w:p>
    <w:p>
      <w:pPr>
        <w:jc w:val="center"/>
      </w:pPr>
      <w:r>
        <w:drawing>
          <wp:inline xmlns:a="http://schemas.openxmlformats.org/drawingml/2006/main" xmlns:pic="http://schemas.openxmlformats.org/drawingml/2006/picture">
            <wp:extent cx="5688000" cy="2686000"/>
            <wp:docPr id="2" name="Picture 2"/>
            <wp:cNvGraphicFramePr>
              <a:graphicFrameLocks noChangeAspect="1"/>
            </wp:cNvGraphicFramePr>
            <a:graphic>
              <a:graphicData uri="http://schemas.openxmlformats.org/drawingml/2006/picture">
                <pic:pic>
                  <pic:nvPicPr>
                    <pic:cNvPr id="0" name="synthetic_generation_schematic.png"/>
                    <pic:cNvPicPr/>
                  </pic:nvPicPr>
                  <pic:blipFill>
                    <a:blip r:embed="rId11"/>
                    <a:stretch>
                      <a:fillRect/>
                    </a:stretch>
                  </pic:blipFill>
                  <pic:spPr>
                    <a:xfrm>
                      <a:off x="0" y="0"/>
                      <a:ext cx="5688000" cy="2686000"/>
                    </a:xfrm>
                    <a:prstGeom prst="rect"/>
                  </pic:spPr>
                </pic:pic>
              </a:graphicData>
            </a:graphic>
          </wp:inline>
        </w:drawing>
      </w:r>
    </w:p>
    <w:p>
      <w:pPr>
        <w:pStyle w:val="Caption"/>
        <w:spacing w:line="360" w:lineRule="auto"/>
        <w:jc w:val="left"/>
      </w:pPr>
      <w:r>
        <w:rPr>
          <w:b/>
        </w:rPr>
        <w:t xml:space="preserve">Figure 2. </w:t>
      </w:r>
      <w:r>
        <w:t>Synthetic fragment and rockpile generation sequence with label-preserving mesh placement and exterior sampling</w:t>
      </w:r>
    </w:p>
    <w:p>
      <w:pPr>
        <w:pStyle w:val="Heading2"/>
        <w:spacing w:line="360" w:lineRule="auto"/>
        <w:jc w:val="left"/>
      </w:pPr>
      <w:r>
        <w:t>Rockpile construction backend</w:t>
      </w:r>
    </w:p>
    <w:p>
      <w:pPr>
        <w:spacing w:line="360" w:lineRule="auto"/>
        <w:jc w:val="left"/>
      </w:pPr>
      <w:r>
        <w:t>The production dataset used the no-boundary envelope-relax and axis-clump backend developed after earlier sequential-drop and Chrono trials. Those trials were useful for diagnosing contact explosions, excessive lateral dispersion, and boundary-box artefacts, but the final reported 100-scene dataset was produced by a deterministic CPU-parallel placement workflow that preserved individual fragment meshes and stored the scene centres and orientations required for reconstruction.</w:t>
      </w:r>
    </w:p>
    <w:p>
      <w:pPr>
        <w:pStyle w:val="Caption"/>
        <w:spacing w:line="360" w:lineRule="auto"/>
        <w:jc w:val="left"/>
      </w:pPr>
      <w:r>
        <w:rPr>
          <w:b/>
        </w:rPr>
        <w:t xml:space="preserve">Table 1. </w:t>
      </w:r>
      <w:r>
        <w:t>Production rockpile generation settings used for the 100-scene dataset</w:t>
      </w:r>
    </w:p>
    <w:tbl>
      <w:tblPr>
        <w:tblStyle w:val="TableGrid"/>
        <w:tblW w:type="dxa" w:w="9360"/>
        <w:jc w:val="left"/>
        <w:tblLayout w:type="fixed"/>
        <w:tblLook w:firstColumn="1" w:firstRow="1" w:lastColumn="0" w:lastRow="0" w:noHBand="0" w:noVBand="1" w:val="04A0"/>
        <w:tblInd w:w="0" w:type="dxa"/>
      </w:tblPr>
      <w:tblGrid>
        <w:gridCol w:w="3000"/>
        <w:gridCol w:w="6360"/>
      </w:tblGrid>
      <w:tr>
        <w:trPr>
          <w:tblHeader w:val="true"/>
        </w:trPr>
        <w:tc>
          <w:tcPr>
            <w:tcW w:type="dxa" w:w="3000"/>
            <w:shd w:fill="EDEDED"/>
            <w:tcMar>
              <w:top w:w="80" w:type="dxa"/>
              <w:start w:w="120" w:type="dxa"/>
              <w:bottom w:w="80" w:type="dxa"/>
              <w:end w:w="120" w:type="dxa"/>
            </w:tcMar>
            <w:vAlign w:val="center"/>
          </w:tcPr>
          <w:p>
            <w:pPr>
              <w:spacing w:line="276" w:lineRule="auto" w:after="0"/>
            </w:pPr>
            <w:r>
              <w:rPr>
                <w:rFonts w:ascii="Arial" w:hAnsi="Arial" w:eastAsia="Arial"/>
                <w:b/>
                <w:sz w:val="18"/>
              </w:rPr>
              <w:t>Item</w:t>
            </w:r>
          </w:p>
        </w:tc>
        <w:tc>
          <w:tcPr>
            <w:tcW w:type="dxa" w:w="6360"/>
            <w:shd w:fill="EDEDED"/>
            <w:tcMar>
              <w:top w:w="80" w:type="dxa"/>
              <w:start w:w="120" w:type="dxa"/>
              <w:bottom w:w="80" w:type="dxa"/>
              <w:end w:w="120" w:type="dxa"/>
            </w:tcMar>
            <w:vAlign w:val="center"/>
          </w:tcPr>
          <w:p>
            <w:pPr>
              <w:spacing w:line="276" w:lineRule="auto" w:after="0"/>
            </w:pPr>
            <w:r>
              <w:rPr>
                <w:rFonts w:ascii="Arial" w:hAnsi="Arial" w:eastAsia="Arial"/>
                <w:b/>
                <w:sz w:val="18"/>
              </w:rPr>
              <w:t>Value</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Number of scenes</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100</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Fragments per scene</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150</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Scene split</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60 training, 20 validation, 20 test scenes</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Pile backend</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No-boundary envelope-relax placement with axis-clump contact approximation</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Boundary condition</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Open floor; no confinement box in the final production run</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Placement objective</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Compact mound-like pile with overlap rejection and radial containment penalty</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Stored outputs</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Per-fragment centre, orientation, mesh identity, labels, and exterior point-cloud samples</w:t>
            </w:r>
          </w:p>
        </w:tc>
      </w:tr>
    </w:tbl>
    <w:p>
      <w:pPr>
        <w:spacing w:line="360" w:lineRule="auto"/>
        <w:jc w:val="left"/>
      </w:pPr>
    </w:p>
    <w:p>
      <w:pPr>
        <w:pStyle w:val="Heading2"/>
        <w:spacing w:line="360" w:lineRule="auto"/>
        <w:jc w:val="left"/>
      </w:pPr>
      <w:r>
        <w:t>Material and contact interpretation</w:t>
      </w:r>
    </w:p>
    <w:p>
      <w:pPr>
        <w:spacing w:line="360" w:lineRule="auto"/>
        <w:jc w:val="left"/>
      </w:pPr>
      <w:r>
        <w:t>The material parameters were selected to represent dense hard rock rather than lightweight artificial particles. Because the production backend is a geometry-preserving placement and relaxation model rather than a full field calibration of breakage mechanics, the parameters should be read as physically informed contact settings used to stabilise pile morphology and prevent unrealistically elastic scattering.</w:t>
      </w:r>
    </w:p>
    <w:p>
      <w:pPr>
        <w:pStyle w:val="Caption"/>
        <w:spacing w:line="360" w:lineRule="auto"/>
        <w:jc w:val="left"/>
      </w:pPr>
      <w:r>
        <w:rPr>
          <w:b/>
        </w:rPr>
        <w:t xml:space="preserve">Table 2. </w:t>
      </w:r>
      <w:r>
        <w:t>Material and contact parameters used to guide the hard-rock pile-generation trials</w:t>
      </w:r>
    </w:p>
    <w:tbl>
      <w:tblPr>
        <w:tblStyle w:val="TableGrid"/>
        <w:tblW w:type="dxa" w:w="9360"/>
        <w:jc w:val="left"/>
        <w:tblLayout w:type="fixed"/>
        <w:tblLook w:firstColumn="1" w:firstRow="1" w:lastColumn="0" w:lastRow="0" w:noHBand="0" w:noVBand="1" w:val="04A0"/>
        <w:tblInd w:w="0" w:type="dxa"/>
      </w:tblPr>
      <w:tblGrid>
        <w:gridCol w:w="3600"/>
        <w:gridCol w:w="5760"/>
      </w:tblGrid>
      <w:tr>
        <w:trPr>
          <w:tblHeader w:val="true"/>
        </w:trPr>
        <w:tc>
          <w:tcPr>
            <w:tcW w:type="dxa" w:w="3600"/>
            <w:shd w:fill="EDEDED"/>
            <w:tcMar>
              <w:top w:w="80" w:type="dxa"/>
              <w:start w:w="120" w:type="dxa"/>
              <w:bottom w:w="80" w:type="dxa"/>
              <w:end w:w="120" w:type="dxa"/>
            </w:tcMar>
            <w:vAlign w:val="center"/>
          </w:tcPr>
          <w:p>
            <w:pPr>
              <w:spacing w:line="276" w:lineRule="auto" w:after="0"/>
            </w:pPr>
            <w:r>
              <w:rPr>
                <w:rFonts w:ascii="Arial" w:hAnsi="Arial" w:eastAsia="Arial"/>
                <w:b/>
                <w:sz w:val="18"/>
              </w:rPr>
              <w:t>Parameter</w:t>
            </w:r>
          </w:p>
        </w:tc>
        <w:tc>
          <w:tcPr>
            <w:tcW w:type="dxa" w:w="5760"/>
            <w:shd w:fill="EDEDED"/>
            <w:tcMar>
              <w:top w:w="80" w:type="dxa"/>
              <w:start w:w="120" w:type="dxa"/>
              <w:bottom w:w="80" w:type="dxa"/>
              <w:end w:w="120" w:type="dxa"/>
            </w:tcMar>
            <w:vAlign w:val="center"/>
          </w:tcPr>
          <w:p>
            <w:pPr>
              <w:spacing w:line="276" w:lineRule="auto" w:after="0"/>
            </w:pPr>
            <w:r>
              <w:rPr>
                <w:rFonts w:ascii="Arial" w:hAnsi="Arial" w:eastAsia="Arial"/>
                <w:b/>
                <w:sz w:val="18"/>
              </w:rPr>
              <w:t>Value</w:t>
            </w:r>
          </w:p>
        </w:tc>
      </w:tr>
      <w:tr>
        <w:tc>
          <w:tcPr>
            <w:tcW w:type="dxa" w:w="3600"/>
            <w:tcMar>
              <w:top w:w="80" w:type="dxa"/>
              <w:start w:w="120" w:type="dxa"/>
              <w:bottom w:w="80" w:type="dxa"/>
              <w:end w:w="120" w:type="dxa"/>
            </w:tcMar>
            <w:vAlign w:val="center"/>
          </w:tcPr>
          <w:p>
            <w:pPr>
              <w:spacing w:line="276" w:lineRule="auto" w:after="0"/>
            </w:pPr>
            <w:r>
              <w:rPr>
                <w:rFonts w:ascii="Arial" w:hAnsi="Arial" w:eastAsia="Arial"/>
                <w:sz w:val="18"/>
              </w:rPr>
              <w:t>Density</w:t>
            </w:r>
          </w:p>
        </w:tc>
        <w:tc>
          <w:tcPr>
            <w:tcW w:type="dxa" w:w="5760"/>
            <w:tcMar>
              <w:top w:w="80" w:type="dxa"/>
              <w:start w:w="120" w:type="dxa"/>
              <w:bottom w:w="80" w:type="dxa"/>
              <w:end w:w="120" w:type="dxa"/>
            </w:tcMar>
            <w:vAlign w:val="center"/>
          </w:tcPr>
          <w:p>
            <w:pPr>
              <w:spacing w:line="276" w:lineRule="auto" w:after="0"/>
            </w:pPr>
            <w:r>
              <w:rPr>
                <w:rFonts w:ascii="Arial" w:hAnsi="Arial" w:eastAsia="Arial"/>
                <w:sz w:val="18"/>
              </w:rPr>
              <w:t>2670 kg/m3</w:t>
            </w:r>
          </w:p>
        </w:tc>
      </w:tr>
      <w:tr>
        <w:tc>
          <w:tcPr>
            <w:tcW w:type="dxa" w:w="3600"/>
            <w:tcMar>
              <w:top w:w="80" w:type="dxa"/>
              <w:start w:w="120" w:type="dxa"/>
              <w:bottom w:w="80" w:type="dxa"/>
              <w:end w:w="120" w:type="dxa"/>
            </w:tcMar>
            <w:vAlign w:val="center"/>
          </w:tcPr>
          <w:p>
            <w:pPr>
              <w:spacing w:line="276" w:lineRule="auto" w:after="0"/>
            </w:pPr>
            <w:r>
              <w:rPr>
                <w:rFonts w:ascii="Arial" w:hAnsi="Arial" w:eastAsia="Arial"/>
                <w:sz w:val="18"/>
              </w:rPr>
              <w:t>Young's modulus</w:t>
            </w:r>
          </w:p>
        </w:tc>
        <w:tc>
          <w:tcPr>
            <w:tcW w:type="dxa" w:w="5760"/>
            <w:tcMar>
              <w:top w:w="80" w:type="dxa"/>
              <w:start w:w="120" w:type="dxa"/>
              <w:bottom w:w="80" w:type="dxa"/>
              <w:end w:w="120" w:type="dxa"/>
            </w:tcMar>
            <w:vAlign w:val="center"/>
          </w:tcPr>
          <w:p>
            <w:pPr>
              <w:spacing w:line="276" w:lineRule="auto" w:after="0"/>
            </w:pPr>
            <w:r>
              <w:rPr>
                <w:rFonts w:ascii="Arial" w:hAnsi="Arial" w:eastAsia="Arial"/>
                <w:sz w:val="18"/>
              </w:rPr>
              <w:t>5.0e10 Pa</w:t>
            </w:r>
          </w:p>
        </w:tc>
      </w:tr>
      <w:tr>
        <w:tc>
          <w:tcPr>
            <w:tcW w:type="dxa" w:w="3600"/>
            <w:tcMar>
              <w:top w:w="80" w:type="dxa"/>
              <w:start w:w="120" w:type="dxa"/>
              <w:bottom w:w="80" w:type="dxa"/>
              <w:end w:w="120" w:type="dxa"/>
            </w:tcMar>
            <w:vAlign w:val="center"/>
          </w:tcPr>
          <w:p>
            <w:pPr>
              <w:spacing w:line="276" w:lineRule="auto" w:after="0"/>
            </w:pPr>
            <w:r>
              <w:rPr>
                <w:rFonts w:ascii="Arial" w:hAnsi="Arial" w:eastAsia="Arial"/>
                <w:sz w:val="18"/>
              </w:rPr>
              <w:t>Poisson ratio</w:t>
            </w:r>
          </w:p>
        </w:tc>
        <w:tc>
          <w:tcPr>
            <w:tcW w:type="dxa" w:w="5760"/>
            <w:tcMar>
              <w:top w:w="80" w:type="dxa"/>
              <w:start w:w="120" w:type="dxa"/>
              <w:bottom w:w="80" w:type="dxa"/>
              <w:end w:w="120" w:type="dxa"/>
            </w:tcMar>
            <w:vAlign w:val="center"/>
          </w:tcPr>
          <w:p>
            <w:pPr>
              <w:spacing w:line="276" w:lineRule="auto" w:after="0"/>
            </w:pPr>
            <w:r>
              <w:rPr>
                <w:rFonts w:ascii="Arial" w:hAnsi="Arial" w:eastAsia="Arial"/>
                <w:sz w:val="18"/>
              </w:rPr>
              <w:t>0.25</w:t>
            </w:r>
          </w:p>
        </w:tc>
      </w:tr>
      <w:tr>
        <w:tc>
          <w:tcPr>
            <w:tcW w:type="dxa" w:w="3600"/>
            <w:tcMar>
              <w:top w:w="80" w:type="dxa"/>
              <w:start w:w="120" w:type="dxa"/>
              <w:bottom w:w="80" w:type="dxa"/>
              <w:end w:w="120" w:type="dxa"/>
            </w:tcMar>
            <w:vAlign w:val="center"/>
          </w:tcPr>
          <w:p>
            <w:pPr>
              <w:spacing w:line="276" w:lineRule="auto" w:after="0"/>
            </w:pPr>
            <w:r>
              <w:rPr>
                <w:rFonts w:ascii="Arial" w:hAnsi="Arial" w:eastAsia="Arial"/>
                <w:sz w:val="18"/>
              </w:rPr>
              <w:t>Coefficient of restitution</w:t>
            </w:r>
          </w:p>
        </w:tc>
        <w:tc>
          <w:tcPr>
            <w:tcW w:type="dxa" w:w="5760"/>
            <w:tcMar>
              <w:top w:w="80" w:type="dxa"/>
              <w:start w:w="120" w:type="dxa"/>
              <w:bottom w:w="80" w:type="dxa"/>
              <w:end w:w="120" w:type="dxa"/>
            </w:tcMar>
            <w:vAlign w:val="center"/>
          </w:tcPr>
          <w:p>
            <w:pPr>
              <w:spacing w:line="276" w:lineRule="auto" w:after="0"/>
            </w:pPr>
            <w:r>
              <w:rPr>
                <w:rFonts w:ascii="Arial" w:hAnsi="Arial" w:eastAsia="Arial"/>
                <w:sz w:val="18"/>
              </w:rPr>
              <w:t>0.20</w:t>
            </w:r>
          </w:p>
        </w:tc>
      </w:tr>
      <w:tr>
        <w:tc>
          <w:tcPr>
            <w:tcW w:type="dxa" w:w="3600"/>
            <w:tcMar>
              <w:top w:w="80" w:type="dxa"/>
              <w:start w:w="120" w:type="dxa"/>
              <w:bottom w:w="80" w:type="dxa"/>
              <w:end w:w="120" w:type="dxa"/>
            </w:tcMar>
            <w:vAlign w:val="center"/>
          </w:tcPr>
          <w:p>
            <w:pPr>
              <w:spacing w:line="276" w:lineRule="auto" w:after="0"/>
            </w:pPr>
            <w:r>
              <w:rPr>
                <w:rFonts w:ascii="Arial" w:hAnsi="Arial" w:eastAsia="Arial"/>
                <w:sz w:val="18"/>
              </w:rPr>
              <w:t>Static friction coefficient</w:t>
            </w:r>
          </w:p>
        </w:tc>
        <w:tc>
          <w:tcPr>
            <w:tcW w:type="dxa" w:w="5760"/>
            <w:tcMar>
              <w:top w:w="80" w:type="dxa"/>
              <w:start w:w="120" w:type="dxa"/>
              <w:bottom w:w="80" w:type="dxa"/>
              <w:end w:w="120" w:type="dxa"/>
            </w:tcMar>
            <w:vAlign w:val="center"/>
          </w:tcPr>
          <w:p>
            <w:pPr>
              <w:spacing w:line="276" w:lineRule="auto" w:after="0"/>
            </w:pPr>
            <w:r>
              <w:rPr>
                <w:rFonts w:ascii="Arial" w:hAnsi="Arial" w:eastAsia="Arial"/>
                <w:sz w:val="18"/>
              </w:rPr>
              <w:t>0.85</w:t>
            </w:r>
          </w:p>
        </w:tc>
      </w:tr>
      <w:tr>
        <w:tc>
          <w:tcPr>
            <w:tcW w:type="dxa" w:w="3600"/>
            <w:tcMar>
              <w:top w:w="80" w:type="dxa"/>
              <w:start w:w="120" w:type="dxa"/>
              <w:bottom w:w="80" w:type="dxa"/>
              <w:end w:w="120" w:type="dxa"/>
            </w:tcMar>
            <w:vAlign w:val="center"/>
          </w:tcPr>
          <w:p>
            <w:pPr>
              <w:spacing w:line="276" w:lineRule="auto" w:after="0"/>
            </w:pPr>
            <w:r>
              <w:rPr>
                <w:rFonts w:ascii="Arial" w:hAnsi="Arial" w:eastAsia="Arial"/>
                <w:sz w:val="18"/>
              </w:rPr>
              <w:t>Sliding friction coefficient</w:t>
            </w:r>
          </w:p>
        </w:tc>
        <w:tc>
          <w:tcPr>
            <w:tcW w:type="dxa" w:w="5760"/>
            <w:tcMar>
              <w:top w:w="80" w:type="dxa"/>
              <w:start w:w="120" w:type="dxa"/>
              <w:bottom w:w="80" w:type="dxa"/>
              <w:end w:w="120" w:type="dxa"/>
            </w:tcMar>
            <w:vAlign w:val="center"/>
          </w:tcPr>
          <w:p>
            <w:pPr>
              <w:spacing w:line="276" w:lineRule="auto" w:after="0"/>
            </w:pPr>
            <w:r>
              <w:rPr>
                <w:rFonts w:ascii="Arial" w:hAnsi="Arial" w:eastAsia="Arial"/>
                <w:sz w:val="18"/>
              </w:rPr>
              <w:t>0.65</w:t>
            </w:r>
          </w:p>
        </w:tc>
      </w:tr>
      <w:tr>
        <w:tc>
          <w:tcPr>
            <w:tcW w:type="dxa" w:w="3600"/>
            <w:tcMar>
              <w:top w:w="80" w:type="dxa"/>
              <w:start w:w="120" w:type="dxa"/>
              <w:bottom w:w="80" w:type="dxa"/>
              <w:end w:w="120" w:type="dxa"/>
            </w:tcMar>
            <w:vAlign w:val="center"/>
          </w:tcPr>
          <w:p>
            <w:pPr>
              <w:spacing w:line="276" w:lineRule="auto" w:after="0"/>
            </w:pPr>
            <w:r>
              <w:rPr>
                <w:rFonts w:ascii="Arial" w:hAnsi="Arial" w:eastAsia="Arial"/>
                <w:sz w:val="18"/>
              </w:rPr>
              <w:t>Rolling friction coefficient</w:t>
            </w:r>
          </w:p>
        </w:tc>
        <w:tc>
          <w:tcPr>
            <w:tcW w:type="dxa" w:w="5760"/>
            <w:tcMar>
              <w:top w:w="80" w:type="dxa"/>
              <w:start w:w="120" w:type="dxa"/>
              <w:bottom w:w="80" w:type="dxa"/>
              <w:end w:w="120" w:type="dxa"/>
            </w:tcMar>
            <w:vAlign w:val="center"/>
          </w:tcPr>
          <w:p>
            <w:pPr>
              <w:spacing w:line="276" w:lineRule="auto" w:after="0"/>
            </w:pPr>
            <w:r>
              <w:rPr>
                <w:rFonts w:ascii="Arial" w:hAnsi="Arial" w:eastAsia="Arial"/>
                <w:sz w:val="18"/>
              </w:rPr>
              <w:t>0.15</w:t>
            </w:r>
          </w:p>
        </w:tc>
      </w:tr>
      <w:tr>
        <w:tc>
          <w:tcPr>
            <w:tcW w:type="dxa" w:w="3600"/>
            <w:tcMar>
              <w:top w:w="80" w:type="dxa"/>
              <w:start w:w="120" w:type="dxa"/>
              <w:bottom w:w="80" w:type="dxa"/>
              <w:end w:w="120" w:type="dxa"/>
            </w:tcMar>
            <w:vAlign w:val="center"/>
          </w:tcPr>
          <w:p>
            <w:pPr>
              <w:spacing w:line="276" w:lineRule="auto" w:after="0"/>
            </w:pPr>
            <w:r>
              <w:rPr>
                <w:rFonts w:ascii="Arial" w:hAnsi="Arial" w:eastAsia="Arial"/>
                <w:sz w:val="18"/>
              </w:rPr>
              <w:t>Spinning friction coefficient</w:t>
            </w:r>
          </w:p>
        </w:tc>
        <w:tc>
          <w:tcPr>
            <w:tcW w:type="dxa" w:w="5760"/>
            <w:tcMar>
              <w:top w:w="80" w:type="dxa"/>
              <w:start w:w="120" w:type="dxa"/>
              <w:bottom w:w="80" w:type="dxa"/>
              <w:end w:w="120" w:type="dxa"/>
            </w:tcMar>
            <w:vAlign w:val="center"/>
          </w:tcPr>
          <w:p>
            <w:pPr>
              <w:spacing w:line="276" w:lineRule="auto" w:after="0"/>
            </w:pPr>
            <w:r>
              <w:rPr>
                <w:rFonts w:ascii="Arial" w:hAnsi="Arial" w:eastAsia="Arial"/>
                <w:sz w:val="18"/>
              </w:rPr>
              <w:t>0.03</w:t>
            </w:r>
          </w:p>
        </w:tc>
      </w:tr>
    </w:tbl>
    <w:p>
      <w:pPr>
        <w:spacing w:line="360" w:lineRule="auto"/>
        <w:jc w:val="left"/>
      </w:pPr>
    </w:p>
    <w:p>
      <w:pPr>
        <w:pStyle w:val="Heading2"/>
        <w:spacing w:line="360" w:lineRule="auto"/>
        <w:jc w:val="left"/>
      </w:pPr>
      <w:r>
        <w:t>Mesh placement and exterior point-cloud sampling</w:t>
      </w:r>
    </w:p>
    <w:p>
      <w:pPr>
        <w:spacing w:line="360" w:lineRule="auto"/>
        <w:jc w:val="left"/>
      </w:pPr>
      <w:r>
        <w:t>After placement, source fragment meshes were reconstructed at their stored scene centres and orientations. This mesh-level reconstruction was used for visual audit and for confirming that fragment identity had not been lost during scene construction. The learning data were not sampled from arbitrary internal surfaces. Instead, the full mesh scene was converted into an exterior scan proxy using multi-view Hidden Point Removal. This change preserves the stored rockpile placement while replacing the earlier plan-view height-envelope filter, which could remove legitimate side-visible exterior points.</w:t>
      </w:r>
    </w:p>
    <w:p>
      <w:pPr>
        <w:jc w:val="center"/>
      </w:pPr>
      <w:r>
        <w:drawing>
          <wp:inline xmlns:a="http://schemas.openxmlformats.org/drawingml/2006/main" xmlns:pic="http://schemas.openxmlformats.org/drawingml/2006/picture">
            <wp:extent cx="5688000" cy="2724330"/>
            <wp:docPr id="3" name="Picture 3"/>
            <wp:cNvGraphicFramePr>
              <a:graphicFrameLocks noChangeAspect="1"/>
            </wp:cNvGraphicFramePr>
            <a:graphic>
              <a:graphicData uri="http://schemas.openxmlformats.org/drawingml/2006/picture">
                <pic:pic>
                  <pic:nvPicPr>
                    <pic:cNvPr id="0" name="rockpile_mesh_exterior_scene000.png"/>
                    <pic:cNvPicPr/>
                  </pic:nvPicPr>
                  <pic:blipFill>
                    <a:blip r:embed="rId12"/>
                    <a:stretch>
                      <a:fillRect/>
                    </a:stretch>
                  </pic:blipFill>
                  <pic:spPr>
                    <a:xfrm>
                      <a:off x="0" y="0"/>
                      <a:ext cx="5688000" cy="2724330"/>
                    </a:xfrm>
                    <a:prstGeom prst="rect"/>
                  </pic:spPr>
                </pic:pic>
              </a:graphicData>
            </a:graphic>
          </wp:inline>
        </w:drawing>
      </w:r>
    </w:p>
    <w:p>
      <w:pPr>
        <w:pStyle w:val="Caption"/>
        <w:spacing w:line="360" w:lineRule="auto"/>
        <w:jc w:val="left"/>
      </w:pPr>
      <w:r>
        <w:rPr>
          <w:b/>
        </w:rPr>
        <w:t xml:space="preserve">Figure 3. </w:t>
      </w:r>
      <w:r>
        <w:t>Scene 000 mesh-level pile visualisation and exterior-only point-cloud target with retained fragment labels</w:t>
      </w:r>
    </w:p>
    <w:p>
      <w:pPr>
        <w:jc w:val="center"/>
      </w:pPr>
      <w:r>
        <w:drawing>
          <wp:inline xmlns:a="http://schemas.openxmlformats.org/drawingml/2006/main" xmlns:pic="http://schemas.openxmlformats.org/drawingml/2006/picture">
            <wp:extent cx="5328000" cy="4862164"/>
            <wp:docPr id="4" name="Picture 4"/>
            <wp:cNvGraphicFramePr>
              <a:graphicFrameLocks noChangeAspect="1"/>
            </wp:cNvGraphicFramePr>
            <a:graphic>
              <a:graphicData uri="http://schemas.openxmlformats.org/drawingml/2006/picture">
                <pic:pic>
                  <pic:nvPicPr>
                    <pic:cNvPr id="0" name="dem_noboundary_relax150_scene000_preview.png"/>
                    <pic:cNvPicPr/>
                  </pic:nvPicPr>
                  <pic:blipFill>
                    <a:blip r:embed="rId13"/>
                    <a:stretch>
                      <a:fillRect/>
                    </a:stretch>
                  </pic:blipFill>
                  <pic:spPr>
                    <a:xfrm>
                      <a:off x="0" y="0"/>
                      <a:ext cx="5328000" cy="4862164"/>
                    </a:xfrm>
                    <a:prstGeom prst="rect"/>
                  </pic:spPr>
                </pic:pic>
              </a:graphicData>
            </a:graphic>
          </wp:inline>
        </w:drawing>
      </w:r>
    </w:p>
    <w:p>
      <w:pPr>
        <w:pStyle w:val="Caption"/>
        <w:spacing w:line="360" w:lineRule="auto"/>
        <w:jc w:val="left"/>
      </w:pPr>
      <w:r>
        <w:rPr>
          <w:b/>
        </w:rPr>
        <w:t xml:space="preserve">Figure 4. </w:t>
      </w:r>
      <w:r>
        <w:t>Representative exterior point cloud from the no-boundary 150-fragment dataset</w:t>
      </w:r>
    </w:p>
    <w:p>
      <w:pPr>
        <w:pStyle w:val="Heading2"/>
        <w:spacing w:line="360" w:lineRule="auto"/>
        <w:jc w:val="left"/>
      </w:pPr>
      <w:r>
        <w:t>Exterior-only scan construction</w:t>
      </w:r>
    </w:p>
    <w:p>
      <w:pPr>
        <w:pStyle w:val="Caption"/>
        <w:spacing w:line="360" w:lineRule="auto"/>
        <w:jc w:val="left"/>
      </w:pPr>
      <w:r>
        <w:rPr>
          <w:b/>
        </w:rPr>
        <w:t xml:space="preserve">Table 3. </w:t>
      </w:r>
      <w:r>
        <w:t>Exterior scan and graph construction settings used for the learning target</w:t>
      </w:r>
    </w:p>
    <w:tbl>
      <w:tblPr>
        <w:tblStyle w:val="TableGrid"/>
        <w:tblW w:type="dxa" w:w="9360"/>
        <w:jc w:val="left"/>
        <w:tblLayout w:type="fixed"/>
        <w:tblLook w:firstColumn="1" w:firstRow="1" w:lastColumn="0" w:lastRow="0" w:noHBand="0" w:noVBand="1" w:val="04A0"/>
        <w:tblInd w:w="0" w:type="dxa"/>
      </w:tblPr>
      <w:tblGrid>
        <w:gridCol w:w="3000"/>
        <w:gridCol w:w="6360"/>
      </w:tblGrid>
      <w:tr>
        <w:trPr>
          <w:tblHeader w:val="true"/>
        </w:trPr>
        <w:tc>
          <w:tcPr>
            <w:tcW w:type="dxa" w:w="3000"/>
            <w:shd w:fill="EDEDED"/>
            <w:tcMar>
              <w:top w:w="80" w:type="dxa"/>
              <w:start w:w="120" w:type="dxa"/>
              <w:bottom w:w="80" w:type="dxa"/>
              <w:end w:w="120" w:type="dxa"/>
            </w:tcMar>
            <w:vAlign w:val="center"/>
          </w:tcPr>
          <w:p>
            <w:pPr>
              <w:spacing w:line="276" w:lineRule="auto" w:after="0"/>
            </w:pPr>
            <w:r>
              <w:rPr>
                <w:rFonts w:ascii="Arial" w:hAnsi="Arial" w:eastAsia="Arial"/>
                <w:b/>
                <w:sz w:val="18"/>
              </w:rPr>
              <w:t>Stage</w:t>
            </w:r>
          </w:p>
        </w:tc>
        <w:tc>
          <w:tcPr>
            <w:tcW w:type="dxa" w:w="6360"/>
            <w:shd w:fill="EDEDED"/>
            <w:tcMar>
              <w:top w:w="80" w:type="dxa"/>
              <w:start w:w="120" w:type="dxa"/>
              <w:bottom w:w="80" w:type="dxa"/>
              <w:end w:w="120" w:type="dxa"/>
            </w:tcMar>
            <w:vAlign w:val="center"/>
          </w:tcPr>
          <w:p>
            <w:pPr>
              <w:spacing w:line="276" w:lineRule="auto" w:after="0"/>
            </w:pPr>
            <w:r>
              <w:rPr>
                <w:rFonts w:ascii="Arial" w:hAnsi="Arial" w:eastAsia="Arial"/>
                <w:b/>
                <w:sz w:val="18"/>
              </w:rPr>
              <w:t>Setting</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Surface visibility</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Hidden Point Removal using spherical flipping and convex-hull visibility</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Viewpoints</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Eight side-ring viewpoints plus one overhead viewpoint</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Envelope filtering</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None in the production HPR run; side-visible exterior points are retained</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Label transfer</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Each retained point stores the source fragment identity</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Graph construction</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Local point graph built from exterior samples only</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Learning target</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Binary same-fragment edge affinity</w:t>
            </w:r>
          </w:p>
        </w:tc>
      </w:tr>
      <w:tr>
        <w:tc>
          <w:tcPr>
            <w:tcW w:type="dxa" w:w="3000"/>
            <w:tcMar>
              <w:top w:w="80" w:type="dxa"/>
              <w:start w:w="120" w:type="dxa"/>
              <w:bottom w:w="80" w:type="dxa"/>
              <w:end w:w="120" w:type="dxa"/>
            </w:tcMar>
            <w:vAlign w:val="center"/>
          </w:tcPr>
          <w:p>
            <w:pPr>
              <w:spacing w:line="276" w:lineRule="auto" w:after="0"/>
            </w:pPr>
            <w:r>
              <w:rPr>
                <w:rFonts w:ascii="Arial" w:hAnsi="Arial" w:eastAsia="Arial"/>
                <w:sz w:val="18"/>
              </w:rPr>
              <w:t>Post-processing</w:t>
            </w:r>
          </w:p>
        </w:tc>
        <w:tc>
          <w:tcPr>
            <w:tcW w:type="dxa" w:w="6360"/>
            <w:tcMar>
              <w:top w:w="80" w:type="dxa"/>
              <w:start w:w="120" w:type="dxa"/>
              <w:bottom w:w="80" w:type="dxa"/>
              <w:end w:w="120" w:type="dxa"/>
            </w:tcMar>
            <w:vAlign w:val="center"/>
          </w:tcPr>
          <w:p>
            <w:pPr>
              <w:spacing w:line="276" w:lineRule="auto" w:after="0"/>
            </w:pPr>
            <w:r>
              <w:rPr>
                <w:rFonts w:ascii="Arial" w:hAnsi="Arial" w:eastAsia="Arial"/>
                <w:sz w:val="18"/>
              </w:rPr>
              <w:t>Thresholded affinities converted to connected components and size proxies</w:t>
            </w:r>
          </w:p>
        </w:tc>
      </w:tr>
    </w:tbl>
    <w:p>
      <w:pPr>
        <w:spacing w:line="360" w:lineRule="auto"/>
        <w:jc w:val="left"/>
      </w:pPr>
    </w:p>
    <w:p>
      <w:pPr>
        <w:spacing w:line="360" w:lineRule="auto"/>
        <w:jc w:val="left"/>
      </w:pPr>
      <w:r>
        <w:t>The exterior filter is deliberately conservative. A full synthetic pile includes contact patches and interior faces that cannot be observed from a field scan. Training on those points would make the benchmark easier but less relevant. The HPR exterior-only construction therefore sacrifices some label completeness to preserve the visibility constraint. Across the 100 HPR-refiltered scenes, the mean retained fragment count was 141.89 out of 150 requested fragments, the mean exterior point count was 6975.05, and the mean local-graph positive edge fraction was 0.924.</w:t>
      </w:r>
    </w:p>
    <w:p>
      <w:pPr>
        <w:jc w:val="center"/>
      </w:pPr>
      <w:r>
        <w:drawing>
          <wp:inline xmlns:a="http://schemas.openxmlformats.org/drawingml/2006/main" xmlns:pic="http://schemas.openxmlformats.org/drawingml/2006/picture">
            <wp:extent cx="5688000" cy="3674673"/>
            <wp:docPr id="5" name="Picture 5"/>
            <wp:cNvGraphicFramePr>
              <a:graphicFrameLocks noChangeAspect="1"/>
            </wp:cNvGraphicFramePr>
            <a:graphic>
              <a:graphicData uri="http://schemas.openxmlformats.org/drawingml/2006/picture">
                <pic:pic>
                  <pic:nvPicPr>
                    <pic:cNvPr id="0" name="exterior_filter_section_scan_scene000.png"/>
                    <pic:cNvPicPr/>
                  </pic:nvPicPr>
                  <pic:blipFill>
                    <a:blip r:embed="rId14"/>
                    <a:stretch>
                      <a:fillRect/>
                    </a:stretch>
                  </pic:blipFill>
                  <pic:spPr>
                    <a:xfrm>
                      <a:off x="0" y="0"/>
                      <a:ext cx="5688000" cy="3674673"/>
                    </a:xfrm>
                    <a:prstGeom prst="rect"/>
                  </pic:spPr>
                </pic:pic>
              </a:graphicData>
            </a:graphic>
          </wp:inline>
        </w:drawing>
      </w:r>
    </w:p>
    <w:p>
      <w:pPr>
        <w:pStyle w:val="Caption"/>
        <w:spacing w:line="360" w:lineRule="auto"/>
        <w:jc w:val="left"/>
      </w:pPr>
      <w:r>
        <w:rPr>
          <w:b/>
        </w:rPr>
        <w:t xml:space="preserve">Figure 5. </w:t>
      </w:r>
      <w:r>
        <w:t>Exterior-only HPR diagnostic for scene 000. The half-section shows that hidden interior samples are removed while the retained scan follows the visible outside shell</w:t>
      </w:r>
    </w:p>
    <w:p>
      <w:pPr>
        <w:pStyle w:val="Heading1"/>
        <w:spacing w:line="360" w:lineRule="auto"/>
        <w:jc w:val="left"/>
      </w:pPr>
      <w:r>
        <w:t>Edge-affinity learning and baseline methods</w:t>
      </w:r>
    </w:p>
    <w:p>
      <w:pPr>
        <w:pStyle w:val="Heading2"/>
        <w:spacing w:line="360" w:lineRule="auto"/>
        <w:jc w:val="left"/>
      </w:pPr>
      <w:r>
        <w:t>Why EdgeConv was used</w:t>
      </w:r>
    </w:p>
    <w:p>
      <w:pPr>
        <w:spacing w:line="360" w:lineRule="auto"/>
        <w:jc w:val="left"/>
      </w:pPr>
      <w:r>
        <w:t>EdgeConv was selected because the task is local and relational. Rockpile segmentation depends on whether adjacent surface patches belong to the same fragment, and this decision is influenced by relative position, local surface shape, and neighbourhood context. A scene-level fragment-ID classifier would not transfer across piles because fragment numbers are arbitrary. A purely global network would also discard the local contact information that separates neighbouring stones. EdgeConv instead forms local graph features and updates point representations from neighbouring relationships, matching the edge-affinity formulation of the benchmark.</w:t>
      </w:r>
    </w:p>
    <w:p>
      <w:pPr>
        <w:jc w:val="center"/>
      </w:pPr>
      <w:r>
        <w:drawing>
          <wp:inline xmlns:a="http://schemas.openxmlformats.org/drawingml/2006/main" xmlns:pic="http://schemas.openxmlformats.org/drawingml/2006/picture">
            <wp:extent cx="5400000" cy="1725000"/>
            <wp:docPr id="6" name="Picture 6"/>
            <wp:cNvGraphicFramePr>
              <a:graphicFrameLocks noChangeAspect="1"/>
            </wp:cNvGraphicFramePr>
            <a:graphic>
              <a:graphicData uri="http://schemas.openxmlformats.org/drawingml/2006/picture">
                <pic:pic>
                  <pic:nvPicPr>
                    <pic:cNvPr id="0" name="edge_affinity_schematic.png"/>
                    <pic:cNvPicPr/>
                  </pic:nvPicPr>
                  <pic:blipFill>
                    <a:blip r:embed="rId15"/>
                    <a:stretch>
                      <a:fillRect/>
                    </a:stretch>
                  </pic:blipFill>
                  <pic:spPr>
                    <a:xfrm>
                      <a:off x="0" y="0"/>
                      <a:ext cx="5400000" cy="1725000"/>
                    </a:xfrm>
                    <a:prstGeom prst="rect"/>
                  </pic:spPr>
                </pic:pic>
              </a:graphicData>
            </a:graphic>
          </wp:inline>
        </w:drawing>
      </w:r>
    </w:p>
    <w:p>
      <w:pPr>
        <w:pStyle w:val="Caption"/>
        <w:spacing w:line="360" w:lineRule="auto"/>
        <w:jc w:val="left"/>
      </w:pPr>
      <w:r>
        <w:rPr>
          <w:b/>
        </w:rPr>
        <w:t xml:space="preserve">Figure 6. </w:t>
      </w:r>
      <w:r>
        <w:t>Edge-affinity formulation from exterior points to graph edges, thresholded components, and size-distribution proxies</w:t>
      </w:r>
    </w:p>
    <w:p>
      <w:pPr>
        <w:pStyle w:val="Caption"/>
        <w:spacing w:line="360" w:lineRule="auto"/>
        <w:jc w:val="left"/>
      </w:pPr>
      <w:r>
        <w:rPr>
          <w:b/>
        </w:rPr>
        <w:t xml:space="preserve">Table 4. </w:t>
      </w:r>
      <w:r>
        <w:t>EdgeConv model and training configuration for the 150-fragment, 100-scene run</w:t>
      </w:r>
    </w:p>
    <w:tbl>
      <w:tblPr>
        <w:tblStyle w:val="TableGrid"/>
        <w:tblW w:type="dxa" w:w="9360"/>
        <w:jc w:val="left"/>
        <w:tblLayout w:type="fixed"/>
        <w:tblLook w:firstColumn="1" w:firstRow="1" w:lastColumn="0" w:lastRow="0" w:noHBand="0" w:noVBand="1" w:val="04A0"/>
        <w:tblInd w:w="0" w:type="dxa"/>
      </w:tblPr>
      <w:tblGrid>
        <w:gridCol w:w="3100"/>
        <w:gridCol w:w="6260"/>
      </w:tblGrid>
      <w:tr>
        <w:trPr>
          <w:tblHeader w:val="true"/>
        </w:trPr>
        <w:tc>
          <w:tcPr>
            <w:tcW w:type="dxa" w:w="3100"/>
            <w:shd w:fill="EDEDED"/>
            <w:tcMar>
              <w:top w:w="80" w:type="dxa"/>
              <w:start w:w="120" w:type="dxa"/>
              <w:bottom w:w="80" w:type="dxa"/>
              <w:end w:w="120" w:type="dxa"/>
            </w:tcMar>
            <w:vAlign w:val="center"/>
          </w:tcPr>
          <w:p>
            <w:pPr>
              <w:spacing w:line="276" w:lineRule="auto" w:after="0"/>
            </w:pPr>
            <w:r>
              <w:rPr>
                <w:rFonts w:ascii="Arial" w:hAnsi="Arial" w:eastAsia="Arial"/>
                <w:b/>
                <w:sz w:val="18"/>
              </w:rPr>
              <w:t>Component</w:t>
            </w:r>
          </w:p>
        </w:tc>
        <w:tc>
          <w:tcPr>
            <w:tcW w:type="dxa" w:w="6260"/>
            <w:shd w:fill="EDEDED"/>
            <w:tcMar>
              <w:top w:w="80" w:type="dxa"/>
              <w:start w:w="120" w:type="dxa"/>
              <w:bottom w:w="80" w:type="dxa"/>
              <w:end w:w="120" w:type="dxa"/>
            </w:tcMar>
            <w:vAlign w:val="center"/>
          </w:tcPr>
          <w:p>
            <w:pPr>
              <w:spacing w:line="276" w:lineRule="auto" w:after="0"/>
            </w:pPr>
            <w:r>
              <w:rPr>
                <w:rFonts w:ascii="Arial" w:hAnsi="Arial" w:eastAsia="Arial"/>
                <w:b/>
                <w:sz w:val="18"/>
              </w:rPr>
              <w:t>Configuration</w:t>
            </w:r>
          </w:p>
        </w:tc>
      </w:tr>
      <w:tr>
        <w:tc>
          <w:tcPr>
            <w:tcW w:type="dxa" w:w="3100"/>
            <w:tcMar>
              <w:top w:w="80" w:type="dxa"/>
              <w:start w:w="120" w:type="dxa"/>
              <w:bottom w:w="80" w:type="dxa"/>
              <w:end w:w="120" w:type="dxa"/>
            </w:tcMar>
            <w:vAlign w:val="center"/>
          </w:tcPr>
          <w:p>
            <w:pPr>
              <w:spacing w:line="276" w:lineRule="auto" w:after="0"/>
            </w:pPr>
            <w:r>
              <w:rPr>
                <w:rFonts w:ascii="Arial" w:hAnsi="Arial" w:eastAsia="Arial"/>
                <w:sz w:val="18"/>
              </w:rPr>
              <w:t>Input</w:t>
            </w:r>
          </w:p>
        </w:tc>
        <w:tc>
          <w:tcPr>
            <w:tcW w:type="dxa" w:w="6260"/>
            <w:tcMar>
              <w:top w:w="80" w:type="dxa"/>
              <w:start w:w="120" w:type="dxa"/>
              <w:bottom w:w="80" w:type="dxa"/>
              <w:end w:w="120" w:type="dxa"/>
            </w:tcMar>
            <w:vAlign w:val="center"/>
          </w:tcPr>
          <w:p>
            <w:pPr>
              <w:spacing w:line="276" w:lineRule="auto" w:after="0"/>
            </w:pPr>
            <w:r>
              <w:rPr>
                <w:rFonts w:ascii="Arial" w:hAnsi="Arial" w:eastAsia="Arial"/>
                <w:sz w:val="18"/>
              </w:rPr>
              <w:t>Exterior point coordinates and local graph edges</w:t>
            </w:r>
          </w:p>
        </w:tc>
      </w:tr>
      <w:tr>
        <w:tc>
          <w:tcPr>
            <w:tcW w:type="dxa" w:w="3100"/>
            <w:tcMar>
              <w:top w:w="80" w:type="dxa"/>
              <w:start w:w="120" w:type="dxa"/>
              <w:bottom w:w="80" w:type="dxa"/>
              <w:end w:w="120" w:type="dxa"/>
            </w:tcMar>
            <w:vAlign w:val="center"/>
          </w:tcPr>
          <w:p>
            <w:pPr>
              <w:spacing w:line="276" w:lineRule="auto" w:after="0"/>
            </w:pPr>
            <w:r>
              <w:rPr>
                <w:rFonts w:ascii="Arial" w:hAnsi="Arial" w:eastAsia="Arial"/>
                <w:sz w:val="18"/>
              </w:rPr>
              <w:t>Target</w:t>
            </w:r>
          </w:p>
        </w:tc>
        <w:tc>
          <w:tcPr>
            <w:tcW w:type="dxa" w:w="6260"/>
            <w:tcMar>
              <w:top w:w="80" w:type="dxa"/>
              <w:start w:w="120" w:type="dxa"/>
              <w:bottom w:w="80" w:type="dxa"/>
              <w:end w:w="120" w:type="dxa"/>
            </w:tcMar>
            <w:vAlign w:val="center"/>
          </w:tcPr>
          <w:p>
            <w:pPr>
              <w:spacing w:line="276" w:lineRule="auto" w:after="0"/>
            </w:pPr>
            <w:r>
              <w:rPr>
                <w:rFonts w:ascii="Arial" w:hAnsi="Arial" w:eastAsia="Arial"/>
                <w:sz w:val="18"/>
              </w:rPr>
              <w:t>Balanced positive and negative same-fragment edge labels</w:t>
            </w:r>
          </w:p>
        </w:tc>
      </w:tr>
      <w:tr>
        <w:tc>
          <w:tcPr>
            <w:tcW w:type="dxa" w:w="3100"/>
            <w:tcMar>
              <w:top w:w="80" w:type="dxa"/>
              <w:start w:w="120" w:type="dxa"/>
              <w:bottom w:w="80" w:type="dxa"/>
              <w:end w:w="120" w:type="dxa"/>
            </w:tcMar>
            <w:vAlign w:val="center"/>
          </w:tcPr>
          <w:p>
            <w:pPr>
              <w:spacing w:line="276" w:lineRule="auto" w:after="0"/>
            </w:pPr>
            <w:r>
              <w:rPr>
                <w:rFonts w:ascii="Arial" w:hAnsi="Arial" w:eastAsia="Arial"/>
                <w:sz w:val="18"/>
              </w:rPr>
              <w:t>Backbone</w:t>
            </w:r>
          </w:p>
        </w:tc>
        <w:tc>
          <w:tcPr>
            <w:tcW w:type="dxa" w:w="6260"/>
            <w:tcMar>
              <w:top w:w="80" w:type="dxa"/>
              <w:start w:w="120" w:type="dxa"/>
              <w:bottom w:w="80" w:type="dxa"/>
              <w:end w:w="120" w:type="dxa"/>
            </w:tcMar>
            <w:vAlign w:val="center"/>
          </w:tcPr>
          <w:p>
            <w:pPr>
              <w:spacing w:line="276" w:lineRule="auto" w:after="0"/>
            </w:pPr>
            <w:r>
              <w:rPr>
                <w:rFonts w:ascii="Arial" w:hAnsi="Arial" w:eastAsia="Arial"/>
                <w:sz w:val="18"/>
              </w:rPr>
              <w:t>Dynamic graph EdgeConv-style local feature aggregation</w:t>
            </w:r>
          </w:p>
        </w:tc>
      </w:tr>
      <w:tr>
        <w:tc>
          <w:tcPr>
            <w:tcW w:type="dxa" w:w="3100"/>
            <w:tcMar>
              <w:top w:w="80" w:type="dxa"/>
              <w:start w:w="120" w:type="dxa"/>
              <w:bottom w:w="80" w:type="dxa"/>
              <w:end w:w="120" w:type="dxa"/>
            </w:tcMar>
            <w:vAlign w:val="center"/>
          </w:tcPr>
          <w:p>
            <w:pPr>
              <w:spacing w:line="276" w:lineRule="auto" w:after="0"/>
            </w:pPr>
            <w:r>
              <w:rPr>
                <w:rFonts w:ascii="Arial" w:hAnsi="Arial" w:eastAsia="Arial"/>
                <w:sz w:val="18"/>
              </w:rPr>
              <w:t>Training scenes</w:t>
            </w:r>
          </w:p>
        </w:tc>
        <w:tc>
          <w:tcPr>
            <w:tcW w:type="dxa" w:w="6260"/>
            <w:tcMar>
              <w:top w:w="80" w:type="dxa"/>
              <w:start w:w="120" w:type="dxa"/>
              <w:bottom w:w="80" w:type="dxa"/>
              <w:end w:w="120" w:type="dxa"/>
            </w:tcMar>
            <w:vAlign w:val="center"/>
          </w:tcPr>
          <w:p>
            <w:pPr>
              <w:spacing w:line="276" w:lineRule="auto" w:after="0"/>
            </w:pPr>
            <w:r>
              <w:rPr>
                <w:rFonts w:ascii="Arial" w:hAnsi="Arial" w:eastAsia="Arial"/>
                <w:sz w:val="18"/>
              </w:rPr>
              <w:t>60</w:t>
            </w:r>
          </w:p>
        </w:tc>
      </w:tr>
      <w:tr>
        <w:tc>
          <w:tcPr>
            <w:tcW w:type="dxa" w:w="3100"/>
            <w:tcMar>
              <w:top w:w="80" w:type="dxa"/>
              <w:start w:w="120" w:type="dxa"/>
              <w:bottom w:w="80" w:type="dxa"/>
              <w:end w:w="120" w:type="dxa"/>
            </w:tcMar>
            <w:vAlign w:val="center"/>
          </w:tcPr>
          <w:p>
            <w:pPr>
              <w:spacing w:line="276" w:lineRule="auto" w:after="0"/>
            </w:pPr>
            <w:r>
              <w:rPr>
                <w:rFonts w:ascii="Arial" w:hAnsi="Arial" w:eastAsia="Arial"/>
                <w:sz w:val="18"/>
              </w:rPr>
              <w:t>Validation scenes</w:t>
            </w:r>
          </w:p>
        </w:tc>
        <w:tc>
          <w:tcPr>
            <w:tcW w:type="dxa" w:w="6260"/>
            <w:tcMar>
              <w:top w:w="80" w:type="dxa"/>
              <w:start w:w="120" w:type="dxa"/>
              <w:bottom w:w="80" w:type="dxa"/>
              <w:end w:w="120" w:type="dxa"/>
            </w:tcMar>
            <w:vAlign w:val="center"/>
          </w:tcPr>
          <w:p>
            <w:pPr>
              <w:spacing w:line="276" w:lineRule="auto" w:after="0"/>
            </w:pPr>
            <w:r>
              <w:rPr>
                <w:rFonts w:ascii="Arial" w:hAnsi="Arial" w:eastAsia="Arial"/>
                <w:sz w:val="18"/>
              </w:rPr>
              <w:t>20</w:t>
            </w:r>
          </w:p>
        </w:tc>
      </w:tr>
      <w:tr>
        <w:tc>
          <w:tcPr>
            <w:tcW w:type="dxa" w:w="3100"/>
            <w:tcMar>
              <w:top w:w="80" w:type="dxa"/>
              <w:start w:w="120" w:type="dxa"/>
              <w:bottom w:w="80" w:type="dxa"/>
              <w:end w:w="120" w:type="dxa"/>
            </w:tcMar>
            <w:vAlign w:val="center"/>
          </w:tcPr>
          <w:p>
            <w:pPr>
              <w:spacing w:line="276" w:lineRule="auto" w:after="0"/>
            </w:pPr>
            <w:r>
              <w:rPr>
                <w:rFonts w:ascii="Arial" w:hAnsi="Arial" w:eastAsia="Arial"/>
                <w:sz w:val="18"/>
              </w:rPr>
              <w:t>Held-out test scenes</w:t>
            </w:r>
          </w:p>
        </w:tc>
        <w:tc>
          <w:tcPr>
            <w:tcW w:type="dxa" w:w="6260"/>
            <w:tcMar>
              <w:top w:w="80" w:type="dxa"/>
              <w:start w:w="120" w:type="dxa"/>
              <w:bottom w:w="80" w:type="dxa"/>
              <w:end w:w="120" w:type="dxa"/>
            </w:tcMar>
            <w:vAlign w:val="center"/>
          </w:tcPr>
          <w:p>
            <w:pPr>
              <w:spacing w:line="276" w:lineRule="auto" w:after="0"/>
            </w:pPr>
            <w:r>
              <w:rPr>
                <w:rFonts w:ascii="Arial" w:hAnsi="Arial" w:eastAsia="Arial"/>
                <w:sz w:val="18"/>
              </w:rPr>
              <w:t>20</w:t>
            </w:r>
          </w:p>
        </w:tc>
      </w:tr>
      <w:tr>
        <w:tc>
          <w:tcPr>
            <w:tcW w:type="dxa" w:w="3100"/>
            <w:tcMar>
              <w:top w:w="80" w:type="dxa"/>
              <w:start w:w="120" w:type="dxa"/>
              <w:bottom w:w="80" w:type="dxa"/>
              <w:end w:w="120" w:type="dxa"/>
            </w:tcMar>
            <w:vAlign w:val="center"/>
          </w:tcPr>
          <w:p>
            <w:pPr>
              <w:spacing w:line="276" w:lineRule="auto" w:after="0"/>
            </w:pPr>
            <w:r>
              <w:rPr>
                <w:rFonts w:ascii="Arial" w:hAnsi="Arial" w:eastAsia="Arial"/>
                <w:sz w:val="18"/>
              </w:rPr>
              <w:t>Epochs</w:t>
            </w:r>
          </w:p>
        </w:tc>
        <w:tc>
          <w:tcPr>
            <w:tcW w:type="dxa" w:w="6260"/>
            <w:tcMar>
              <w:top w:w="80" w:type="dxa"/>
              <w:start w:w="120" w:type="dxa"/>
              <w:bottom w:w="80" w:type="dxa"/>
              <w:end w:w="120" w:type="dxa"/>
            </w:tcMar>
            <w:vAlign w:val="center"/>
          </w:tcPr>
          <w:p>
            <w:pPr>
              <w:spacing w:line="276" w:lineRule="auto" w:after="0"/>
            </w:pPr>
            <w:r>
              <w:rPr>
                <w:rFonts w:ascii="Arial" w:hAnsi="Arial" w:eastAsia="Arial"/>
                <w:sz w:val="18"/>
              </w:rPr>
              <w:t>24</w:t>
            </w:r>
          </w:p>
        </w:tc>
      </w:tr>
      <w:tr>
        <w:tc>
          <w:tcPr>
            <w:tcW w:type="dxa" w:w="3100"/>
            <w:tcMar>
              <w:top w:w="80" w:type="dxa"/>
              <w:start w:w="120" w:type="dxa"/>
              <w:bottom w:w="80" w:type="dxa"/>
              <w:end w:w="120" w:type="dxa"/>
            </w:tcMar>
            <w:vAlign w:val="center"/>
          </w:tcPr>
          <w:p>
            <w:pPr>
              <w:spacing w:line="276" w:lineRule="auto" w:after="0"/>
            </w:pPr>
            <w:r>
              <w:rPr>
                <w:rFonts w:ascii="Arial" w:hAnsi="Arial" w:eastAsia="Arial"/>
                <w:sz w:val="18"/>
              </w:rPr>
              <w:t>Validation selection</w:t>
            </w:r>
          </w:p>
        </w:tc>
        <w:tc>
          <w:tcPr>
            <w:tcW w:type="dxa" w:w="6260"/>
            <w:tcMar>
              <w:top w:w="80" w:type="dxa"/>
              <w:start w:w="120" w:type="dxa"/>
              <w:bottom w:w="80" w:type="dxa"/>
              <w:end w:w="120" w:type="dxa"/>
            </w:tcMar>
            <w:vAlign w:val="center"/>
          </w:tcPr>
          <w:p>
            <w:pPr>
              <w:spacing w:line="276" w:lineRule="auto" w:after="0"/>
            </w:pPr>
            <w:r>
              <w:rPr>
                <w:rFonts w:ascii="Arial" w:hAnsi="Arial" w:eastAsia="Arial"/>
                <w:sz w:val="18"/>
              </w:rPr>
              <w:t>Threshold selected on validation scenes before test evaluation</w:t>
            </w:r>
          </w:p>
        </w:tc>
      </w:tr>
      <w:tr>
        <w:tc>
          <w:tcPr>
            <w:tcW w:type="dxa" w:w="3100"/>
            <w:tcMar>
              <w:top w:w="80" w:type="dxa"/>
              <w:start w:w="120" w:type="dxa"/>
              <w:bottom w:w="80" w:type="dxa"/>
              <w:end w:w="120" w:type="dxa"/>
            </w:tcMar>
            <w:vAlign w:val="center"/>
          </w:tcPr>
          <w:p>
            <w:pPr>
              <w:spacing w:line="276" w:lineRule="auto" w:after="0"/>
            </w:pPr>
            <w:r>
              <w:rPr>
                <w:rFonts w:ascii="Arial" w:hAnsi="Arial" w:eastAsia="Arial"/>
                <w:sz w:val="18"/>
              </w:rPr>
              <w:t>Post-processing variants</w:t>
            </w:r>
          </w:p>
        </w:tc>
        <w:tc>
          <w:tcPr>
            <w:tcW w:type="dxa" w:w="6260"/>
            <w:tcMar>
              <w:top w:w="80" w:type="dxa"/>
              <w:start w:w="120" w:type="dxa"/>
              <w:bottom w:w="80" w:type="dxa"/>
              <w:end w:w="120" w:type="dxa"/>
            </w:tcMar>
            <w:vAlign w:val="center"/>
          </w:tcPr>
          <w:p>
            <w:pPr>
              <w:spacing w:line="276" w:lineRule="auto" w:after="0"/>
            </w:pPr>
            <w:r>
              <w:rPr>
                <w:rFonts w:ascii="Arial" w:hAnsi="Arial" w:eastAsia="Arial"/>
                <w:sz w:val="18"/>
              </w:rPr>
              <w:t>Plain thresholding, absorb/merge rules, and post-splitting variants</w:t>
            </w:r>
          </w:p>
        </w:tc>
      </w:tr>
    </w:tbl>
    <w:p>
      <w:pPr>
        <w:spacing w:line="360" w:lineRule="auto"/>
        <w:jc w:val="left"/>
      </w:pPr>
    </w:p>
    <w:p>
      <w:pPr>
        <w:pStyle w:val="Heading2"/>
        <w:spacing w:line="360" w:lineRule="auto"/>
        <w:jc w:val="left"/>
      </w:pPr>
      <w:r>
        <w:t>Baseline methods</w:t>
      </w:r>
    </w:p>
    <w:p>
      <w:pPr>
        <w:spacing w:line="360" w:lineRule="auto"/>
        <w:jc w:val="left"/>
      </w:pPr>
      <w:r>
        <w:t>All baseline methods were evaluated on the same 150-fragment scenes and the same 60:20:20 split. The non-learning baselines used validation-selected hyperparameters. The multilayer perceptron baseline used the same edge-affinity target but without EdgeConv neighbourhood feature aggregation, which isolates the value of graph-based local feature learning.</w:t>
      </w:r>
    </w:p>
    <w:p>
      <w:pPr>
        <w:pStyle w:val="Heading1"/>
        <w:spacing w:line="360" w:lineRule="auto"/>
        <w:jc w:val="left"/>
      </w:pPr>
      <w:r>
        <w:t>Size-distribution proxy evaluation</w:t>
      </w:r>
    </w:p>
    <w:p>
      <w:pPr>
        <w:spacing w:line="360" w:lineRule="auto"/>
        <w:jc w:val="left"/>
      </w:pPr>
      <w:r>
        <w:t>Predicted connected components were converted to a visible-surface particle-size proxy using a principal-component span diameter and an equivalent-volume proxy. The eighty per cent passing size was then interpolated from the volume-weighted cumulative curve. The same conversion was used for every method so that differences in reported error come from the predicted components rather than from method-specific size calibration.</w:t>
      </w:r>
    </w:p>
    <w:p>
      <w:pPr>
        <w:spacing w:line="360" w:lineRule="auto"/>
        <w:jc w:val="left"/>
      </w:pPr>
      <w:r>
        <w:t>Instance metrics and size metrics were both reported. Normalised mutual information and adjusted Rand index measure how well the point partition matches fragment labels. Mean absolute passing-size error measures whether the resulting components recover the coarse size proxy. These two outcomes are related but not identical: a method can produce imperfect fragment instances while still giving a useful size proxy, or can over-merge and produce a poor coarse-size estimate despite superficially coherent clusters.</w:t>
      </w:r>
    </w:p>
    <w:p>
      <w:pPr>
        <w:pStyle w:val="Heading1"/>
        <w:spacing w:line="360" w:lineRule="auto"/>
        <w:jc w:val="left"/>
      </w:pPr>
      <w:r>
        <w:t>Results</w:t>
      </w:r>
    </w:p>
    <w:p>
      <w:pPr>
        <w:spacing w:line="360" w:lineRule="auto"/>
        <w:jc w:val="left"/>
      </w:pPr>
      <w:r>
        <w:t>The 24-epoch EdgeConv calibration run showed steadily decreasing training loss and increasing validation average precision, confirming that the model learned informative same-fragment edge affinities on the HPR exterior target. Validation average precision rose from 0.905 at epoch 1 to 0.962 at epoch 24. The remaining difficulty was not edge learning but calibration of the affinity threshold, component merging, and the surface-cluster-to-P80 proxy.</w:t>
      </w:r>
    </w:p>
    <w:p>
      <w:pPr>
        <w:jc w:val="center"/>
      </w:pPr>
      <w:r>
        <w:drawing>
          <wp:inline xmlns:a="http://schemas.openxmlformats.org/drawingml/2006/main" xmlns:pic="http://schemas.openxmlformats.org/drawingml/2006/picture">
            <wp:extent cx="5220000" cy="3104238"/>
            <wp:docPr id="7" name="Picture 7"/>
            <wp:cNvGraphicFramePr>
              <a:graphicFrameLocks noChangeAspect="1"/>
            </wp:cNvGraphicFramePr>
            <a:graphic>
              <a:graphicData uri="http://schemas.openxmlformats.org/drawingml/2006/picture">
                <pic:pic>
                  <pic:nvPicPr>
                    <pic:cNvPr id="0" name="02_edgeconv_training_curve.png"/>
                    <pic:cNvPicPr/>
                  </pic:nvPicPr>
                  <pic:blipFill>
                    <a:blip r:embed="rId16"/>
                    <a:stretch>
                      <a:fillRect/>
                    </a:stretch>
                  </pic:blipFill>
                  <pic:spPr>
                    <a:xfrm>
                      <a:off x="0" y="0"/>
                      <a:ext cx="5220000" cy="3104238"/>
                    </a:xfrm>
                    <a:prstGeom prst="rect"/>
                  </pic:spPr>
                </pic:pic>
              </a:graphicData>
            </a:graphic>
          </wp:inline>
        </w:drawing>
      </w:r>
    </w:p>
    <w:p>
      <w:pPr>
        <w:pStyle w:val="Caption"/>
        <w:spacing w:line="360" w:lineRule="auto"/>
        <w:jc w:val="left"/>
      </w:pPr>
      <w:r>
        <w:rPr>
          <w:b/>
        </w:rPr>
        <w:t xml:space="preserve">Figure 7. </w:t>
      </w:r>
      <w:r>
        <w:t>Training loss and validation average precision for the 24-epoch EdgeConv edge-affinity calibration run on the HPR exterior dataset</w:t>
      </w:r>
    </w:p>
    <w:p>
      <w:pPr>
        <w:pStyle w:val="Caption"/>
        <w:spacing w:line="360" w:lineRule="auto"/>
        <w:jc w:val="left"/>
      </w:pPr>
      <w:r>
        <w:rPr>
          <w:b/>
        </w:rPr>
        <w:t xml:space="preserve">Table 5. </w:t>
      </w:r>
      <w:r>
        <w:t>Held-out EdgeConv post-processing comparison for the 20 test scenes</w:t>
      </w:r>
    </w:p>
    <w:tbl>
      <w:tblPr>
        <w:tblStyle w:val="TableGrid"/>
        <w:tblW w:type="dxa" w:w="9360"/>
        <w:jc w:val="left"/>
        <w:tblLayout w:type="fixed"/>
        <w:tblLook w:firstColumn="1" w:firstRow="1" w:lastColumn="0" w:lastRow="0" w:noHBand="0" w:noVBand="1" w:val="04A0"/>
        <w:tblInd w:w="0" w:type="dxa"/>
      </w:tblPr>
      <w:tblGrid>
        <w:gridCol w:w="2100"/>
        <w:gridCol w:w="1100"/>
        <w:gridCol w:w="1500"/>
        <w:gridCol w:w="1500"/>
        <w:gridCol w:w="1000"/>
        <w:gridCol w:w="1000"/>
        <w:gridCol w:w="1160"/>
      </w:tblGrid>
      <w:tr>
        <w:trPr>
          <w:tblHeader w:val="true"/>
        </w:trPr>
        <w:tc>
          <w:tcPr>
            <w:tcW w:type="dxa" w:w="2100"/>
            <w:shd w:fill="EDEDED"/>
            <w:tcMar>
              <w:top w:w="80" w:type="dxa"/>
              <w:start w:w="120" w:type="dxa"/>
              <w:bottom w:w="80" w:type="dxa"/>
              <w:end w:w="120" w:type="dxa"/>
            </w:tcMar>
            <w:vAlign w:val="center"/>
          </w:tcPr>
          <w:p>
            <w:pPr>
              <w:spacing w:line="276" w:lineRule="auto" w:after="0"/>
            </w:pPr>
            <w:r>
              <w:rPr>
                <w:rFonts w:ascii="Arial" w:hAnsi="Arial" w:eastAsia="Arial"/>
                <w:b/>
                <w:sz w:val="18"/>
              </w:rPr>
              <w:t>Variant</w:t>
            </w:r>
          </w:p>
        </w:tc>
        <w:tc>
          <w:tcPr>
            <w:tcW w:type="dxa" w:w="1100"/>
            <w:shd w:fill="EDEDED"/>
            <w:tcMar>
              <w:top w:w="80" w:type="dxa"/>
              <w:start w:w="120" w:type="dxa"/>
              <w:bottom w:w="80" w:type="dxa"/>
              <w:end w:w="120" w:type="dxa"/>
            </w:tcMar>
            <w:vAlign w:val="center"/>
          </w:tcPr>
          <w:p>
            <w:pPr>
              <w:spacing w:line="276" w:lineRule="auto" w:after="0"/>
            </w:pPr>
            <w:r>
              <w:rPr>
                <w:rFonts w:ascii="Arial" w:hAnsi="Arial" w:eastAsia="Arial"/>
                <w:b/>
                <w:sz w:val="18"/>
              </w:rPr>
              <w:t>Thresh.</w:t>
            </w:r>
          </w:p>
        </w:tc>
        <w:tc>
          <w:tcPr>
            <w:tcW w:type="dxa" w:w="1500"/>
            <w:shd w:fill="EDEDED"/>
            <w:tcMar>
              <w:top w:w="80" w:type="dxa"/>
              <w:start w:w="120" w:type="dxa"/>
              <w:bottom w:w="80" w:type="dxa"/>
              <w:end w:w="120" w:type="dxa"/>
            </w:tcMar>
            <w:vAlign w:val="center"/>
          </w:tcPr>
          <w:p>
            <w:pPr>
              <w:spacing w:line="276" w:lineRule="auto" w:after="0"/>
            </w:pPr>
            <w:r>
              <w:rPr>
                <w:rFonts w:ascii="Arial" w:hAnsi="Arial" w:eastAsia="Arial"/>
                <w:b/>
                <w:sz w:val="18"/>
              </w:rPr>
              <w:t>Mean absolute P80 error (%)</w:t>
            </w:r>
          </w:p>
        </w:tc>
        <w:tc>
          <w:tcPr>
            <w:tcW w:type="dxa" w:w="1500"/>
            <w:shd w:fill="EDEDED"/>
            <w:tcMar>
              <w:top w:w="80" w:type="dxa"/>
              <w:start w:w="120" w:type="dxa"/>
              <w:bottom w:w="80" w:type="dxa"/>
              <w:end w:w="120" w:type="dxa"/>
            </w:tcMar>
            <w:vAlign w:val="center"/>
          </w:tcPr>
          <w:p>
            <w:pPr>
              <w:spacing w:line="276" w:lineRule="auto" w:after="0"/>
            </w:pPr>
            <w:r>
              <w:rPr>
                <w:rFonts w:ascii="Arial" w:hAnsi="Arial" w:eastAsia="Arial"/>
                <w:b/>
                <w:sz w:val="18"/>
              </w:rPr>
              <w:t>Median absolute P80 error (%)</w:t>
            </w:r>
          </w:p>
        </w:tc>
        <w:tc>
          <w:tcPr>
            <w:tcW w:type="dxa" w:w="1000"/>
            <w:shd w:fill="EDEDED"/>
            <w:tcMar>
              <w:top w:w="80" w:type="dxa"/>
              <w:start w:w="120" w:type="dxa"/>
              <w:bottom w:w="80" w:type="dxa"/>
              <w:end w:w="120" w:type="dxa"/>
            </w:tcMar>
            <w:vAlign w:val="center"/>
          </w:tcPr>
          <w:p>
            <w:pPr>
              <w:spacing w:line="276" w:lineRule="auto" w:after="0"/>
            </w:pPr>
            <w:r>
              <w:rPr>
                <w:rFonts w:ascii="Arial" w:hAnsi="Arial" w:eastAsia="Arial"/>
                <w:b/>
                <w:sz w:val="18"/>
              </w:rPr>
              <w:t>Mean NMI</w:t>
            </w:r>
          </w:p>
        </w:tc>
        <w:tc>
          <w:tcPr>
            <w:tcW w:type="dxa" w:w="1000"/>
            <w:shd w:fill="EDEDED"/>
            <w:tcMar>
              <w:top w:w="80" w:type="dxa"/>
              <w:start w:w="120" w:type="dxa"/>
              <w:bottom w:w="80" w:type="dxa"/>
              <w:end w:w="120" w:type="dxa"/>
            </w:tcMar>
            <w:vAlign w:val="center"/>
          </w:tcPr>
          <w:p>
            <w:pPr>
              <w:spacing w:line="276" w:lineRule="auto" w:after="0"/>
            </w:pPr>
            <w:r>
              <w:rPr>
                <w:rFonts w:ascii="Arial" w:hAnsi="Arial" w:eastAsia="Arial"/>
                <w:b/>
                <w:sz w:val="18"/>
              </w:rPr>
              <w:t>Mean ARI</w:t>
            </w:r>
          </w:p>
        </w:tc>
        <w:tc>
          <w:tcPr>
            <w:tcW w:type="dxa" w:w="1160"/>
            <w:shd w:fill="EDEDED"/>
            <w:tcMar>
              <w:top w:w="80" w:type="dxa"/>
              <w:start w:w="120" w:type="dxa"/>
              <w:bottom w:w="80" w:type="dxa"/>
              <w:end w:w="120" w:type="dxa"/>
            </w:tcMar>
            <w:vAlign w:val="center"/>
          </w:tcPr>
          <w:p>
            <w:pPr>
              <w:spacing w:line="276" w:lineRule="auto" w:after="0"/>
            </w:pPr>
            <w:r>
              <w:rPr>
                <w:rFonts w:ascii="Arial" w:hAnsi="Arial" w:eastAsia="Arial"/>
                <w:b/>
                <w:sz w:val="18"/>
              </w:rPr>
              <w:t>Noise</w:t>
            </w:r>
          </w:p>
        </w:tc>
      </w:tr>
      <w:tr>
        <w:tc>
          <w:tcPr>
            <w:tcW w:type="dxa" w:w="2100"/>
            <w:tcMar>
              <w:top w:w="80" w:type="dxa"/>
              <w:start w:w="120" w:type="dxa"/>
              <w:bottom w:w="80" w:type="dxa"/>
              <w:end w:w="120" w:type="dxa"/>
            </w:tcMar>
            <w:vAlign w:val="center"/>
          </w:tcPr>
          <w:p>
            <w:pPr>
              <w:spacing w:line="276" w:lineRule="auto" w:after="0"/>
            </w:pPr>
            <w:r>
              <w:rPr>
                <w:rFonts w:ascii="Arial" w:hAnsi="Arial" w:eastAsia="Arial"/>
                <w:sz w:val="18"/>
              </w:rPr>
              <w:t>edgeconv post split</w:t>
            </w:r>
          </w:p>
        </w:tc>
        <w:tc>
          <w:tcPr>
            <w:tcW w:type="dxa" w:w="1100"/>
            <w:tcMar>
              <w:top w:w="80" w:type="dxa"/>
              <w:start w:w="120" w:type="dxa"/>
              <w:bottom w:w="80" w:type="dxa"/>
              <w:end w:w="120" w:type="dxa"/>
            </w:tcMar>
            <w:vAlign w:val="center"/>
          </w:tcPr>
          <w:p>
            <w:pPr>
              <w:spacing w:line="276" w:lineRule="auto" w:after="0"/>
            </w:pPr>
            <w:r>
              <w:rPr>
                <w:rFonts w:ascii="Arial" w:hAnsi="Arial" w:eastAsia="Arial"/>
                <w:sz w:val="18"/>
              </w:rPr>
              <w:t>0.9999</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26.96</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27.16</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0.303</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0.004</w:t>
            </w:r>
          </w:p>
        </w:tc>
        <w:tc>
          <w:tcPr>
            <w:tcW w:type="dxa" w:w="1160"/>
            <w:tcMar>
              <w:top w:w="80" w:type="dxa"/>
              <w:start w:w="120" w:type="dxa"/>
              <w:bottom w:w="80" w:type="dxa"/>
              <w:end w:w="120" w:type="dxa"/>
            </w:tcMar>
            <w:vAlign w:val="center"/>
          </w:tcPr>
          <w:p>
            <w:pPr>
              <w:spacing w:line="276" w:lineRule="auto" w:after="0"/>
            </w:pPr>
            <w:r>
              <w:rPr>
                <w:rFonts w:ascii="Arial" w:hAnsi="Arial" w:eastAsia="Arial"/>
                <w:sz w:val="18"/>
              </w:rPr>
              <w:t>0.742</w:t>
            </w:r>
          </w:p>
        </w:tc>
      </w:tr>
      <w:tr>
        <w:tc>
          <w:tcPr>
            <w:tcW w:type="dxa" w:w="2100"/>
            <w:tcMar>
              <w:top w:w="80" w:type="dxa"/>
              <w:start w:w="120" w:type="dxa"/>
              <w:bottom w:w="80" w:type="dxa"/>
              <w:end w:w="120" w:type="dxa"/>
            </w:tcMar>
            <w:vAlign w:val="center"/>
          </w:tcPr>
          <w:p>
            <w:pPr>
              <w:spacing w:line="276" w:lineRule="auto" w:after="0"/>
            </w:pPr>
            <w:r>
              <w:rPr>
                <w:rFonts w:ascii="Arial" w:hAnsi="Arial" w:eastAsia="Arial"/>
                <w:sz w:val="18"/>
              </w:rPr>
              <w:t>edgeconv</w:t>
            </w:r>
          </w:p>
        </w:tc>
        <w:tc>
          <w:tcPr>
            <w:tcW w:type="dxa" w:w="1100"/>
            <w:tcMar>
              <w:top w:w="80" w:type="dxa"/>
              <w:start w:w="120" w:type="dxa"/>
              <w:bottom w:w="80" w:type="dxa"/>
              <w:end w:w="120" w:type="dxa"/>
            </w:tcMar>
            <w:vAlign w:val="center"/>
          </w:tcPr>
          <w:p>
            <w:pPr>
              <w:spacing w:line="276" w:lineRule="auto" w:after="0"/>
            </w:pPr>
            <w:r>
              <w:rPr>
                <w:rFonts w:ascii="Arial" w:hAnsi="Arial" w:eastAsia="Arial"/>
                <w:sz w:val="18"/>
              </w:rPr>
              <w:t>0.9999</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27.17</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30.15</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0.305</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0.009</w:t>
            </w:r>
          </w:p>
        </w:tc>
        <w:tc>
          <w:tcPr>
            <w:tcW w:type="dxa" w:w="1160"/>
            <w:tcMar>
              <w:top w:w="80" w:type="dxa"/>
              <w:start w:w="120" w:type="dxa"/>
              <w:bottom w:w="80" w:type="dxa"/>
              <w:end w:w="120" w:type="dxa"/>
            </w:tcMar>
            <w:vAlign w:val="center"/>
          </w:tcPr>
          <w:p>
            <w:pPr>
              <w:spacing w:line="276" w:lineRule="auto" w:after="0"/>
            </w:pPr>
            <w:r>
              <w:rPr>
                <w:rFonts w:ascii="Arial" w:hAnsi="Arial" w:eastAsia="Arial"/>
                <w:sz w:val="18"/>
              </w:rPr>
              <w:t>0.742</w:t>
            </w:r>
          </w:p>
        </w:tc>
      </w:tr>
      <w:tr>
        <w:tc>
          <w:tcPr>
            <w:tcW w:type="dxa" w:w="2100"/>
            <w:tcMar>
              <w:top w:w="80" w:type="dxa"/>
              <w:start w:w="120" w:type="dxa"/>
              <w:bottom w:w="80" w:type="dxa"/>
              <w:end w:w="120" w:type="dxa"/>
            </w:tcMar>
            <w:vAlign w:val="center"/>
          </w:tcPr>
          <w:p>
            <w:pPr>
              <w:spacing w:line="276" w:lineRule="auto" w:after="0"/>
            </w:pPr>
            <w:r>
              <w:rPr>
                <w:rFonts w:ascii="Arial" w:hAnsi="Arial" w:eastAsia="Arial"/>
                <w:sz w:val="18"/>
              </w:rPr>
              <w:t>edgeconv absorb post split</w:t>
            </w:r>
          </w:p>
        </w:tc>
        <w:tc>
          <w:tcPr>
            <w:tcW w:type="dxa" w:w="1100"/>
            <w:tcMar>
              <w:top w:w="80" w:type="dxa"/>
              <w:start w:w="120" w:type="dxa"/>
              <w:bottom w:w="80" w:type="dxa"/>
              <w:end w:w="120" w:type="dxa"/>
            </w:tcMar>
            <w:vAlign w:val="center"/>
          </w:tcPr>
          <w:p>
            <w:pPr>
              <w:spacing w:line="276" w:lineRule="auto" w:after="0"/>
            </w:pPr>
            <w:r>
              <w:rPr>
                <w:rFonts w:ascii="Arial" w:hAnsi="Arial" w:eastAsia="Arial"/>
                <w:sz w:val="18"/>
              </w:rPr>
              <w:t>0.9999</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29.07</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28.45</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0.563</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0.099</w:t>
            </w:r>
          </w:p>
        </w:tc>
        <w:tc>
          <w:tcPr>
            <w:tcW w:type="dxa" w:w="1160"/>
            <w:tcMar>
              <w:top w:w="80" w:type="dxa"/>
              <w:start w:w="120" w:type="dxa"/>
              <w:bottom w:w="80" w:type="dxa"/>
              <w:end w:w="120" w:type="dxa"/>
            </w:tcMar>
            <w:vAlign w:val="center"/>
          </w:tcPr>
          <w:p>
            <w:pPr>
              <w:spacing w:line="276" w:lineRule="auto" w:after="0"/>
            </w:pPr>
            <w:r>
              <w:rPr>
                <w:rFonts w:ascii="Arial" w:hAnsi="Arial" w:eastAsia="Arial"/>
                <w:sz w:val="18"/>
              </w:rPr>
              <w:t>0.515</w:t>
            </w:r>
          </w:p>
        </w:tc>
      </w:tr>
      <w:tr>
        <w:tc>
          <w:tcPr>
            <w:tcW w:type="dxa" w:w="2100"/>
            <w:tcMar>
              <w:top w:w="80" w:type="dxa"/>
              <w:start w:w="120" w:type="dxa"/>
              <w:bottom w:w="80" w:type="dxa"/>
              <w:end w:w="120" w:type="dxa"/>
            </w:tcMar>
            <w:vAlign w:val="center"/>
          </w:tcPr>
          <w:p>
            <w:pPr>
              <w:spacing w:line="276" w:lineRule="auto" w:after="0"/>
            </w:pPr>
            <w:r>
              <w:rPr>
                <w:rFonts w:ascii="Arial" w:hAnsi="Arial" w:eastAsia="Arial"/>
                <w:sz w:val="18"/>
              </w:rPr>
              <w:t>edgeconv hybrid bridge absorb post split</w:t>
            </w:r>
          </w:p>
        </w:tc>
        <w:tc>
          <w:tcPr>
            <w:tcW w:type="dxa" w:w="1100"/>
            <w:tcMar>
              <w:top w:w="80" w:type="dxa"/>
              <w:start w:w="120" w:type="dxa"/>
              <w:bottom w:w="80" w:type="dxa"/>
              <w:end w:w="120" w:type="dxa"/>
            </w:tcMar>
            <w:vAlign w:val="center"/>
          </w:tcPr>
          <w:p>
            <w:pPr>
              <w:spacing w:line="276" w:lineRule="auto" w:after="0"/>
            </w:pPr>
            <w:r>
              <w:rPr>
                <w:rFonts w:ascii="Arial" w:hAnsi="Arial" w:eastAsia="Arial"/>
                <w:sz w:val="18"/>
              </w:rPr>
              <w:t>0.9999</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29.26</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29.66</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0.754</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0.349</w:t>
            </w:r>
          </w:p>
        </w:tc>
        <w:tc>
          <w:tcPr>
            <w:tcW w:type="dxa" w:w="1160"/>
            <w:tcMar>
              <w:top w:w="80" w:type="dxa"/>
              <w:start w:w="120" w:type="dxa"/>
              <w:bottom w:w="80" w:type="dxa"/>
              <w:end w:w="120" w:type="dxa"/>
            </w:tcMar>
            <w:vAlign w:val="center"/>
          </w:tcPr>
          <w:p>
            <w:pPr>
              <w:spacing w:line="276" w:lineRule="auto" w:after="0"/>
            </w:pPr>
            <w:r>
              <w:rPr>
                <w:rFonts w:ascii="Arial" w:hAnsi="Arial" w:eastAsia="Arial"/>
                <w:sz w:val="18"/>
              </w:rPr>
              <w:t>0.272</w:t>
            </w:r>
          </w:p>
        </w:tc>
      </w:tr>
      <w:tr>
        <w:tc>
          <w:tcPr>
            <w:tcW w:type="dxa" w:w="2100"/>
            <w:tcMar>
              <w:top w:w="80" w:type="dxa"/>
              <w:start w:w="120" w:type="dxa"/>
              <w:bottom w:w="80" w:type="dxa"/>
              <w:end w:w="120" w:type="dxa"/>
            </w:tcMar>
            <w:vAlign w:val="center"/>
          </w:tcPr>
          <w:p>
            <w:pPr>
              <w:spacing w:line="276" w:lineRule="auto" w:after="0"/>
            </w:pPr>
            <w:r>
              <w:rPr>
                <w:rFonts w:ascii="Arial" w:hAnsi="Arial" w:eastAsia="Arial"/>
                <w:sz w:val="18"/>
              </w:rPr>
              <w:t>edgeconv hybrid bridge absorb</w:t>
            </w:r>
          </w:p>
        </w:tc>
        <w:tc>
          <w:tcPr>
            <w:tcW w:type="dxa" w:w="1100"/>
            <w:tcMar>
              <w:top w:w="80" w:type="dxa"/>
              <w:start w:w="120" w:type="dxa"/>
              <w:bottom w:w="80" w:type="dxa"/>
              <w:end w:w="120" w:type="dxa"/>
            </w:tcMar>
            <w:vAlign w:val="center"/>
          </w:tcPr>
          <w:p>
            <w:pPr>
              <w:spacing w:line="276" w:lineRule="auto" w:after="0"/>
            </w:pPr>
            <w:r>
              <w:rPr>
                <w:rFonts w:ascii="Arial" w:hAnsi="Arial" w:eastAsia="Arial"/>
                <w:sz w:val="18"/>
              </w:rPr>
              <w:t>0.9999</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30.46</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29.66</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0.757</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0.376</w:t>
            </w:r>
          </w:p>
        </w:tc>
        <w:tc>
          <w:tcPr>
            <w:tcW w:type="dxa" w:w="1160"/>
            <w:tcMar>
              <w:top w:w="80" w:type="dxa"/>
              <w:start w:w="120" w:type="dxa"/>
              <w:bottom w:w="80" w:type="dxa"/>
              <w:end w:w="120" w:type="dxa"/>
            </w:tcMar>
            <w:vAlign w:val="center"/>
          </w:tcPr>
          <w:p>
            <w:pPr>
              <w:spacing w:line="276" w:lineRule="auto" w:after="0"/>
            </w:pPr>
            <w:r>
              <w:rPr>
                <w:rFonts w:ascii="Arial" w:hAnsi="Arial" w:eastAsia="Arial"/>
                <w:sz w:val="18"/>
              </w:rPr>
              <w:t>0.272</w:t>
            </w:r>
          </w:p>
        </w:tc>
      </w:tr>
      <w:tr>
        <w:tc>
          <w:tcPr>
            <w:tcW w:type="dxa" w:w="2100"/>
            <w:tcMar>
              <w:top w:w="80" w:type="dxa"/>
              <w:start w:w="120" w:type="dxa"/>
              <w:bottom w:w="80" w:type="dxa"/>
              <w:end w:w="120" w:type="dxa"/>
            </w:tcMar>
            <w:vAlign w:val="center"/>
          </w:tcPr>
          <w:p>
            <w:pPr>
              <w:spacing w:line="276" w:lineRule="auto" w:after="0"/>
            </w:pPr>
            <w:r>
              <w:rPr>
                <w:rFonts w:ascii="Arial" w:hAnsi="Arial" w:eastAsia="Arial"/>
                <w:sz w:val="18"/>
              </w:rPr>
              <w:t>edgeconv absorb</w:t>
            </w:r>
          </w:p>
        </w:tc>
        <w:tc>
          <w:tcPr>
            <w:tcW w:type="dxa" w:w="1100"/>
            <w:tcMar>
              <w:top w:w="80" w:type="dxa"/>
              <w:start w:w="120" w:type="dxa"/>
              <w:bottom w:w="80" w:type="dxa"/>
              <w:end w:w="120" w:type="dxa"/>
            </w:tcMar>
            <w:vAlign w:val="center"/>
          </w:tcPr>
          <w:p>
            <w:pPr>
              <w:spacing w:line="276" w:lineRule="auto" w:after="0"/>
            </w:pPr>
            <w:r>
              <w:rPr>
                <w:rFonts w:ascii="Arial" w:hAnsi="Arial" w:eastAsia="Arial"/>
                <w:sz w:val="18"/>
              </w:rPr>
              <w:t>0.9999</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30.72</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30.15</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0.566</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0.111</w:t>
            </w:r>
          </w:p>
        </w:tc>
        <w:tc>
          <w:tcPr>
            <w:tcW w:type="dxa" w:w="1160"/>
            <w:tcMar>
              <w:top w:w="80" w:type="dxa"/>
              <w:start w:w="120" w:type="dxa"/>
              <w:bottom w:w="80" w:type="dxa"/>
              <w:end w:w="120" w:type="dxa"/>
            </w:tcMar>
            <w:vAlign w:val="center"/>
          </w:tcPr>
          <w:p>
            <w:pPr>
              <w:spacing w:line="276" w:lineRule="auto" w:after="0"/>
            </w:pPr>
            <w:r>
              <w:rPr>
                <w:rFonts w:ascii="Arial" w:hAnsi="Arial" w:eastAsia="Arial"/>
                <w:sz w:val="18"/>
              </w:rPr>
              <w:t>0.515</w:t>
            </w:r>
          </w:p>
        </w:tc>
      </w:tr>
      <w:tr>
        <w:tc>
          <w:tcPr>
            <w:tcW w:type="dxa" w:w="2100"/>
            <w:tcMar>
              <w:top w:w="80" w:type="dxa"/>
              <w:start w:w="120" w:type="dxa"/>
              <w:bottom w:w="80" w:type="dxa"/>
              <w:end w:w="120" w:type="dxa"/>
            </w:tcMar>
            <w:vAlign w:val="center"/>
          </w:tcPr>
          <w:p>
            <w:pPr>
              <w:spacing w:line="276" w:lineRule="auto" w:after="0"/>
            </w:pPr>
            <w:r>
              <w:rPr>
                <w:rFonts w:ascii="Arial" w:hAnsi="Arial" w:eastAsia="Arial"/>
                <w:sz w:val="18"/>
              </w:rPr>
              <w:t>edgeconv hybrid bridge post split</w:t>
            </w:r>
          </w:p>
        </w:tc>
        <w:tc>
          <w:tcPr>
            <w:tcW w:type="dxa" w:w="1100"/>
            <w:tcMar>
              <w:top w:w="80" w:type="dxa"/>
              <w:start w:w="120" w:type="dxa"/>
              <w:bottom w:w="80" w:type="dxa"/>
              <w:end w:w="120" w:type="dxa"/>
            </w:tcMar>
            <w:vAlign w:val="center"/>
          </w:tcPr>
          <w:p>
            <w:pPr>
              <w:spacing w:line="276" w:lineRule="auto" w:after="0"/>
            </w:pPr>
            <w:r>
              <w:rPr>
                <w:rFonts w:ascii="Arial" w:hAnsi="Arial" w:eastAsia="Arial"/>
                <w:sz w:val="18"/>
              </w:rPr>
              <w:t>0.9999</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33.41</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35.04</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0.561</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0.111</w:t>
            </w:r>
          </w:p>
        </w:tc>
        <w:tc>
          <w:tcPr>
            <w:tcW w:type="dxa" w:w="1160"/>
            <w:tcMar>
              <w:top w:w="80" w:type="dxa"/>
              <w:start w:w="120" w:type="dxa"/>
              <w:bottom w:w="80" w:type="dxa"/>
              <w:end w:w="120" w:type="dxa"/>
            </w:tcMar>
            <w:vAlign w:val="center"/>
          </w:tcPr>
          <w:p>
            <w:pPr>
              <w:spacing w:line="276" w:lineRule="auto" w:after="0"/>
            </w:pPr>
            <w:r>
              <w:rPr>
                <w:rFonts w:ascii="Arial" w:hAnsi="Arial" w:eastAsia="Arial"/>
                <w:sz w:val="18"/>
              </w:rPr>
              <w:t>0.483</w:t>
            </w:r>
          </w:p>
        </w:tc>
      </w:tr>
      <w:tr>
        <w:tc>
          <w:tcPr>
            <w:tcW w:type="dxa" w:w="2100"/>
            <w:tcMar>
              <w:top w:w="80" w:type="dxa"/>
              <w:start w:w="120" w:type="dxa"/>
              <w:bottom w:w="80" w:type="dxa"/>
              <w:end w:w="120" w:type="dxa"/>
            </w:tcMar>
            <w:vAlign w:val="center"/>
          </w:tcPr>
          <w:p>
            <w:pPr>
              <w:spacing w:line="276" w:lineRule="auto" w:after="0"/>
            </w:pPr>
            <w:r>
              <w:rPr>
                <w:rFonts w:ascii="Arial" w:hAnsi="Arial" w:eastAsia="Arial"/>
                <w:sz w:val="18"/>
              </w:rPr>
              <w:t>edgeconv hybrid bridge</w:t>
            </w:r>
          </w:p>
        </w:tc>
        <w:tc>
          <w:tcPr>
            <w:tcW w:type="dxa" w:w="1100"/>
            <w:tcMar>
              <w:top w:w="80" w:type="dxa"/>
              <w:start w:w="120" w:type="dxa"/>
              <w:bottom w:w="80" w:type="dxa"/>
              <w:end w:w="120" w:type="dxa"/>
            </w:tcMar>
            <w:vAlign w:val="center"/>
          </w:tcPr>
          <w:p>
            <w:pPr>
              <w:spacing w:line="276" w:lineRule="auto" w:after="0"/>
            </w:pPr>
            <w:r>
              <w:rPr>
                <w:rFonts w:ascii="Arial" w:hAnsi="Arial" w:eastAsia="Arial"/>
                <w:sz w:val="18"/>
              </w:rPr>
              <w:t>0.9999</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34.15</w:t>
            </w:r>
          </w:p>
        </w:tc>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37.41</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0.563</w:t>
            </w:r>
          </w:p>
        </w:tc>
        <w:tc>
          <w:tcPr>
            <w:tcW w:type="dxa" w:w="1000"/>
            <w:tcMar>
              <w:top w:w="80" w:type="dxa"/>
              <w:start w:w="120" w:type="dxa"/>
              <w:bottom w:w="80" w:type="dxa"/>
              <w:end w:w="120" w:type="dxa"/>
            </w:tcMar>
            <w:vAlign w:val="center"/>
          </w:tcPr>
          <w:p>
            <w:pPr>
              <w:spacing w:line="276" w:lineRule="auto" w:after="0"/>
            </w:pPr>
            <w:r>
              <w:rPr>
                <w:rFonts w:ascii="Arial" w:hAnsi="Arial" w:eastAsia="Arial"/>
                <w:sz w:val="18"/>
              </w:rPr>
              <w:t>0.123</w:t>
            </w:r>
          </w:p>
        </w:tc>
        <w:tc>
          <w:tcPr>
            <w:tcW w:type="dxa" w:w="1160"/>
            <w:tcMar>
              <w:top w:w="80" w:type="dxa"/>
              <w:start w:w="120" w:type="dxa"/>
              <w:bottom w:w="80" w:type="dxa"/>
              <w:end w:w="120" w:type="dxa"/>
            </w:tcMar>
            <w:vAlign w:val="center"/>
          </w:tcPr>
          <w:p>
            <w:pPr>
              <w:spacing w:line="276" w:lineRule="auto" w:after="0"/>
            </w:pPr>
            <w:r>
              <w:rPr>
                <w:rFonts w:ascii="Arial" w:hAnsi="Arial" w:eastAsia="Arial"/>
                <w:sz w:val="18"/>
              </w:rPr>
              <w:t>0.483</w:t>
            </w:r>
          </w:p>
        </w:tc>
      </w:tr>
    </w:tbl>
    <w:p>
      <w:pPr>
        <w:spacing w:line="360" w:lineRule="auto"/>
        <w:jc w:val="left"/>
      </w:pPr>
    </w:p>
    <w:p>
      <w:pPr>
        <w:pStyle w:val="Caption"/>
        <w:spacing w:line="360" w:lineRule="auto"/>
        <w:jc w:val="left"/>
      </w:pPr>
      <w:r>
        <w:rPr>
          <w:b/>
        </w:rPr>
        <w:t xml:space="preserve">Table 6. </w:t>
      </w:r>
      <w:r>
        <w:t>Latest 150-fragment held-out test comparison after retraining or recalibrating all baseline methods on the same scene split</w:t>
      </w:r>
    </w:p>
    <w:tbl>
      <w:tblPr>
        <w:tblStyle w:val="TableGrid"/>
        <w:tblW w:type="dxa" w:w="9360"/>
        <w:jc w:val="left"/>
        <w:tblLayout w:type="fixed"/>
        <w:tblLook w:firstColumn="1" w:firstRow="1" w:lastColumn="0" w:lastRow="0" w:noHBand="0" w:noVBand="1" w:val="04A0"/>
        <w:tblInd w:w="0" w:type="dxa"/>
      </w:tblPr>
      <w:tblGrid>
        <w:gridCol w:w="1500"/>
        <w:gridCol w:w="2600"/>
        <w:gridCol w:w="1300"/>
        <w:gridCol w:w="1300"/>
        <w:gridCol w:w="900"/>
        <w:gridCol w:w="900"/>
        <w:gridCol w:w="860"/>
      </w:tblGrid>
      <w:tr>
        <w:trPr>
          <w:tblHeader w:val="true"/>
        </w:trPr>
        <w:tc>
          <w:tcPr>
            <w:tcW w:type="dxa" w:w="1500"/>
            <w:shd w:fill="EDEDED"/>
            <w:tcMar>
              <w:top w:w="80" w:type="dxa"/>
              <w:start w:w="120" w:type="dxa"/>
              <w:bottom w:w="80" w:type="dxa"/>
              <w:end w:w="120" w:type="dxa"/>
            </w:tcMar>
            <w:vAlign w:val="center"/>
          </w:tcPr>
          <w:p>
            <w:pPr>
              <w:spacing w:line="276" w:lineRule="auto" w:after="0"/>
            </w:pPr>
            <w:r>
              <w:rPr>
                <w:rFonts w:ascii="Arial" w:hAnsi="Arial" w:eastAsia="Arial"/>
                <w:b/>
                <w:sz w:val="18"/>
              </w:rPr>
              <w:t>Method</w:t>
            </w:r>
          </w:p>
        </w:tc>
        <w:tc>
          <w:tcPr>
            <w:tcW w:type="dxa" w:w="2600"/>
            <w:shd w:fill="EDEDED"/>
            <w:tcMar>
              <w:top w:w="80" w:type="dxa"/>
              <w:start w:w="120" w:type="dxa"/>
              <w:bottom w:w="80" w:type="dxa"/>
              <w:end w:w="120" w:type="dxa"/>
            </w:tcMar>
            <w:vAlign w:val="center"/>
          </w:tcPr>
          <w:p>
            <w:pPr>
              <w:spacing w:line="276" w:lineRule="auto" w:after="0"/>
            </w:pPr>
            <w:r>
              <w:rPr>
                <w:rFonts w:ascii="Arial" w:hAnsi="Arial" w:eastAsia="Arial"/>
                <w:b/>
                <w:sz w:val="18"/>
              </w:rPr>
              <w:t>Selected setting</w:t>
            </w:r>
          </w:p>
        </w:tc>
        <w:tc>
          <w:tcPr>
            <w:tcW w:type="dxa" w:w="1300"/>
            <w:shd w:fill="EDEDED"/>
            <w:tcMar>
              <w:top w:w="80" w:type="dxa"/>
              <w:start w:w="120" w:type="dxa"/>
              <w:bottom w:w="80" w:type="dxa"/>
              <w:end w:w="120" w:type="dxa"/>
            </w:tcMar>
            <w:vAlign w:val="center"/>
          </w:tcPr>
          <w:p>
            <w:pPr>
              <w:spacing w:line="276" w:lineRule="auto" w:after="0"/>
            </w:pPr>
            <w:r>
              <w:rPr>
                <w:rFonts w:ascii="Arial" w:hAnsi="Arial" w:eastAsia="Arial"/>
                <w:b/>
                <w:sz w:val="18"/>
              </w:rPr>
              <w:t>Mean absolute P80 error (%)</w:t>
            </w:r>
          </w:p>
        </w:tc>
        <w:tc>
          <w:tcPr>
            <w:tcW w:type="dxa" w:w="1300"/>
            <w:shd w:fill="EDEDED"/>
            <w:tcMar>
              <w:top w:w="80" w:type="dxa"/>
              <w:start w:w="120" w:type="dxa"/>
              <w:bottom w:w="80" w:type="dxa"/>
              <w:end w:w="120" w:type="dxa"/>
            </w:tcMar>
            <w:vAlign w:val="center"/>
          </w:tcPr>
          <w:p>
            <w:pPr>
              <w:spacing w:line="276" w:lineRule="auto" w:after="0"/>
            </w:pPr>
            <w:r>
              <w:rPr>
                <w:rFonts w:ascii="Arial" w:hAnsi="Arial" w:eastAsia="Arial"/>
                <w:b/>
                <w:sz w:val="18"/>
              </w:rPr>
              <w:t>Median absolute P80 error (%)</w:t>
            </w:r>
          </w:p>
        </w:tc>
        <w:tc>
          <w:tcPr>
            <w:tcW w:type="dxa" w:w="900"/>
            <w:shd w:fill="EDEDED"/>
            <w:tcMar>
              <w:top w:w="80" w:type="dxa"/>
              <w:start w:w="120" w:type="dxa"/>
              <w:bottom w:w="80" w:type="dxa"/>
              <w:end w:w="120" w:type="dxa"/>
            </w:tcMar>
            <w:vAlign w:val="center"/>
          </w:tcPr>
          <w:p>
            <w:pPr>
              <w:spacing w:line="276" w:lineRule="auto" w:after="0"/>
            </w:pPr>
            <w:r>
              <w:rPr>
                <w:rFonts w:ascii="Arial" w:hAnsi="Arial" w:eastAsia="Arial"/>
                <w:b/>
                <w:sz w:val="18"/>
              </w:rPr>
              <w:t>Mean NMI</w:t>
            </w:r>
          </w:p>
        </w:tc>
        <w:tc>
          <w:tcPr>
            <w:tcW w:type="dxa" w:w="900"/>
            <w:shd w:fill="EDEDED"/>
            <w:tcMar>
              <w:top w:w="80" w:type="dxa"/>
              <w:start w:w="120" w:type="dxa"/>
              <w:bottom w:w="80" w:type="dxa"/>
              <w:end w:w="120" w:type="dxa"/>
            </w:tcMar>
            <w:vAlign w:val="center"/>
          </w:tcPr>
          <w:p>
            <w:pPr>
              <w:spacing w:line="276" w:lineRule="auto" w:after="0"/>
            </w:pPr>
            <w:r>
              <w:rPr>
                <w:rFonts w:ascii="Arial" w:hAnsi="Arial" w:eastAsia="Arial"/>
                <w:b/>
                <w:sz w:val="18"/>
              </w:rPr>
              <w:t>Mean ARI</w:t>
            </w:r>
          </w:p>
        </w:tc>
        <w:tc>
          <w:tcPr>
            <w:tcW w:type="dxa" w:w="860"/>
            <w:shd w:fill="EDEDED"/>
            <w:tcMar>
              <w:top w:w="80" w:type="dxa"/>
              <w:start w:w="120" w:type="dxa"/>
              <w:bottom w:w="80" w:type="dxa"/>
              <w:end w:w="120" w:type="dxa"/>
            </w:tcMar>
            <w:vAlign w:val="center"/>
          </w:tcPr>
          <w:p>
            <w:pPr>
              <w:spacing w:line="276" w:lineRule="auto" w:after="0"/>
            </w:pPr>
            <w:r>
              <w:rPr>
                <w:rFonts w:ascii="Arial" w:hAnsi="Arial" w:eastAsia="Arial"/>
                <w:b/>
                <w:sz w:val="18"/>
              </w:rPr>
              <w:t>Noise</w:t>
            </w:r>
          </w:p>
        </w:tc>
      </w:tr>
      <w:tr>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MLP affinity</w:t>
            </w:r>
          </w:p>
        </w:tc>
        <w:tc>
          <w:tcPr>
            <w:tcW w:type="dxa" w:w="2600"/>
            <w:tcMar>
              <w:top w:w="80" w:type="dxa"/>
              <w:start w:w="120" w:type="dxa"/>
              <w:bottom w:w="80" w:type="dxa"/>
              <w:end w:w="120" w:type="dxa"/>
            </w:tcMar>
            <w:vAlign w:val="center"/>
          </w:tcPr>
          <w:p>
            <w:pPr>
              <w:spacing w:line="276" w:lineRule="auto" w:after="0"/>
            </w:pPr>
            <w:r>
              <w:rPr>
                <w:rFonts w:ascii="Arial" w:hAnsi="Arial" w:eastAsia="Arial"/>
                <w:sz w:val="18"/>
              </w:rPr>
              <w:t>threshold=0.999</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13.39</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17.36</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0.134</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-0.017</w:t>
            </w:r>
          </w:p>
        </w:tc>
        <w:tc>
          <w:tcPr>
            <w:tcW w:type="dxa" w:w="860"/>
            <w:tcMar>
              <w:top w:w="80" w:type="dxa"/>
              <w:start w:w="120" w:type="dxa"/>
              <w:bottom w:w="80" w:type="dxa"/>
              <w:end w:w="120" w:type="dxa"/>
            </w:tcMar>
            <w:vAlign w:val="center"/>
          </w:tcPr>
          <w:p>
            <w:pPr>
              <w:spacing w:line="276" w:lineRule="auto" w:after="0"/>
            </w:pPr>
            <w:r>
              <w:rPr>
                <w:rFonts w:ascii="Arial" w:hAnsi="Arial" w:eastAsia="Arial"/>
                <w:sz w:val="18"/>
              </w:rPr>
              <w:t>0.887</w:t>
            </w:r>
          </w:p>
        </w:tc>
      </w:tr>
      <w:tr>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DBSCAN</w:t>
            </w:r>
          </w:p>
        </w:tc>
        <w:tc>
          <w:tcPr>
            <w:tcW w:type="dxa" w:w="2600"/>
            <w:tcMar>
              <w:top w:w="80" w:type="dxa"/>
              <w:start w:w="120" w:type="dxa"/>
              <w:bottom w:w="80" w:type="dxa"/>
              <w:end w:w="120" w:type="dxa"/>
            </w:tcMar>
            <w:vAlign w:val="center"/>
          </w:tcPr>
          <w:p>
            <w:pPr>
              <w:spacing w:line="276" w:lineRule="auto" w:after="0"/>
            </w:pPr>
            <w:r>
              <w:rPr>
                <w:rFonts w:ascii="Arial" w:hAnsi="Arial" w:eastAsia="Arial"/>
                <w:sz w:val="18"/>
              </w:rPr>
              <w:t>eps=0.025,min=6,zw=1.35</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18.70</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13.39</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0.524</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0.031</w:t>
            </w:r>
          </w:p>
        </w:tc>
        <w:tc>
          <w:tcPr>
            <w:tcW w:type="dxa" w:w="860"/>
            <w:tcMar>
              <w:top w:w="80" w:type="dxa"/>
              <w:start w:w="120" w:type="dxa"/>
              <w:bottom w:w="80" w:type="dxa"/>
              <w:end w:w="120" w:type="dxa"/>
            </w:tcMar>
            <w:vAlign w:val="center"/>
          </w:tcPr>
          <w:p>
            <w:pPr>
              <w:spacing w:line="276" w:lineRule="auto" w:after="0"/>
            </w:pPr>
            <w:r>
              <w:rPr>
                <w:rFonts w:ascii="Arial" w:hAnsi="Arial" w:eastAsia="Arial"/>
                <w:sz w:val="18"/>
              </w:rPr>
              <w:t>0.464</w:t>
            </w:r>
          </w:p>
        </w:tc>
      </w:tr>
      <w:tr>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Graph threshold</w:t>
            </w:r>
          </w:p>
        </w:tc>
        <w:tc>
          <w:tcPr>
            <w:tcW w:type="dxa" w:w="2600"/>
            <w:tcMar>
              <w:top w:w="80" w:type="dxa"/>
              <w:start w:w="120" w:type="dxa"/>
              <w:bottom w:w="80" w:type="dxa"/>
              <w:end w:w="120" w:type="dxa"/>
            </w:tcMar>
            <w:vAlign w:val="center"/>
          </w:tcPr>
          <w:p>
            <w:pPr>
              <w:spacing w:line="276" w:lineRule="auto" w:after="0"/>
            </w:pPr>
            <w:r>
              <w:rPr>
                <w:rFonts w:ascii="Arial" w:hAnsi="Arial" w:eastAsia="Arial"/>
                <w:sz w:val="18"/>
              </w:rPr>
              <w:t>d=0.050,z=0.060,c=0.050,thr=0.85</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19.03</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16.90</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0.362</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-0.016</w:t>
            </w:r>
          </w:p>
        </w:tc>
        <w:tc>
          <w:tcPr>
            <w:tcW w:type="dxa" w:w="860"/>
            <w:tcMar>
              <w:top w:w="80" w:type="dxa"/>
              <w:start w:w="120" w:type="dxa"/>
              <w:bottom w:w="80" w:type="dxa"/>
              <w:end w:w="120" w:type="dxa"/>
            </w:tcMar>
            <w:vAlign w:val="center"/>
          </w:tcPr>
          <w:p>
            <w:pPr>
              <w:spacing w:line="276" w:lineRule="auto" w:after="0"/>
            </w:pPr>
            <w:r>
              <w:rPr>
                <w:rFonts w:ascii="Arial" w:hAnsi="Arial" w:eastAsia="Arial"/>
                <w:sz w:val="18"/>
              </w:rPr>
              <w:t>0.671</w:t>
            </w:r>
          </w:p>
        </w:tc>
      </w:tr>
      <w:tr>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EdgeConv hybrid bridge</w:t>
            </w:r>
          </w:p>
        </w:tc>
        <w:tc>
          <w:tcPr>
            <w:tcW w:type="dxa" w:w="2600"/>
            <w:tcMar>
              <w:top w:w="80" w:type="dxa"/>
              <w:start w:w="120" w:type="dxa"/>
              <w:bottom w:w="80" w:type="dxa"/>
              <w:end w:w="120" w:type="dxa"/>
            </w:tcMar>
            <w:vAlign w:val="center"/>
          </w:tcPr>
          <w:p>
            <w:pPr>
              <w:spacing w:line="276" w:lineRule="auto" w:after="0"/>
            </w:pPr>
            <w:r>
              <w:rPr>
                <w:rFonts w:ascii="Arial" w:hAnsi="Arial" w:eastAsia="Arial"/>
                <w:sz w:val="18"/>
              </w:rPr>
              <w:t>threshold=0.9999,bridge=0.50,graph=0.85</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29.26</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29.66</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0.754</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0.349</w:t>
            </w:r>
          </w:p>
        </w:tc>
        <w:tc>
          <w:tcPr>
            <w:tcW w:type="dxa" w:w="860"/>
            <w:tcMar>
              <w:top w:w="80" w:type="dxa"/>
              <w:start w:w="120" w:type="dxa"/>
              <w:bottom w:w="80" w:type="dxa"/>
              <w:end w:w="120" w:type="dxa"/>
            </w:tcMar>
            <w:vAlign w:val="center"/>
          </w:tcPr>
          <w:p>
            <w:pPr>
              <w:spacing w:line="276" w:lineRule="auto" w:after="0"/>
            </w:pPr>
            <w:r>
              <w:rPr>
                <w:rFonts w:ascii="Arial" w:hAnsi="Arial" w:eastAsia="Arial"/>
                <w:sz w:val="18"/>
              </w:rPr>
              <w:t>0.272</w:t>
            </w:r>
          </w:p>
        </w:tc>
      </w:tr>
      <w:tr>
        <w:tc>
          <w:tcPr>
            <w:tcW w:type="dxa" w:w="1500"/>
            <w:tcMar>
              <w:top w:w="80" w:type="dxa"/>
              <w:start w:w="120" w:type="dxa"/>
              <w:bottom w:w="80" w:type="dxa"/>
              <w:end w:w="120" w:type="dxa"/>
            </w:tcMar>
            <w:vAlign w:val="center"/>
          </w:tcPr>
          <w:p>
            <w:pPr>
              <w:spacing w:line="276" w:lineRule="auto" w:after="0"/>
            </w:pPr>
            <w:r>
              <w:rPr>
                <w:rFonts w:ascii="Arial" w:hAnsi="Arial" w:eastAsia="Arial"/>
                <w:sz w:val="18"/>
              </w:rPr>
              <w:t>Region growing</w:t>
            </w:r>
          </w:p>
        </w:tc>
        <w:tc>
          <w:tcPr>
            <w:tcW w:type="dxa" w:w="2600"/>
            <w:tcMar>
              <w:top w:w="80" w:type="dxa"/>
              <w:start w:w="120" w:type="dxa"/>
              <w:bottom w:w="80" w:type="dxa"/>
              <w:end w:w="120" w:type="dxa"/>
            </w:tcMar>
            <w:vAlign w:val="center"/>
          </w:tcPr>
          <w:p>
            <w:pPr>
              <w:spacing w:line="276" w:lineRule="auto" w:after="0"/>
            </w:pPr>
            <w:r>
              <w:rPr>
                <w:rFonts w:ascii="Arial" w:hAnsi="Arial" w:eastAsia="Arial"/>
                <w:sz w:val="18"/>
              </w:rPr>
              <w:t>r=0.035,a=0.100,c=0.035,z=0.035</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133.37</w:t>
            </w:r>
          </w:p>
        </w:tc>
        <w:tc>
          <w:tcPr>
            <w:tcW w:type="dxa" w:w="1300"/>
            <w:tcMar>
              <w:top w:w="80" w:type="dxa"/>
              <w:start w:w="120" w:type="dxa"/>
              <w:bottom w:w="80" w:type="dxa"/>
              <w:end w:w="120" w:type="dxa"/>
            </w:tcMar>
            <w:vAlign w:val="center"/>
          </w:tcPr>
          <w:p>
            <w:pPr>
              <w:spacing w:line="276" w:lineRule="auto" w:after="0"/>
            </w:pPr>
            <w:r>
              <w:rPr>
                <w:rFonts w:ascii="Arial" w:hAnsi="Arial" w:eastAsia="Arial"/>
                <w:sz w:val="18"/>
              </w:rPr>
              <w:t>126.73</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0.857</w:t>
            </w:r>
          </w:p>
        </w:tc>
        <w:tc>
          <w:tcPr>
            <w:tcW w:type="dxa" w:w="900"/>
            <w:tcMar>
              <w:top w:w="80" w:type="dxa"/>
              <w:start w:w="120" w:type="dxa"/>
              <w:bottom w:w="80" w:type="dxa"/>
              <w:end w:w="120" w:type="dxa"/>
            </w:tcMar>
            <w:vAlign w:val="center"/>
          </w:tcPr>
          <w:p>
            <w:pPr>
              <w:spacing w:line="276" w:lineRule="auto" w:after="0"/>
            </w:pPr>
            <w:r>
              <w:rPr>
                <w:rFonts w:ascii="Arial" w:hAnsi="Arial" w:eastAsia="Arial"/>
                <w:sz w:val="18"/>
              </w:rPr>
              <w:t>0.701</w:t>
            </w:r>
          </w:p>
        </w:tc>
        <w:tc>
          <w:tcPr>
            <w:tcW w:type="dxa" w:w="860"/>
            <w:tcMar>
              <w:top w:w="80" w:type="dxa"/>
              <w:start w:w="120" w:type="dxa"/>
              <w:bottom w:w="80" w:type="dxa"/>
              <w:end w:w="120" w:type="dxa"/>
            </w:tcMar>
            <w:vAlign w:val="center"/>
          </w:tcPr>
          <w:p>
            <w:pPr>
              <w:spacing w:line="276" w:lineRule="auto" w:after="0"/>
            </w:pPr>
            <w:r>
              <w:rPr>
                <w:rFonts w:ascii="Arial" w:hAnsi="Arial" w:eastAsia="Arial"/>
                <w:sz w:val="18"/>
              </w:rPr>
              <w:t>0.085</w:t>
            </w:r>
          </w:p>
        </w:tc>
      </w:tr>
    </w:tbl>
    <w:p>
      <w:pPr>
        <w:spacing w:line="360" w:lineRule="auto"/>
        <w:jc w:val="left"/>
      </w:pPr>
    </w:p>
    <w:p>
      <w:pPr>
        <w:jc w:val="center"/>
      </w:pPr>
      <w:r>
        <w:drawing>
          <wp:inline xmlns:a="http://schemas.openxmlformats.org/drawingml/2006/main" xmlns:pic="http://schemas.openxmlformats.org/drawingml/2006/picture">
            <wp:extent cx="5040000" cy="2968767"/>
            <wp:docPr id="8" name="Picture 8"/>
            <wp:cNvGraphicFramePr>
              <a:graphicFrameLocks noChangeAspect="1"/>
            </wp:cNvGraphicFramePr>
            <a:graphic>
              <a:graphicData uri="http://schemas.openxmlformats.org/drawingml/2006/picture">
                <pic:pic>
                  <pic:nvPicPr>
                    <pic:cNvPr id="0" name="model_comparison_150frag_p80.png"/>
                    <pic:cNvPicPr/>
                  </pic:nvPicPr>
                  <pic:blipFill>
                    <a:blip r:embed="rId17"/>
                    <a:stretch>
                      <a:fillRect/>
                    </a:stretch>
                  </pic:blipFill>
                  <pic:spPr>
                    <a:xfrm>
                      <a:off x="0" y="0"/>
                      <a:ext cx="5040000" cy="2968767"/>
                    </a:xfrm>
                    <a:prstGeom prst="rect"/>
                  </pic:spPr>
                </pic:pic>
              </a:graphicData>
            </a:graphic>
          </wp:inline>
        </w:drawing>
      </w:r>
    </w:p>
    <w:p>
      <w:pPr>
        <w:pStyle w:val="Caption"/>
        <w:spacing w:line="360" w:lineRule="auto"/>
        <w:jc w:val="left"/>
      </w:pPr>
      <w:r>
        <w:rPr>
          <w:b/>
        </w:rPr>
        <w:t xml:space="preserve">Figure 8. </w:t>
      </w:r>
      <w:r>
        <w:t>Held-out test mean absolute P80 error for the HPR exterior 150-fragment comparison</w:t>
      </w:r>
    </w:p>
    <w:p>
      <w:pPr>
        <w:jc w:val="center"/>
      </w:pPr>
      <w:r>
        <w:drawing>
          <wp:inline xmlns:a="http://schemas.openxmlformats.org/drawingml/2006/main" xmlns:pic="http://schemas.openxmlformats.org/drawingml/2006/picture">
            <wp:extent cx="4680000" cy="2897143"/>
            <wp:docPr id="9" name="Picture 9"/>
            <wp:cNvGraphicFramePr>
              <a:graphicFrameLocks noChangeAspect="1"/>
            </wp:cNvGraphicFramePr>
            <a:graphic>
              <a:graphicData uri="http://schemas.openxmlformats.org/drawingml/2006/picture">
                <pic:pic>
                  <pic:nvPicPr>
                    <pic:cNvPr id="0" name="03_edgeconv_test_p80_error_histogram.png"/>
                    <pic:cNvPicPr/>
                  </pic:nvPicPr>
                  <pic:blipFill>
                    <a:blip r:embed="rId18"/>
                    <a:stretch>
                      <a:fillRect/>
                    </a:stretch>
                  </pic:blipFill>
                  <pic:spPr>
                    <a:xfrm>
                      <a:off x="0" y="0"/>
                      <a:ext cx="4680000" cy="2897143"/>
                    </a:xfrm>
                    <a:prstGeom prst="rect"/>
                  </pic:spPr>
                </pic:pic>
              </a:graphicData>
            </a:graphic>
          </wp:inline>
        </w:drawing>
      </w:r>
    </w:p>
    <w:p>
      <w:pPr>
        <w:pStyle w:val="Caption"/>
        <w:spacing w:line="360" w:lineRule="auto"/>
        <w:jc w:val="left"/>
      </w:pPr>
      <w:r>
        <w:rPr>
          <w:b/>
        </w:rPr>
        <w:t xml:space="preserve">Figure 9. </w:t>
      </w:r>
      <w:r>
        <w:t>Held-out test distribution of absolute P80 error for the validation-selected EdgeConv hybrid setting</w:t>
      </w:r>
    </w:p>
    <w:p>
      <w:pPr>
        <w:pStyle w:val="Heading1"/>
        <w:spacing w:line="360" w:lineRule="auto"/>
        <w:jc w:val="left"/>
      </w:pPr>
      <w:r>
        <w:t>Discussion</w:t>
      </w:r>
    </w:p>
    <w:p>
      <w:pPr>
        <w:spacing w:line="360" w:lineRule="auto"/>
        <w:jc w:val="left"/>
      </w:pPr>
      <w:r>
        <w:t>The results suggest that the benchmark is diagnosing two separate behaviours. EdgeConv learns useful edge affinity, as indicated by the training curve and validation average precision, but the final size proxy is sensitive to the probability threshold, component rules, and how visible-surface clusters are converted into a volume-weighted PSD proxy. In the HPR exterior run, EdgeConv achieved substantially stronger instance diagnostics than the MLP baseline (mean NMI 0.754 and ARI 0.349 for the selected EdgeConv hybrid setting, compared with NMI 0.134 and negative ARI for MLP). Nevertheless, MLP produced the lowest held-out P80 error because its very noisy, coarse components happened to preserve the P80 proxy better.</w:t>
      </w:r>
    </w:p>
    <w:p>
      <w:pPr>
        <w:spacing w:line="360" w:lineRule="auto"/>
        <w:jc w:val="left"/>
      </w:pPr>
      <w:r>
        <w:t>This finding is operationally important. A segmentation model should not be judged only by edge average precision or only by a final P80 value. If the objective is muckpile monitoring, the post-processing stage must be calibrated for the probability distribution produced by the model and for the exterior morphology of the pile. The current benchmark makes that calibration visible by reporting threshold behaviour, noise fraction, instance scores, and size-proxy error together.</w:t>
      </w:r>
    </w:p>
    <w:p>
      <w:pPr>
        <w:spacing w:line="360" w:lineRule="auto"/>
        <w:jc w:val="left"/>
      </w:pPr>
      <w:r>
        <w:t>The baseline comparison also shows why the graph formulation remains useful even when the P80 ranking is not led by EdgeConv. Density clustering and simple region growing can capture some surface continuity, but they are brittle when point density, local slopes, and fragment spacing vary. The multilayer perceptron edge-affinity baseline lacks dynamic neighbourhood feature aggregation and produced a high noise fraction of 0.887. EdgeConv is therefore retained as the main learning model for fragment-aware exterior segmentation, while the P80 result identifies the next bottleneck: PSD-aware component calibration.</w:t>
      </w:r>
    </w:p>
    <w:p>
      <w:pPr>
        <w:pStyle w:val="Heading1"/>
        <w:spacing w:line="360" w:lineRule="auto"/>
        <w:jc w:val="left"/>
      </w:pPr>
      <w:r>
        <w:t>Limitations and field validation</w:t>
      </w:r>
    </w:p>
    <w:p>
      <w:pPr>
        <w:spacing w:line="360" w:lineRule="auto"/>
        <w:jc w:val="left"/>
      </w:pPr>
      <w:r>
        <w:t>The benchmark is synthetic and exterior-only. It does not replace field calibration against sieve analysis, belt scanner measurements, excavated fragment surveys, or other independent references. The pile generator preserves fragment meshes and labels but is not a full validation of blast breakage, rebound, weathering, fines generation, or operational digging disturbance. The reported numbers should therefore be interpreted as controlled pre-field performance rather than mine-site accuracy.</w:t>
      </w:r>
    </w:p>
    <w:p>
      <w:pPr>
        <w:spacing w:line="360" w:lineRule="auto"/>
        <w:jc w:val="left"/>
      </w:pPr>
      <w:r>
        <w:t>Future work should include field point clouds with independent size references, better threshold calibration, noise-penalised validation objectives, component-merge rules, and contact models that move from axis-clump approximations toward multi-sphere or polyhedral fragment contact where computation permits.</w:t>
      </w:r>
    </w:p>
    <w:p>
      <w:pPr>
        <w:pStyle w:val="Heading1"/>
        <w:spacing w:line="360" w:lineRule="auto"/>
        <w:jc w:val="left"/>
      </w:pPr>
      <w:r>
        <w:t>Conclusions</w:t>
      </w:r>
    </w:p>
    <w:p>
      <w:pPr>
        <w:spacing w:line="360" w:lineRule="auto"/>
        <w:jc w:val="left"/>
      </w:pPr>
      <w:r>
        <w:t>A labelled synthetic exterior point-cloud benchmark was developed for rockpile fragmentation monitoring. The workflow generates individual fragment meshes, constructs 150-fragment rockpile scenes, filters the full geometry to exterior-only scan proxies, and evaluates same-fragment edge-affinity learning against multiple baselines. The latest HPR-refiltered 100-scene comparison showed that the MLP affinity baseline achieved the lowest held-out mean absolute passing-size error, while EdgeConv learned stronger local affinity and produced better instance diagnostics but remained sensitive to threshold, merging, and PSD-proxy calibration. The benchmark therefore provides a useful pre-field environment for separating model learning, component formation, and visible-surface size-proxy estimation.</w:t>
      </w:r>
    </w:p>
    <w:p>
      <w:pPr>
        <w:pStyle w:val="Heading1"/>
        <w:spacing w:line="360" w:lineRule="auto"/>
        <w:jc w:val="left"/>
      </w:pPr>
      <w:r>
        <w:t>Acknowledgements</w:t>
      </w:r>
    </w:p>
    <w:p>
      <w:pPr>
        <w:spacing w:line="360" w:lineRule="auto"/>
        <w:jc w:val="left"/>
      </w:pPr>
      <w:r>
        <w:t>No external funding was received for this study. OpenAI Codex was used as an assistance tool for code refactoring, document formatting, and drafting support. The author reviewed the scientific content, analysis, and final text.</w:t>
      </w:r>
    </w:p>
    <w:p>
      <w:pPr>
        <w:pStyle w:val="Heading1"/>
        <w:spacing w:line="360" w:lineRule="auto"/>
        <w:jc w:val="left"/>
      </w:pPr>
      <w:r>
        <w:t>CRediT author statement</w:t>
      </w:r>
    </w:p>
    <w:p>
      <w:pPr>
        <w:spacing w:line="360" w:lineRule="auto"/>
        <w:jc w:val="left"/>
      </w:pPr>
      <w:r>
        <w:t>N. Ha: Conceptualization, Methodology, Software, Investigation, Validation, Formal analysis, Data curation, Writing - original draft, Writing - review and editing, Visualization.</w:t>
      </w:r>
    </w:p>
    <w:p>
      <w:pPr>
        <w:pStyle w:val="Heading1"/>
        <w:spacing w:line="360" w:lineRule="auto"/>
        <w:jc w:val="left"/>
      </w:pPr>
      <w:r>
        <w:t>Data and code availability</w:t>
      </w:r>
    </w:p>
    <w:p>
      <w:pPr>
        <w:spacing w:line="360" w:lineRule="auto"/>
        <w:jc w:val="left"/>
      </w:pPr>
      <w:r>
        <w:t>The code, synthetic scene metadata, tables, and manuscript assets are available in the project repository: https://github.com/Linkgyu/rockpile-edgeconv-arxiv. The field validation stage has not yet been completed.</w:t>
      </w:r>
    </w:p>
    <w:p>
      <w:pPr>
        <w:pStyle w:val="Heading1"/>
        <w:spacing w:line="360" w:lineRule="auto"/>
        <w:jc w:val="left"/>
      </w:pPr>
      <w:r>
        <w:t>Declaration of competing interest</w:t>
      </w:r>
    </w:p>
    <w:p>
      <w:pPr>
        <w:spacing w:line="360" w:lineRule="auto"/>
        <w:jc w:val="left"/>
      </w:pPr>
      <w:r>
        <w:t>The author declares no known competing financial interests or personal relationships that could have appeared to influence the work reported in this paper.</w:t>
      </w:r>
    </w:p>
    <w:p>
      <w:pPr>
        <w:pStyle w:val="Heading1"/>
        <w:spacing w:line="360" w:lineRule="auto"/>
        <w:jc w:val="left"/>
      </w:pPr>
      <w:r>
        <w:t>References</w:t>
      </w:r>
    </w:p>
    <w:p>
      <w:pPr>
        <w:spacing w:line="360" w:lineRule="auto"/>
        <w:ind w:hanging="283" w:left="283"/>
        <w:jc w:val="left"/>
      </w:pPr>
      <w:r>
        <w:t>Cunningham, C.V.B. 1983. The Kuz-Ram model for prediction of fragmentation from blasting. Proceedings of the 1st International Symposium on Rock Fragmentation by Blasting, Lulea, Sweden.</w:t>
      </w:r>
    </w:p>
    <w:p>
      <w:pPr>
        <w:spacing w:line="360" w:lineRule="auto"/>
        <w:ind w:hanging="283" w:left="283"/>
        <w:jc w:val="left"/>
      </w:pPr>
      <w:r>
        <w:t>Eltner, A., Kaiser, A., Castillo, C., Rock, G., Neugirg, F., and Abellan, A. 2016. Image-based surface reconstruction in geomorphometry: merits, limits and developments. Earth Surface Dynamics, vol. 4, pp. 359-389.</w:t>
      </w:r>
    </w:p>
    <w:p>
      <w:pPr>
        <w:spacing w:line="360" w:lineRule="auto"/>
        <w:ind w:hanging="283" w:left="283"/>
        <w:jc w:val="left"/>
      </w:pPr>
      <w:r>
        <w:t>Engin, I.C., Maerz, N.H., Boyko, K.J., and Reals, R. 2020. Practical measurement of size distribution of blasted rocks using LiDAR scan data. Rock Mechanics and Rock Engineering, vol. 53, pp. 4653-4671.</w:t>
      </w:r>
    </w:p>
    <w:p>
      <w:pPr>
        <w:spacing w:line="360" w:lineRule="auto"/>
        <w:ind w:hanging="283" w:left="283"/>
        <w:jc w:val="left"/>
      </w:pPr>
      <w:r>
        <w:t>Ester, M., Kriegel, H.-P., Sander, J., and Xu, X. 1996. A density-based algorithm for discovering clusters in large spatial databases with noise. Proceedings of KDD.</w:t>
      </w:r>
    </w:p>
    <w:p>
      <w:pPr>
        <w:spacing w:line="360" w:lineRule="auto"/>
        <w:ind w:hanging="283" w:left="283"/>
        <w:jc w:val="left"/>
      </w:pPr>
      <w:r>
        <w:t>Hubert, L. and Arabie, P. 1985. Comparing partitions. Journal of Classification, vol. 2, pp. 193-218.</w:t>
      </w:r>
    </w:p>
    <w:p>
      <w:pPr>
        <w:spacing w:line="360" w:lineRule="auto"/>
        <w:ind w:hanging="283" w:left="283"/>
        <w:jc w:val="left"/>
      </w:pPr>
      <w:r>
        <w:t>Ouchterlony, F. 2005. The Swebrec function: linking fragmentation by blasting and crushing. Mining Technology, vol. 114, pp. 29-44.</w:t>
      </w:r>
    </w:p>
    <w:p>
      <w:pPr>
        <w:spacing w:line="360" w:lineRule="auto"/>
        <w:ind w:hanging="283" w:left="283"/>
        <w:jc w:val="left"/>
      </w:pPr>
      <w:r>
        <w:t>Palangio, T.C., Franklin, J.A., and Maerz, N.H. 1995. WIPFRAG: a breakthrough in fragmentation measurement. Proceedings of the 21st Annual Conference on Explosives and Blasting Technique.</w:t>
      </w:r>
    </w:p>
    <w:p>
      <w:pPr>
        <w:spacing w:line="360" w:lineRule="auto"/>
        <w:ind w:hanging="283" w:left="283"/>
        <w:jc w:val="left"/>
      </w:pPr>
      <w:r>
        <w:t>Paszke, A., Gross, S., Massa, F., Lerer, A., Bradbury, J., Chanan, G., Killeen, T., Lin, Z., Gimelshein, N., Antiga, L., et al. 2019. PyTorch: an imperative style, high-performance deep learning library. Advances in Neural Information Processing Systems.</w:t>
      </w:r>
    </w:p>
    <w:p>
      <w:pPr>
        <w:spacing w:line="360" w:lineRule="auto"/>
        <w:ind w:hanging="283" w:left="283"/>
        <w:jc w:val="left"/>
      </w:pPr>
      <w:r>
        <w:t>Pedregosa, F., Varoquaux, G., Gramfort, A., Michel, V., Thirion, B., Grisel, O., Blondel, M., Prettenhofer, P., Weiss, R., Dubourg, V., et al. 2011. Scikit-learn: machine learning in Python. Journal of Machine Learning Research, vol. 12, pp. 2825-2830.</w:t>
      </w:r>
    </w:p>
    <w:p>
      <w:pPr>
        <w:spacing w:line="360" w:lineRule="auto"/>
        <w:ind w:hanging="283" w:left="283"/>
        <w:jc w:val="left"/>
      </w:pPr>
      <w:r>
        <w:t>Qi, C.R., Su, H., Mo, K., and Guibas, L.J. 2017a. PointNet: deep learning on point sets for 3D classification and segmentation. Proceedings of CVPR.</w:t>
      </w:r>
    </w:p>
    <w:p>
      <w:pPr>
        <w:spacing w:line="360" w:lineRule="auto"/>
        <w:ind w:hanging="283" w:left="283"/>
        <w:jc w:val="left"/>
      </w:pPr>
      <w:r>
        <w:t>Qi, C.R., Yi, L., Su, H., and Guibas, L.J. 2017b. PointNet++: deep hierarchical feature learning on point sets in a metric space. Advances in Neural Information Processing Systems.</w:t>
      </w:r>
    </w:p>
    <w:p>
      <w:pPr>
        <w:spacing w:line="360" w:lineRule="auto"/>
        <w:ind w:hanging="283" w:left="283"/>
        <w:jc w:val="left"/>
      </w:pPr>
      <w:r>
        <w:t>Siddiqui, F.I., Shah, S.M.A., and Behan, M.Y. 2009. Measurement of size distribution of blasted rock using digital image processing. Journal of King Abdulaziz University: Engineering Sciences, vol. 20, pp. 81-93.</w:t>
      </w:r>
    </w:p>
    <w:p>
      <w:pPr>
        <w:spacing w:line="360" w:lineRule="auto"/>
        <w:ind w:hanging="283" w:left="283"/>
        <w:jc w:val="left"/>
      </w:pPr>
      <w:r>
        <w:t>Vinh, N.X., Epps, J., and Bailey, J. 2010. Information theoretic measures for clusterings comparison: variants, properties, normalisation and correction for chance. Journal of Machine Learning Research, vol. 11, pp. 2837-2854.</w:t>
      </w:r>
    </w:p>
    <w:p>
      <w:pPr>
        <w:spacing w:line="360" w:lineRule="auto"/>
        <w:ind w:hanging="283" w:left="283"/>
        <w:jc w:val="left"/>
      </w:pPr>
      <w:r>
        <w:t>Wang, Y., Sun, Y., Liu, Z., Sarma, S.E., Bronstein, M.M., and Solomon, J.M. 2019. Dynamic graph CNN for learning on point clouds. ACM Transactions on Graphics, vol. 38, article 146.</w:t>
      </w:r>
    </w:p>
    <w:p>
      <w:pPr>
        <w:spacing w:line="360" w:lineRule="auto"/>
        <w:ind w:hanging="283" w:left="283"/>
        <w:jc w:val="left"/>
      </w:pPr>
      <w:r>
        <w:t>Westoby, M.J., Brasington, J., Glasser, N.F., Hambrey, M.J., and Reynolds, J.M. 2012. Structure-from-Motion photogrammetry: a low-cost, effective tool for geoscience applications. Geomorphology, vol. 179, pp. 300-314.</w:t>
      </w:r>
    </w:p>
    <w:sectPr w:rsidR="00FC693F" w:rsidRPr="0006063C" w:rsidSect="00034616">
      <w:footerReference w:type="default" r:id="rId9"/>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Arial" w:hAnsi="Arial" w:eastAsia="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jc w:val="left"/>
      <w:outlineLvl w:val="1"/>
    </w:pPr>
    <w:rPr>
      <w:rFonts w:asciiTheme="majorHAnsi" w:eastAsiaTheme="majorEastAsia" w:hAnsiTheme="majorHAnsi" w:cstheme="majorBidi" w:ascii="Arial" w:hAnsi="Arial" w:eastAsia="Arial"/>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jc w:val="left"/>
      <w:outlineLvl w:val="2"/>
    </w:pPr>
    <w:rPr>
      <w:rFonts w:asciiTheme="majorHAnsi" w:eastAsiaTheme="majorEastAsia" w:hAnsiTheme="majorHAnsi" w:cstheme="majorBidi" w:ascii="Arial" w:hAnsi="Arial" w:eastAsia="Arial"/>
      <w:b w:val="0"/>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60" w:lineRule="auto" w:before="0"/>
      <w:contextualSpacing/>
      <w:jc w:val="left"/>
    </w:pPr>
    <w:rPr>
      <w:rFonts w:asciiTheme="majorHAnsi" w:eastAsiaTheme="majorEastAsia" w:hAnsiTheme="majorHAnsi" w:cstheme="majorBidi" w:ascii="Arial" w:hAnsi="Arial" w:eastAsia="Arial"/>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before="0" w:after="160"/>
      <w:jc w:val="left"/>
    </w:pPr>
    <w:rPr>
      <w:rFonts w:asciiTheme="majorHAnsi" w:eastAsiaTheme="majorEastAsia" w:hAnsiTheme="majorHAnsi" w:cstheme="majorBidi" w:ascii="Arial" w:hAnsi="Arial" w:eastAsia="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60" w:after="120"/>
      <w:jc w:val="left"/>
    </w:pPr>
    <w:rPr>
      <w:rFonts w:ascii="Arial" w:hAnsi="Arial" w:eastAsia="Arial"/>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exterior point-cloud benchmark for rockpile fragmentation: fragment generation, rockpile construction, EdgeConv learning, and size-distribution proxy evaluation</dc:title>
  <dc:subject/>
  <dc:creator>N. Ha</dc:creator>
  <cp:keywords/>
  <dc:description>Prepared for Journal of the Southern African Institute of Mining and Metallurgy author guidelines</dc:description>
  <cp:lastModifiedBy/>
  <cp:revision>1</cp:revision>
  <dcterms:created xsi:type="dcterms:W3CDTF">2013-12-23T23:15:00Z</dcterms:created>
  <dcterms:modified xsi:type="dcterms:W3CDTF">2013-12-23T23:15:00Z</dcterms:modified>
  <cp:category/>
</cp:coreProperties>
</file>