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  <w:t>UNIVERSIDADE ALTO VALE DO RIO DO PEIXE – UNIARP</w:t>
      </w:r>
    </w:p>
    <w:p>
      <w:pPr>
        <w:pStyle w:val="Standard"/>
        <w:tabs>
          <w:tab w:val="clear" w:pos="708"/>
          <w:tab w:val="center" w:pos="4535" w:leader="none"/>
          <w:tab w:val="left" w:pos="7260" w:leader="none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  <w:t>NOME DO CURSO</w:t>
      </w:r>
    </w:p>
    <w:p>
      <w:pPr>
        <w:pStyle w:val="Standard"/>
        <w:tabs>
          <w:tab w:val="clear" w:pos="708"/>
          <w:tab w:val="center" w:pos="4535" w:leader="none"/>
          <w:tab w:val="left" w:pos="7260" w:leader="none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  <w:t>FERNANDO WILLRICH</w:t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3435" w:leader="none"/>
          <w:tab w:val="left" w:pos="8370" w:leader="none"/>
        </w:tabs>
        <w:spacing w:lineRule="auto" w:line="240"/>
        <w:jc w:val="center"/>
        <w:rPr/>
      </w:pPr>
      <w:r>
        <w:rPr/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  <w:bCs/>
        </w:rPr>
      </w:pPr>
      <w:r>
        <w:rPr>
          <w:b/>
          <w:bCs/>
          <w:shd w:fill="FFFFFF" w:val="clear"/>
        </w:rPr>
        <w:t>SISTEMA CRIPTOGRÁFICO DE AUTENTICAÇÃO E VERIFICAÇÃO DE UNICIDADE  DE MEDICAMENTOS</w:t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  <w:t>CAÇADOR, SC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1134" w:gutter="0" w:header="851" w:top="1701" w:footer="1140" w:bottom="1197"/>
          <w:lnNumType w:countBy="1" w:restart="newPage" w:distance="283"/>
          <w:pgNumType w:start="0" w:fmt="decimal"/>
          <w:formProt w:val="false"/>
          <w:titlePg/>
          <w:textDirection w:val="lrTb"/>
          <w:docGrid w:type="default" w:linePitch="326" w:charSpace="0"/>
        </w:sect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  <w:t>2026</w:t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ind w:end="-1"/>
        <w:jc w:val="center"/>
        <w:rPr>
          <w:b/>
        </w:rPr>
      </w:pPr>
      <w:r>
        <w:rPr>
          <w:b/>
        </w:rPr>
        <w:t>FERNANDO WILLRICH</w:t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ind w:end="-1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ind w:end="-1"/>
        <w:jc w:val="center"/>
        <w:rPr/>
      </w:pPr>
      <w:r>
        <w:rPr/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ind w:end="-1"/>
        <w:jc w:val="center"/>
        <w:rPr/>
      </w:pPr>
      <w:r>
        <w:rPr/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ind w:end="-1"/>
        <w:jc w:val="center"/>
        <w:rPr/>
      </w:pPr>
      <w:r>
        <w:rPr/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ind w:end="-1"/>
        <w:jc w:val="center"/>
        <w:rPr/>
      </w:pPr>
      <w:r>
        <w:rPr/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ind w:end="-1"/>
        <w:jc w:val="center"/>
        <w:rPr/>
      </w:pPr>
      <w:r>
        <w:rPr/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ind w:end="-1"/>
        <w:jc w:val="center"/>
        <w:rPr/>
      </w:pPr>
      <w:r>
        <w:rPr/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ind w:end="-1"/>
        <w:jc w:val="center"/>
        <w:rPr/>
      </w:pPr>
      <w:r>
        <w:rPr/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  <w:bCs/>
        </w:rPr>
      </w:pPr>
      <w:r>
        <w:rPr>
          <w:b/>
          <w:bCs/>
          <w:shd w:fill="FFFFFF" w:val="clear"/>
        </w:rPr>
        <w:t>SISTEMA CRIPTOGRÁFICO DE AUTENTICAÇÃO E VERIFICAÇÃO DE UNICIDADE  DE MEDICAMENTOS</w:t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ind w:end="-1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ind w:end="-1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ind w:end="-1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ind w:start="4536" w:end="-1"/>
        <w:rPr/>
      </w:pPr>
      <w:r>
        <w:rPr/>
        <w:t>Projeto apresentado como exigência para obtenção de nota na disciplina TCC I, do Curso de Análise e Desenvolvimento de Sistemas, da Universidade Alto Vale do Rio do Peixe - UNIARP</w:t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ind w:start="4536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ind w:start="4536" w:end="-1"/>
        <w:rPr/>
      </w:pPr>
      <w:r>
        <w:rPr>
          <w:b/>
        </w:rPr>
        <w:t xml:space="preserve">Orientador: </w:t>
      </w:r>
      <w:r>
        <w:rPr>
          <w:bCs/>
        </w:rPr>
        <w:t>Prof. Me.</w:t>
      </w:r>
      <w:r>
        <w:rPr>
          <w:b/>
        </w:rPr>
        <w:t xml:space="preserve"> </w:t>
      </w:r>
      <w:r>
        <w:rPr/>
        <w:t>André Leonardo Radeck Maia</w:t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ind w:end="-1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ind w:end="-1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ind w:end="-1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ind w:end="-1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ind w:end="-1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ind w:end="-1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ind w:end="-1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ind w:end="-1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ind w:end="-1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ind w:end="-1"/>
        <w:jc w:val="center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ind w:end="-1"/>
        <w:rPr>
          <w:b/>
        </w:rPr>
      </w:pPr>
      <w:r>
        <w:rPr>
          <w:b/>
        </w:rPr>
      </w:r>
    </w:p>
    <w:p>
      <w:pPr>
        <w:pStyle w:val="Standard"/>
        <w:tabs>
          <w:tab w:val="clear" w:pos="708"/>
          <w:tab w:val="left" w:pos="8370" w:leader="none"/>
        </w:tabs>
        <w:spacing w:lineRule="auto" w:line="240"/>
        <w:ind w:end="-1"/>
        <w:jc w:val="center"/>
        <w:rPr>
          <w:b/>
        </w:rPr>
      </w:pPr>
      <w:r>
        <w:rPr>
          <w:b/>
        </w:rPr>
        <w:t>CAÇADOR, SC</w:t>
      </w:r>
    </w:p>
    <w:p>
      <w:pPr>
        <w:sectPr>
          <w:headerReference w:type="default" r:id="rId8"/>
          <w:headerReference w:type="first" r:id="rId9"/>
          <w:footerReference w:type="default" r:id="rId10"/>
          <w:footerReference w:type="first" r:id="rId11"/>
          <w:type w:val="nextPage"/>
          <w:pgSz w:w="11906" w:h="16838"/>
          <w:pgMar w:left="1701" w:right="1134" w:gutter="0" w:header="851" w:top="1701" w:footer="709" w:bottom="1134"/>
          <w:lnNumType w:countBy="1" w:restart="newPage" w:distance="283"/>
          <w:pgNumType w:fmt="decimal"/>
          <w:formProt w:val="false"/>
          <w:titlePg/>
          <w:textDirection w:val="lrTb"/>
          <w:docGrid w:type="default" w:linePitch="360" w:charSpace="0"/>
        </w:sectPr>
        <w:pStyle w:val="Standard"/>
        <w:tabs>
          <w:tab w:val="clear" w:pos="708"/>
          <w:tab w:val="left" w:pos="8370" w:leader="none"/>
        </w:tabs>
        <w:spacing w:lineRule="auto" w:line="240"/>
        <w:jc w:val="center"/>
        <w:rPr>
          <w:b/>
        </w:rPr>
      </w:pPr>
      <w:r>
        <w:rPr>
          <w:b/>
        </w:rPr>
        <w:t>2026</w:t>
      </w:r>
    </w:p>
    <w:p>
      <w:pPr>
        <w:pStyle w:val="Title"/>
        <w:rPr/>
      </w:pPr>
      <w:r>
        <w:rPr/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Calibri" w:hAnsi="Calibri"/>
              <w:b w:val="false"/>
              <w:bCs w:val="false"/>
              <w:caps w:val="false"/>
              <w:smallCaps w:val="false"/>
              <w:kern w:val="0"/>
              <w:sz w:val="22"/>
              <w:szCs w:val="22"/>
              <w:lang w:eastAsia="pt-BR"/>
            </w:rPr>
          </w:pPr>
          <w:r>
            <w:fldChar w:fldCharType="begin"/>
          </w:r>
          <w:r>
            <w:rPr>
              <w:rStyle w:val="Vnculodendice"/>
            </w:rPr>
            <w:instrText xml:space="preserve"> TOC \o "1-5" \h</w:instrText>
          </w:r>
          <w:r>
            <w:rPr>
              <w:rStyle w:val="Vnculodendice"/>
            </w:rPr>
            <w:fldChar w:fldCharType="separate"/>
          </w:r>
          <w:hyperlink w:anchor="_Toc143792388">
            <w:r>
              <w:rPr>
                <w:rStyle w:val="Vnculodendice"/>
              </w:rPr>
              <w:t>1 INTRODUÇÃO</w:t>
            </w:r>
            <w:r>
              <w:rPr>
                <w:rStyle w:val="Vnculodendice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_Toc143792388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1200" w:leader="none"/>
              <w:tab w:val="right" w:pos="9061" w:leader="dot"/>
            </w:tabs>
            <w:rPr>
              <w:rFonts w:ascii="Calibri" w:hAnsi="Calibri"/>
              <w:caps w:val="false"/>
              <w:smallCaps w:val="false"/>
              <w:kern w:val="0"/>
              <w:sz w:val="22"/>
              <w:szCs w:val="22"/>
              <w:lang w:eastAsia="pt-BR"/>
            </w:rPr>
          </w:pPr>
          <w:hyperlink w:anchor="_Toc143792389">
            <w:r>
              <w:rPr>
                <w:rStyle w:val="Vnculodendice"/>
              </w:rPr>
              <w:t>1.1</w:t>
            </w:r>
            <w:r>
              <w:rPr>
                <w:rStyle w:val="Vnculodendice"/>
                <w:rFonts w:ascii="Calibri" w:hAnsi="Calibri"/>
                <w:caps w:val="false"/>
                <w:smallCaps w:val="false"/>
                <w:kern w:val="0"/>
                <w:sz w:val="22"/>
                <w:szCs w:val="22"/>
                <w:lang w:eastAsia="pt-BR"/>
              </w:rPr>
              <w:t xml:space="preserve"> </w:t>
            </w:r>
            <w:r>
              <w:rPr>
                <w:rStyle w:val="Vnculodendice"/>
              </w:rPr>
              <w:t>APRESENTAÇÃO DO TEMA</w:t>
            </w:r>
            <w:r>
              <w:rPr>
                <w:rStyle w:val="Vnculodendice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_Toc143792389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/>
              <w:caps w:val="false"/>
              <w:smallCaps w:val="false"/>
              <w:kern w:val="0"/>
              <w:sz w:val="22"/>
              <w:szCs w:val="22"/>
              <w:lang w:eastAsia="pt-BR"/>
            </w:rPr>
          </w:pPr>
          <w:hyperlink w:anchor="_Toc143792390">
            <w:r>
              <w:rPr>
                <w:rStyle w:val="Vnculodendice"/>
              </w:rPr>
              <w:t>1.2 PROBLEMA</w:t>
            </w:r>
            <w:r>
              <w:rPr>
                <w:rStyle w:val="Vnculodendice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_Toc143792390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/>
              <w:caps w:val="false"/>
              <w:smallCaps w:val="false"/>
              <w:kern w:val="0"/>
              <w:sz w:val="22"/>
              <w:szCs w:val="22"/>
              <w:lang w:eastAsia="pt-BR"/>
            </w:rPr>
          </w:pPr>
          <w:hyperlink w:anchor="_Toc143792391">
            <w:r>
              <w:rPr>
                <w:rStyle w:val="Vnculodendice"/>
              </w:rPr>
              <w:t>1.3 OBJETIVOS</w:t>
            </w:r>
            <w:r>
              <w:rPr>
                <w:rStyle w:val="Vnculodendice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_Toc143792391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ascii="Calibri" w:hAnsi="Calibri"/>
              <w:b w:val="false"/>
              <w:iCs w:val="false"/>
              <w:kern w:val="0"/>
              <w:sz w:val="22"/>
              <w:szCs w:val="22"/>
              <w:lang w:eastAsia="pt-BR"/>
            </w:rPr>
          </w:pPr>
          <w:hyperlink w:anchor="_Toc143792392">
            <w:r>
              <w:rPr>
                <w:rStyle w:val="Vnculodendice"/>
              </w:rPr>
              <w:t>1.3.1 Objetivo geral</w:t>
            </w:r>
            <w:r>
              <w:rPr>
                <w:rStyle w:val="Vnculodendice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_Toc143792392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ascii="Calibri" w:hAnsi="Calibri"/>
              <w:b w:val="false"/>
              <w:iCs w:val="false"/>
              <w:kern w:val="0"/>
              <w:sz w:val="22"/>
              <w:szCs w:val="22"/>
              <w:lang w:eastAsia="pt-BR"/>
            </w:rPr>
          </w:pPr>
          <w:hyperlink w:anchor="_Toc143792393">
            <w:r>
              <w:rPr>
                <w:rStyle w:val="Vnculodendice"/>
              </w:rPr>
              <w:t>1.3.2 Objetivos específicos</w:t>
            </w:r>
            <w:r>
              <w:rPr>
                <w:rStyle w:val="Vnculodendice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_Toc143792393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/>
              <w:caps w:val="false"/>
              <w:smallCaps w:val="false"/>
              <w:kern w:val="0"/>
              <w:sz w:val="22"/>
              <w:szCs w:val="22"/>
              <w:lang w:eastAsia="pt-BR"/>
            </w:rPr>
          </w:pPr>
          <w:hyperlink w:anchor="_Toc143792394">
            <w:r>
              <w:rPr>
                <w:rStyle w:val="Vnculodendice"/>
              </w:rPr>
              <w:t>1.4 JUSTIFICATIVA</w:t>
            </w:r>
            <w:r>
              <w:rPr>
                <w:rStyle w:val="Vnculodendice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_Toc143792394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/>
              <w:b w:val="false"/>
              <w:bCs w:val="false"/>
              <w:caps w:val="false"/>
              <w:smallCaps w:val="false"/>
              <w:kern w:val="0"/>
              <w:sz w:val="22"/>
              <w:szCs w:val="22"/>
              <w:lang w:eastAsia="pt-BR"/>
            </w:rPr>
          </w:pPr>
          <w:hyperlink w:anchor="_Toc143792395">
            <w:r>
              <w:rPr>
                <w:rStyle w:val="Vnculodendice"/>
              </w:rPr>
              <w:t>2 FUNDAMENTAÇÃO TEÓRICA</w:t>
            </w:r>
            <w:r>
              <w:rPr>
                <w:rStyle w:val="Vnculodendice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_Toc143792395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/>
              <w:caps w:val="false"/>
              <w:smallCaps w:val="false"/>
              <w:kern w:val="0"/>
              <w:sz w:val="22"/>
              <w:szCs w:val="22"/>
              <w:lang w:eastAsia="pt-BR"/>
            </w:rPr>
          </w:pPr>
          <w:hyperlink w:anchor="_Toc143792396">
            <w:r>
              <w:rPr>
                <w:rStyle w:val="Vnculodendice"/>
              </w:rPr>
              <w:t>2.1 TÍTULO SECUNDÁRIO</w:t>
            </w:r>
            <w:r>
              <w:rPr>
                <w:rStyle w:val="Vnculodendice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_Toc143792396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ascii="Calibri" w:hAnsi="Calibri"/>
              <w:b w:val="false"/>
              <w:iCs w:val="false"/>
              <w:kern w:val="0"/>
              <w:sz w:val="22"/>
              <w:szCs w:val="22"/>
              <w:lang w:eastAsia="pt-BR"/>
            </w:rPr>
          </w:pPr>
          <w:hyperlink w:anchor="_Toc143792397">
            <w:r>
              <w:rPr>
                <w:rStyle w:val="Vnculodendice"/>
              </w:rPr>
              <w:t>2.1.1 Título terciário</w:t>
            </w:r>
            <w:r>
              <w:rPr>
                <w:rStyle w:val="Vnculodendice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_Toc143792397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4"/>
            <w:tabs>
              <w:tab w:val="clear" w:pos="708"/>
              <w:tab w:val="right" w:pos="9061" w:leader="dot"/>
            </w:tabs>
            <w:rPr>
              <w:rFonts w:ascii="Calibri" w:hAnsi="Calibri"/>
              <w:i w:val="false"/>
              <w:i w:val="false"/>
              <w:kern w:val="0"/>
              <w:sz w:val="22"/>
              <w:szCs w:val="22"/>
              <w:lang w:eastAsia="pt-BR"/>
            </w:rPr>
          </w:pPr>
          <w:hyperlink w:anchor="_Toc143792398">
            <w:r>
              <w:rPr>
                <w:rStyle w:val="Vnculodendice"/>
              </w:rPr>
              <w:t>2.1.1.1 Título quaternário</w:t>
            </w:r>
            <w:r>
              <w:rPr>
                <w:rStyle w:val="Vnculodendice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_Toc143792398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tabs>
              <w:tab w:val="clear" w:pos="708"/>
              <w:tab w:val="right" w:pos="9061" w:leader="dot"/>
            </w:tabs>
            <w:rPr>
              <w:rFonts w:ascii="Calibri" w:hAnsi="Calibri"/>
              <w:kern w:val="0"/>
              <w:sz w:val="22"/>
              <w:szCs w:val="22"/>
              <w:lang w:eastAsia="pt-BR"/>
            </w:rPr>
          </w:pPr>
          <w:hyperlink w:anchor="_Toc143792399">
            <w:r>
              <w:rPr>
                <w:rStyle w:val="Vnculodendice"/>
              </w:rPr>
              <w:t>2.1.1.1.1 Título quinário</w:t>
            </w:r>
            <w:r>
              <w:rPr>
                <w:rStyle w:val="Vnculodendice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_Toc143792399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/>
              <w:b w:val="false"/>
              <w:bCs w:val="false"/>
              <w:caps w:val="false"/>
              <w:smallCaps w:val="false"/>
              <w:kern w:val="0"/>
              <w:sz w:val="22"/>
              <w:szCs w:val="22"/>
              <w:lang w:eastAsia="pt-BR"/>
            </w:rPr>
          </w:pPr>
          <w:hyperlink w:anchor="_Toc143792400">
            <w:r>
              <w:rPr>
                <w:rStyle w:val="Vnculodendice"/>
              </w:rPr>
              <w:t>3 METODOLOGIA</w:t>
            </w:r>
            <w:r>
              <w:rPr>
                <w:rStyle w:val="Vnculodendice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_Toc143792400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/>
              <w:b w:val="false"/>
              <w:bCs w:val="false"/>
              <w:caps w:val="false"/>
              <w:smallCaps w:val="false"/>
              <w:kern w:val="0"/>
              <w:sz w:val="22"/>
              <w:szCs w:val="22"/>
              <w:lang w:eastAsia="pt-BR"/>
            </w:rPr>
          </w:pPr>
          <w:hyperlink w:anchor="_Toc143792401">
            <w:r>
              <w:rPr>
                <w:rStyle w:val="Vnculodendice"/>
              </w:rPr>
              <w:t>4 RECURSOS</w:t>
            </w:r>
            <w:r>
              <w:rPr>
                <w:rStyle w:val="Vnculodendice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_Toc143792401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/>
              <w:b w:val="false"/>
              <w:bCs w:val="false"/>
              <w:caps w:val="false"/>
              <w:smallCaps w:val="false"/>
              <w:kern w:val="0"/>
              <w:sz w:val="22"/>
              <w:szCs w:val="22"/>
              <w:lang w:eastAsia="pt-BR"/>
            </w:rPr>
          </w:pPr>
          <w:hyperlink w:anchor="_Toc143792402">
            <w:r>
              <w:rPr>
                <w:rStyle w:val="Vnculodendice"/>
              </w:rPr>
              <w:t>5 CRONOGRAMA</w:t>
            </w:r>
            <w:r>
              <w:rPr>
                <w:rStyle w:val="Vnculodendice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_Toc143792402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/>
              <w:b w:val="false"/>
              <w:bCs w:val="false"/>
              <w:caps w:val="false"/>
              <w:smallCaps w:val="false"/>
              <w:kern w:val="0"/>
              <w:sz w:val="22"/>
              <w:szCs w:val="22"/>
              <w:lang w:eastAsia="pt-BR"/>
            </w:rPr>
          </w:pPr>
          <w:hyperlink w:anchor="_Toc143792403">
            <w:r>
              <w:rPr>
                <w:rStyle w:val="Vnculodendice"/>
              </w:rPr>
              <w:t>REFERÊNCIAS</w:t>
            </w:r>
            <w:r>
              <w:rPr>
                <w:rStyle w:val="Vnculodendice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_Toc143792403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/>
              <w:b w:val="false"/>
              <w:bCs w:val="false"/>
              <w:caps w:val="false"/>
              <w:smallCaps w:val="false"/>
              <w:kern w:val="0"/>
              <w:sz w:val="22"/>
              <w:szCs w:val="22"/>
              <w:lang w:eastAsia="pt-BR"/>
            </w:rPr>
          </w:pPr>
          <w:hyperlink w:anchor="_Toc143792404">
            <w:r>
              <w:rPr>
                <w:rStyle w:val="Vnculodendice"/>
                <w:lang w:eastAsia="pt-BR"/>
              </w:rPr>
              <w:t>APÊNDICES</w:t>
            </w:r>
            <w:r>
              <w:rPr>
                <w:rStyle w:val="Vnculodendice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_Toc143792404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/>
              <w:b w:val="false"/>
              <w:bCs w:val="false"/>
              <w:caps w:val="false"/>
              <w:smallCaps w:val="false"/>
              <w:kern w:val="0"/>
              <w:sz w:val="22"/>
              <w:szCs w:val="22"/>
              <w:lang w:eastAsia="pt-BR"/>
            </w:rPr>
          </w:pPr>
          <w:hyperlink w:anchor="_Toc143792405">
            <w:r>
              <w:rPr>
                <w:rStyle w:val="Vnculodendice"/>
                <w:rFonts w:eastAsia="Calibri"/>
                <w:lang w:eastAsia="pt-BR"/>
              </w:rPr>
              <w:t>ANEXOS</w:t>
            </w:r>
            <w:r>
              <w:rPr>
                <w:rStyle w:val="Vnculodendice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_Toc143792405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15</w:t>
            </w:r>
            <w:r>
              <w:rPr>
                <w:webHidden/>
              </w:rPr>
              <w:fldChar w:fldCharType="end"/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Standard"/>
        <w:tabs>
          <w:tab w:val="clear" w:pos="708"/>
          <w:tab w:val="left" w:pos="8370" w:leader="none"/>
        </w:tabs>
        <w:rPr>
          <w:b/>
        </w:rPr>
      </w:pPr>
      <w:r>
        <w:rPr>
          <w:b/>
        </w:rPr>
      </w:r>
    </w:p>
    <w:p>
      <w:pPr>
        <w:pStyle w:val="Normal"/>
        <w:widowControl/>
        <w:suppressAutoHyphens w:val="false"/>
        <w:spacing w:before="0" w:after="160"/>
        <w:jc w:val="start"/>
        <w:textAlignment w:val="auto"/>
        <w:rPr>
          <w:b/>
          <w:caps/>
          <w:szCs w:val="28"/>
        </w:rPr>
      </w:pPr>
      <w:r>
        <w:rPr>
          <w:b/>
          <w:caps/>
          <w:szCs w:val="28"/>
        </w:rPr>
      </w:r>
      <w:bookmarkStart w:id="0" w:name="_Toc8390203"/>
      <w:bookmarkStart w:id="1" w:name="_Toc8390224"/>
      <w:bookmarkStart w:id="2" w:name="_Toc8390203"/>
      <w:bookmarkStart w:id="3" w:name="_Toc8390224"/>
      <w:r>
        <w:br w:type="page"/>
      </w:r>
    </w:p>
    <w:p>
      <w:pPr>
        <w:pStyle w:val="Heading1"/>
        <w:spacing w:before="0" w:after="240"/>
        <w:rPr>
          <w:bCs/>
          <w:szCs w:val="24"/>
        </w:rPr>
      </w:pPr>
      <w:bookmarkStart w:id="4" w:name="_Toc143792388"/>
      <w:r>
        <w:rPr/>
        <w:t>1</w:t>
      </w:r>
      <w:r>
        <w:rPr>
          <w:szCs w:val="24"/>
        </w:rPr>
        <w:t xml:space="preserve"> INT</w:t>
      </w:r>
      <w:r>
        <w:rPr>
          <w:bCs/>
          <w:szCs w:val="24"/>
        </w:rPr>
        <w:t>RODUÇÃO</w:t>
      </w:r>
      <w:bookmarkEnd w:id="2"/>
      <w:bookmarkEnd w:id="3"/>
      <w:bookmarkEnd w:id="4"/>
    </w:p>
    <w:p>
      <w:pPr>
        <w:pStyle w:val="Normal"/>
        <w:ind w:firstLine="708"/>
        <w:rPr/>
      </w:pPr>
      <w:r>
        <w:rPr/>
        <w:t>A segurança e a integridade dos produtos farmacêuticos representam um dos pilares fundamentais da saúde pública global. No entanto, a incidência de falsificações e adulterações tem desafiado os métodos tradicionais de controle, exigindo soluções tecnológicas que transcendam o simples acompanhamento logístico.</w:t>
      </w:r>
    </w:p>
    <w:p>
      <w:pPr>
        <w:pStyle w:val="Normal"/>
        <w:ind w:firstLine="708"/>
        <w:rPr/>
      </w:pPr>
      <w:r>
        <w:rPr/>
        <w:t>O presente projeto propõe uma mudança de paradigma: saindo da rastreabilidade convencional para um sistema focado na autenticação digital e no controle rigoroso de duplicidade, utilizando fundamentos sólidos de criptografia aplicada para mitigar danos à sociedade.</w:t>
      </w:r>
    </w:p>
    <w:p>
      <w:pPr>
        <w:pStyle w:val="Heading2"/>
        <w:numPr>
          <w:ilvl w:val="1"/>
          <w:numId w:val="1"/>
        </w:numPr>
        <w:rPr/>
      </w:pPr>
      <w:bookmarkStart w:id="5" w:name="_Toc143792389"/>
      <w:r>
        <w:rPr/>
        <w:t>APRESENTAÇÃO DO TEMA</w:t>
      </w:r>
      <w:bookmarkEnd w:id="5"/>
    </w:p>
    <w:p>
      <w:pPr>
        <w:pStyle w:val="Normal"/>
        <w:rPr/>
      </w:pPr>
      <w:r>
        <w:rPr/>
        <w:t xml:space="preserve">O tema deste projeto de pesquisa abrange a área de Segurança da Informação aplicada à cadeia de suprimentos farmacêutica. O foco central é desenvolvimento de uma plataforma de validação de autenticidade que utiliza criptografia de chaves públicas (PGP/RSA) para garantir que cada unidade de medicamento seja única e verificável. </w:t>
      </w:r>
    </w:p>
    <w:p>
      <w:pPr>
        <w:pStyle w:val="Normal"/>
        <w:rPr/>
      </w:pPr>
      <w:r>
        <w:rPr/>
        <w:t>O estudo explora a implementação de assinaturas digitais únicas vinculadas a códigos 2D (</w:t>
      </w:r>
      <w:r>
        <w:rPr>
          <w:i/>
          <w:iCs/>
        </w:rPr>
        <w:t>QR Code</w:t>
      </w:r>
      <w:r>
        <w:rPr/>
        <w:t xml:space="preserve"> ou </w:t>
      </w:r>
      <w:r>
        <w:rPr>
          <w:i/>
          <w:iCs/>
        </w:rPr>
        <w:t>DataMatrix</w:t>
      </w:r>
      <w:r>
        <w:rPr/>
        <w:t>), permitindo que consumidores finais e instituições hospitalares realizem a “prova de vida” do produto de forma descentralizada, sem depender exclusivamente de etiquetas físicas que podem ser removidas ou clonadas.</w:t>
      </w:r>
    </w:p>
    <w:p>
      <w:pPr>
        <w:pStyle w:val="Heading2"/>
        <w:rPr/>
      </w:pPr>
      <w:bookmarkStart w:id="6" w:name="_Toc143792390"/>
      <w:bookmarkStart w:id="7" w:name="_Toc8390225"/>
      <w:bookmarkStart w:id="8" w:name="_Toc8390204"/>
      <w:r>
        <w:rPr/>
        <w:t>1.2 DEFINIÇÃO DO PROBLEMA</w:t>
      </w:r>
      <w:bookmarkEnd w:id="6"/>
      <w:bookmarkEnd w:id="7"/>
      <w:bookmarkEnd w:id="8"/>
    </w:p>
    <w:p>
      <w:pPr>
        <w:pStyle w:val="Normal"/>
        <w:rPr/>
      </w:pPr>
      <w:r>
        <w:rPr/>
        <w:t>A cadeia de suprimentos farmacêutica enfrenta vulnerabilidades críticas devido à facilidade com que códigos de barras tradicionais e etiquetas físicas são clonados. Atualmente, o problema central reside na falta de um mecanismo de verificação seguro que identifique a duplicidade de códigos. Sem esse controle, um falsificador pode replicar uma única embalagem legítima milhares de vezes, e o sistemas convencionais falham ao não detectar que o mesmo código está sendo validado em múltiplos locais simultaneamente.</w:t>
      </w:r>
    </w:p>
    <w:p>
      <w:pPr>
        <w:pStyle w:val="Normal"/>
        <w:rPr/>
      </w:pPr>
      <w:r>
        <w:rPr/>
        <w:t>Essa lacuna de segurança permite a circulação de produtos adulterados, resultando em tratamentos ineficazes, riscos letais aos pacientes e prejuízos econômicos acentuados para governos e laboratórios. Portanto, questiona-se: como um sistema baseado em criptografia e controle de unicidade pode atuar como uma barreira eficaz para impedir a validação de códigos clonados e garantir a procedência real de cada medicamento?</w:t>
      </w:r>
    </w:p>
    <w:p>
      <w:pPr>
        <w:pStyle w:val="Heading2"/>
        <w:rPr/>
      </w:pPr>
      <w:r>
        <w:rPr/>
        <w:t xml:space="preserve">1.3 HIPOTESES </w:t>
      </w:r>
    </w:p>
    <w:p>
      <w:pPr>
        <w:pStyle w:val="Normal"/>
        <w:rPr/>
      </w:pPr>
      <w:r>
        <w:rPr/>
        <w:t>A presente pesquisa fundamenta-se na suposição de que a fragilidade dos métodos físicos de autenticação é a variável que permite a circulação de medicamentos clonados, e que a introdução de uma variável tecnológica de segurança criptográfica alterará a taxa de detecção dessas fraudes.</w:t>
      </w:r>
    </w:p>
    <w:p>
      <w:pPr>
        <w:pStyle w:val="Normal"/>
        <w:rPr/>
      </w:pPr>
      <w:r>
        <w:rPr/>
        <w:t>Acredita-se que a implementação dos mecanismos de assinatura digital baseado em criptografia de chaves públicas poderia aumentar significativamente a identificação de produtos e medicamentos falsificados, reduzindo assim, a incidência de circulação de medicamentos adulterados na cadeia de suprimentos.</w:t>
      </w:r>
    </w:p>
    <w:p>
      <w:pPr>
        <w:pStyle w:val="Heading2"/>
        <w:rPr/>
      </w:pPr>
      <w:bookmarkStart w:id="9" w:name="_Toc8390205"/>
      <w:bookmarkStart w:id="10" w:name="_Toc143792391"/>
      <w:bookmarkStart w:id="11" w:name="_Toc8390226"/>
      <w:r>
        <w:rPr/>
        <w:t>1.4 OBJETIVOS</w:t>
      </w:r>
      <w:bookmarkEnd w:id="9"/>
      <w:bookmarkEnd w:id="10"/>
      <w:bookmarkEnd w:id="11"/>
    </w:p>
    <w:p>
      <w:pPr>
        <w:pStyle w:val="Heading3"/>
        <w:rPr>
          <w:b w:val="false"/>
        </w:rPr>
      </w:pPr>
      <w:bookmarkStart w:id="12" w:name="_Toc8390206"/>
      <w:bookmarkStart w:id="13" w:name="_Toc143792392"/>
      <w:bookmarkStart w:id="14" w:name="_Toc8390227"/>
      <w:r>
        <w:rPr/>
        <w:t>1.4.1 Objetivo geral</w:t>
      </w:r>
      <w:bookmarkEnd w:id="12"/>
      <w:bookmarkEnd w:id="13"/>
      <w:bookmarkEnd w:id="14"/>
    </w:p>
    <w:p>
      <w:pPr>
        <w:pStyle w:val="Normal"/>
        <w:ind w:firstLine="708"/>
        <w:rPr/>
      </w:pPr>
      <w:r>
        <w:rPr/>
        <w:t xml:space="preserve">Desenvolver um sistema criptográfico de autenticação e verificação de unicidade para produtos farmacêuticos, visando o combate à falsificação e a mitigação de danos à saúde pública através do controle rigoroso de duplicidade de códigos fundamentado em criptografia de chaves públicas (PGP/RSA). </w:t>
      </w:r>
    </w:p>
    <w:p>
      <w:pPr>
        <w:pStyle w:val="Heading3"/>
        <w:rPr/>
      </w:pPr>
      <w:bookmarkStart w:id="15" w:name="_Toc8390228"/>
      <w:bookmarkStart w:id="16" w:name="_Toc143792393"/>
      <w:bookmarkStart w:id="17" w:name="_Toc8390207"/>
      <w:r>
        <w:rPr/>
        <w:t>1.4.2 Objetivos específicos</w:t>
      </w:r>
      <w:bookmarkEnd w:id="15"/>
      <w:bookmarkEnd w:id="16"/>
      <w:bookmarkEnd w:id="17"/>
    </w:p>
    <w:p>
      <w:pPr>
        <w:pStyle w:val="Normal"/>
        <w:numPr>
          <w:ilvl w:val="0"/>
          <w:numId w:val="2"/>
        </w:numPr>
        <w:rPr/>
      </w:pPr>
      <w:r>
        <w:rPr/>
        <w:t>Elaborar um módulo de software voltado ao fabricante para a geração de assinaturas digitais únicas vinculadas a cada unidade produzida.</w:t>
      </w:r>
    </w:p>
    <w:p>
      <w:pPr>
        <w:pStyle w:val="Normal"/>
        <w:numPr>
          <w:ilvl w:val="0"/>
          <w:numId w:val="2"/>
        </w:numPr>
        <w:rPr/>
      </w:pPr>
      <w:r>
        <w:rPr/>
        <w:t>Implementar um gerador de códigos 2D (</w:t>
      </w:r>
      <w:r>
        <w:rPr>
          <w:i/>
          <w:iCs/>
        </w:rPr>
        <w:t>QR Code</w:t>
      </w:r>
      <w:r>
        <w:rPr/>
        <w:t xml:space="preserve"> ou </w:t>
      </w:r>
      <w:r>
        <w:rPr>
          <w:i/>
          <w:iCs/>
        </w:rPr>
        <w:t>DataMatrix</w:t>
      </w:r>
      <w:r>
        <w:rPr/>
        <w:t>) capaz de comportar a assinatura digital e permitir a interface entre o produto físico e a validação digital.</w:t>
      </w:r>
    </w:p>
    <w:p>
      <w:pPr>
        <w:pStyle w:val="Normal"/>
        <w:numPr>
          <w:ilvl w:val="0"/>
          <w:numId w:val="2"/>
        </w:numPr>
        <w:rPr/>
      </w:pPr>
      <w:r>
        <w:rPr/>
        <w:t>Estruturar um banco de dados especializado no controle de duplicidade, apto a monitorar o status de cada código e impedir que assinaturas legítimas clonadas sejam validadas múltiplas vezes na cadeia de suprimentos.</w:t>
      </w:r>
    </w:p>
    <w:p>
      <w:pPr>
        <w:pStyle w:val="Normal"/>
        <w:numPr>
          <w:ilvl w:val="0"/>
          <w:numId w:val="2"/>
        </w:numPr>
        <w:rPr/>
      </w:pPr>
      <w:r>
        <w:rPr/>
        <w:t>Projetar uma aplicação de validação descentralizada que utilize a chave pública do laboratório para que hospitais e consumidores realizem a “prova real” e autenticidade do medicamento em tempo real.</w:t>
      </w:r>
    </w:p>
    <w:p>
      <w:pPr>
        <w:pStyle w:val="Heading2"/>
        <w:rPr/>
      </w:pPr>
      <w:bookmarkStart w:id="18" w:name="_Toc8390208"/>
      <w:bookmarkStart w:id="19" w:name="_Toc143792394"/>
      <w:bookmarkStart w:id="20" w:name="_Toc8390229"/>
      <w:r>
        <w:rPr/>
        <w:t>1.5 JUSTIFICATIVA</w:t>
      </w:r>
      <w:bookmarkEnd w:id="18"/>
      <w:bookmarkEnd w:id="19"/>
      <w:bookmarkEnd w:id="20"/>
    </w:p>
    <w:p>
      <w:pPr>
        <w:pStyle w:val="Normal"/>
        <w:ind w:firstLine="708"/>
        <w:rPr/>
      </w:pPr>
      <w:r>
        <w:rPr/>
        <w:t xml:space="preserve">A fundamentação para a realização deste projeto reside na elevada vulnerabilidade observada na cadeia de suprimentos farmacêutica contemporânea. De acordo com a World Health Organization (WHO, 2024), estima-se que pelo menos um em cada dez produtos médicos em países de baixa e média renda seja falsificado ou esteja fora dos padrões de qualidade. Essas falhas críticas de segurança facilitam o roubo de cargas, a falsificação e a adulteração deliberada da identidade e composição dos medicamentos, problemas que são agravados pela sofisticação crescente das redes criminosas e pela complexidade logística global. </w:t>
      </w:r>
    </w:p>
    <w:p>
      <w:pPr>
        <w:pStyle w:val="Normal"/>
        <w:ind w:firstLine="708"/>
        <w:rPr/>
      </w:pPr>
      <w:r>
        <w:rPr/>
        <w:t>As consequências desse cenário são diretas e graves para a saúde pública, uma vez que pacientes podem consumir, de forma inadvertida, substâncias ineficazes ou tóxicas, resultando em falhas no tratamento, agravamento de doenças, aumento da resistência antimicrobiana e óbitos. Diante dessa problemática, o sistema proposto justifica-se como uma barreira tecnológica robusta, utilizando assinaturas digitais únicas fundamentadas em criptografia de chaves públicas (PGP/RSA) e controle rigoroso de duplicidade para garantir a unicidade e a integridade de cada unidade produzida, prevenindo que produtos espúrios alcancem o consumidor final.</w:t>
      </w:r>
      <w:bookmarkStart w:id="21" w:name="_Toc8390230"/>
      <w:bookmarkStart w:id="22" w:name="_Toc8390209"/>
      <w:r>
        <w:br w:type="page"/>
      </w:r>
    </w:p>
    <w:p>
      <w:pPr>
        <w:pStyle w:val="Heading1"/>
        <w:spacing w:before="0" w:after="240"/>
        <w:rPr/>
      </w:pPr>
      <w:bookmarkStart w:id="23" w:name="_Toc143792395"/>
      <w:r>
        <w:rPr/>
        <w:t>2 FUNDAMENTAÇÃO TEÓRICA</w:t>
      </w:r>
      <w:bookmarkEnd w:id="21"/>
      <w:bookmarkEnd w:id="22"/>
      <w:bookmarkEnd w:id="23"/>
    </w:p>
    <w:p>
      <w:pPr>
        <w:pStyle w:val="ListParagraph"/>
        <w:ind w:firstLine="709" w:start="0"/>
        <w:rPr>
          <w:rFonts w:ascii="Arial" w:hAnsi="Arial" w:cs="Arial" w:asciiTheme="minorHAnsi" w:cstheme="minorHAnsi" w:hAnsiTheme="minorHAnsi"/>
          <w:bCs/>
        </w:rPr>
      </w:pPr>
      <w:r>
        <w:rPr>
          <w:rFonts w:eastAsia="TimesNewRomanPSMT" w:cs="Arial" w:cstheme="minorHAnsi"/>
          <w:bCs/>
        </w:rPr>
        <w:t>O embasamento teórico deste projeto analisa a transição das medidas de segurança física para protocolos digitais robustos, necessários para enfrentar a sofisticação do crime organizado na cadeia farmacêutica. Atualmente, o funcionamento do controle de medicamentos baseia-se predominantemente em selos físicos, códigos de barras simples e sistemas de rastreabilidade logística que, embora úteis para o transporte, apresentam falhas críticas na garantia de autenticidade no ponto de consumo</w:t>
      </w:r>
    </w:p>
    <w:p>
      <w:pPr>
        <w:pStyle w:val="Heading2"/>
        <w:rPr>
          <w:rFonts w:ascii="Arial" w:hAnsi="Arial" w:cs="Arial" w:asciiTheme="minorHAnsi" w:cstheme="minorHAnsi" w:hAnsiTheme="minorHAnsi"/>
          <w:szCs w:val="24"/>
        </w:rPr>
      </w:pPr>
      <w:bookmarkStart w:id="24" w:name="_Toc527782469"/>
      <w:bookmarkStart w:id="25" w:name="_Toc143792396"/>
      <w:bookmarkStart w:id="26" w:name="_Toc8390231"/>
      <w:bookmarkStart w:id="27" w:name="_Toc527782349"/>
      <w:bookmarkStart w:id="28" w:name="_Toc8390210"/>
      <w:r>
        <w:rPr>
          <w:rFonts w:cs="Arial" w:cstheme="minorHAnsi"/>
          <w:szCs w:val="24"/>
        </w:rPr>
        <w:t xml:space="preserve">2.1 </w:t>
      </w:r>
      <w:bookmarkEnd w:id="24"/>
      <w:bookmarkEnd w:id="25"/>
      <w:bookmarkEnd w:id="26"/>
      <w:bookmarkEnd w:id="27"/>
      <w:bookmarkEnd w:id="28"/>
      <w:r>
        <w:rPr>
          <w:rFonts w:cs="Arial" w:cstheme="minorHAnsi"/>
          <w:szCs w:val="24"/>
        </w:rPr>
        <w:t>Problemática de falsificação de medicamentos</w:t>
      </w:r>
    </w:p>
    <w:p>
      <w:pPr>
        <w:pStyle w:val="Normal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  <w:t xml:space="preserve">Um medicamento falsificado é um produto embalado e etiquetado indevidamente, de maneira deliberada e fraudulenta, onde não se respeita sua fonte ou identidade, podendo conter alterações e adulterações em sua fórmula original </w:t>
      </w:r>
      <w:r>
        <w:rPr>
          <w:rFonts w:cs="Arial" w:cstheme="minorHAnsi"/>
          <w:shd w:fill="auto" w:val="clear"/>
        </w:rPr>
        <w:t>(Hurtado e Lasmar, 2014).</w:t>
      </w:r>
    </w:p>
    <w:p>
      <w:pPr>
        <w:pStyle w:val="Normal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  <w:t xml:space="preserve">A circulação de produtos médicos falsificados é um desafio global que compromete a integridade dos sistemas de saúde. De acordo com a </w:t>
      </w:r>
      <w:r>
        <w:rPr>
          <w:rFonts w:cs="Arial" w:cstheme="minorHAnsi"/>
          <w:i/>
          <w:iCs/>
        </w:rPr>
        <w:t>World Health Organization</w:t>
      </w:r>
      <w:r>
        <w:rPr>
          <w:rFonts w:cs="Arial" w:cstheme="minorHAnsi"/>
        </w:rPr>
        <w:t xml:space="preserve"> (WHO, 2024), pelo menos um em cada dez medicamentos em países de baixa e média renda é falsificado ou de qualidade inferior. Diferente de produtos "abaixo do padrão", que falham por erros de fabricação, os produtos falsificados são deliberadamente adulterados em sua identidade ou fonte para enganar o consumidor. </w:t>
      </w:r>
    </w:p>
    <w:p>
      <w:pPr>
        <w:pStyle w:val="Normal"/>
        <w:ind w:hanging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  <w:t>Os riscos à saúde são multidimensionais, o consumo inadvertido desses itens pode levar ao fracasso terapêutico em doenças críticas como o câncer, agravamento de patologias devido à presença de substâncias tóxicas e, em casos extremos, à morte. Além disso, doses incorretas de antibióticos falsificados contribuem para o aumento da resistência antimicrobiana, tornando infecções comuns difíceis de tratar. Economicamente, estima-se que países gastem anualmente cerca de 30,5 bilhões de dólares com esses produtos espúrios, o que corrói a confiança da população nos provedores de saúde.</w:t>
      </w:r>
    </w:p>
    <w:p>
      <w:pPr>
        <w:pStyle w:val="Normal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  <w:t>De acordo com Ames e Souza (2012), a contrafação envolve produtos de referência, assim como produtos similares ou genéricos e pode incluir produtos com composição similar aos autênticos, sem componentes ativos, com componentes ativos insuficientes ou outros fármacos no lugar dos ativos usuais.</w:t>
      </w:r>
    </w:p>
    <w:p>
      <w:pPr>
        <w:pStyle w:val="Normal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  <w:t xml:space="preserve">No Brasil, a falsificação de medicamentos foi caracterizada por muitos anos principalmente por estimulantes sexuais masculinos, anabolizantes e anorexígenos. Contudo, nos últimos anos, os medicamentos de alto custo destinados ao tratamento de doenças crônicas e raras se sobressaíram </w:t>
      </w:r>
      <w:r>
        <w:rPr>
          <w:rFonts w:cs="Arial" w:cstheme="minorHAnsi"/>
          <w:shd w:fill="auto" w:val="clear"/>
        </w:rPr>
        <w:t>(Lombardo, 2023).</w:t>
      </w:r>
    </w:p>
    <w:p>
      <w:pPr>
        <w:pStyle w:val="Normal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  <w:t xml:space="preserve">Segundo dados da Agência Nacional de Vigilância Sanitária – ANVISA, em 2018 foram identificadas três falsificações de medicamentos, em 2019 foram quatro e em 2020, até o momento, já foram identificados oito casos. A Anvisa identificou que a maioria das falsificações acontecem com medicamentos de alto custo. Investigações apontam que as quadrilhas estão se especializando nesses medicamentos, uma vez que possuem uso mais restrito e poucos frascos podem render muito lucro, sendo assim a falsificação se torna de difícil percepção. As falsificações detectadas recentemente mimetizam medicamentos destinados a indicações terapêuticas críticas, como oncológicos, antivirais destinados ao tratamento da hepatite C e medicamentos utilizados na terapia de complicações do transplante de medula óssea </w:t>
      </w:r>
      <w:r>
        <w:rPr>
          <w:rFonts w:cs="Arial" w:cstheme="minorHAnsi"/>
          <w:shd w:fill="auto" w:val="clear"/>
        </w:rPr>
        <w:t>(ANVISA, 2023)</w:t>
      </w:r>
      <w:r>
        <w:rPr>
          <w:rFonts w:cs="Arial" w:cstheme="minorHAnsi"/>
        </w:rPr>
        <w:t>.</w:t>
      </w:r>
    </w:p>
    <w:p>
      <w:pPr>
        <w:pStyle w:val="Normal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  <w:t xml:space="preserve">Em um estudo recente, que analisou dados nacionais e internacionais sobre o tema nos últimos dez anos, aponta que a expansão do comércio eletrônico, a vulnerabilidade socioeconômica e lacunas na fiscalização são fatores que facilitam a disseminação desses produtos no Brasil. Além dos danos à saúde, a falsificação de medicamentos causa prejuízos econômicos ao setor farmacêutico e afeta diretamente a credibilidade das instituições de saúde </w:t>
      </w:r>
      <w:r>
        <w:rPr>
          <w:rFonts w:cs="Arial" w:cstheme="minorHAnsi"/>
          <w:shd w:fill="auto" w:val="clear"/>
        </w:rPr>
        <w:t>(Nascimento e Marquez, 2025).</w:t>
      </w:r>
    </w:p>
    <w:p>
      <w:pPr>
        <w:pStyle w:val="Heading2"/>
        <w:rPr>
          <w:rFonts w:ascii="Arial" w:hAnsi="Arial" w:cs="Arial" w:asciiTheme="minorHAnsi" w:cstheme="minorHAnsi" w:hAnsiTheme="minorHAnsi"/>
          <w:szCs w:val="24"/>
        </w:rPr>
      </w:pPr>
      <w:bookmarkStart w:id="29" w:name="_Toc527782469_Copia_1"/>
      <w:bookmarkStart w:id="30" w:name="_Toc527782349_Copia_1"/>
      <w:bookmarkStart w:id="31" w:name="_Toc8390210_Copia_1"/>
      <w:bookmarkStart w:id="32" w:name="_Toc8390231_Copia_1"/>
      <w:bookmarkStart w:id="33" w:name="_Toc143792396_Copia_1"/>
      <w:r>
        <w:rPr>
          <w:rFonts w:cs="Arial" w:cstheme="minorHAnsi"/>
          <w:szCs w:val="24"/>
        </w:rPr>
        <w:t xml:space="preserve">2.2 </w:t>
      </w:r>
      <w:bookmarkEnd w:id="29"/>
      <w:bookmarkEnd w:id="30"/>
      <w:bookmarkEnd w:id="31"/>
      <w:bookmarkEnd w:id="32"/>
      <w:bookmarkEnd w:id="33"/>
      <w:r>
        <w:rPr>
          <w:rFonts w:cs="Arial" w:cstheme="minorHAnsi"/>
          <w:szCs w:val="24"/>
        </w:rPr>
        <w:t>A criptografia como ferramenta no combate a falsificação de medicamentos</w:t>
      </w:r>
    </w:p>
    <w:p>
      <w:pPr>
        <w:pStyle w:val="Normal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  <w:t xml:space="preserve">Criptografia </w:t>
      </w:r>
      <w:r>
        <w:rPr>
          <w:rFonts w:cs="Arial" w:cstheme="minorHAnsi"/>
        </w:rPr>
        <w:t xml:space="preserve">é definida como a arte ou ciência de disfarçar a informação de maneira que apenas o destinatário legítimo consiga compreendê-la. Ao contrário da esteganografia, que tenta esconder a existência de uma mensagem, a criptografia foca em tornar o conteúdo ininteligível para qualquer pessoa que não possua o procedimento de reversão ou a chave correta. No ambiente computacional moderno, essa segurança é obtida através de protocolos como o </w:t>
      </w:r>
      <w:r>
        <w:rPr>
          <w:rStyle w:val="Emphasis"/>
          <w:rFonts w:cs="Arial" w:ascii="Arial" w:hAnsi="Arial" w:asciiTheme="minorHAnsi" w:cstheme="minorHAnsi" w:hAnsiTheme="minorHAnsi"/>
          <w:b w:val="false"/>
          <w:strike w:val="false"/>
          <w:dstrike w:val="false"/>
          <w:sz w:val="24"/>
          <w:u w:val="none"/>
          <w:effect w:val="none"/>
        </w:rPr>
        <w:t xml:space="preserve">American Standard Code for Information Interchange </w:t>
      </w:r>
      <w:r>
        <w:rPr>
          <w:rStyle w:val="Emphasis"/>
          <w:rFonts w:cs="Arial" w:cstheme="minorHAnsi"/>
          <w:b w:val="false"/>
          <w:strike w:val="false"/>
          <w:dstrike w:val="false"/>
          <w:sz w:val="24"/>
          <w:u w:val="none"/>
          <w:effect w:val="none"/>
        </w:rPr>
        <w:t>(</w:t>
      </w:r>
      <w:r>
        <w:rPr>
          <w:rStyle w:val="Emphasis"/>
          <w:rFonts w:cs="Arial" w:cstheme="minorHAnsi"/>
          <w:b w:val="false"/>
          <w:i w:val="false"/>
          <w:iCs w:val="false"/>
          <w:strike w:val="false"/>
          <w:dstrike w:val="false"/>
          <w:sz w:val="24"/>
          <w:u w:val="none"/>
          <w:effect w:val="none"/>
        </w:rPr>
        <w:t>ASCII</w:t>
      </w:r>
      <w:r>
        <w:rPr>
          <w:rStyle w:val="Emphasis"/>
          <w:rFonts w:cs="Arial" w:cstheme="minorHAnsi"/>
          <w:b w:val="false"/>
          <w:strike w:val="false"/>
          <w:dstrike w:val="false"/>
          <w:sz w:val="24"/>
          <w:u w:val="none"/>
          <w:effect w:val="none"/>
        </w:rPr>
        <w:t>)</w:t>
      </w:r>
      <w:r>
        <w:rPr>
          <w:rFonts w:cs="Arial" w:cstheme="minorHAnsi"/>
        </w:rPr>
        <w:t xml:space="preserve">, que convertem a informação em binário antes de ser submetida aos algoritmos de cifragem. O funcionamento de um sistema criptográfico baseia-se no embaralhamento do texto original (texto claro) por meio de um algoritmo e uma chave, resultando em um texto cifrado. </w:t>
      </w:r>
      <w:r>
        <w:rPr>
          <w:rFonts w:cs="Arial" w:cstheme="minorHAnsi"/>
        </w:rPr>
        <w:t>Com o passar dos tempos, a evolução da tecnologia, surgiram duas ramificações principais da criptografia</w:t>
      </w:r>
      <w:r>
        <w:rPr>
          <w:rFonts w:cs="Arial" w:cstheme="minorHAnsi"/>
        </w:rPr>
        <w:t xml:space="preserve">; a </w:t>
      </w:r>
      <w:r>
        <w:rPr>
          <w:rFonts w:cs="Arial" w:cstheme="minorHAnsi"/>
          <w:b w:val="false"/>
          <w:bCs w:val="false"/>
        </w:rPr>
        <w:t>criptografia simétrica</w:t>
      </w:r>
      <w:r>
        <w:rPr>
          <w:rFonts w:cs="Arial" w:cstheme="minorHAnsi"/>
        </w:rPr>
        <w:t xml:space="preserve">, que utiliza uma única chave para codificar e decodificar, exigindo um canal seguro para sua troca; </w:t>
      </w:r>
      <w:r>
        <w:rPr>
          <w:rFonts w:cs="Arial" w:cstheme="minorHAnsi"/>
        </w:rPr>
        <w:t>e</w:t>
      </w:r>
      <w:r>
        <w:rPr>
          <w:rFonts w:cs="Arial" w:cstheme="minorHAnsi"/>
        </w:rPr>
        <w:t xml:space="preserve"> a criptografia assimétrica, que utiliza um par de chaves matematicamente ligadas (pública e privada), eliminando a necessidade de compartilhamento de segredos prévios. No âmbito da segurança da informação, a criptografia é essencial para garantir a confidencialidade, a autenticidade, </w:t>
      </w:r>
      <w:r>
        <w:rPr>
          <w:rFonts w:cs="Arial" w:cstheme="minorHAnsi"/>
        </w:rPr>
        <w:t>e</w:t>
      </w:r>
      <w:r>
        <w:rPr>
          <w:rFonts w:cs="Arial" w:cstheme="minorHAnsi"/>
        </w:rPr>
        <w:t xml:space="preserve"> a integridade </w:t>
      </w:r>
      <w:r>
        <w:rPr>
          <w:rFonts w:cs="Arial" w:cstheme="minorHAnsi"/>
        </w:rPr>
        <w:t>dessas informações</w:t>
      </w:r>
      <w:r>
        <w:rPr>
          <w:rFonts w:cs="Arial" w:cstheme="minorHAnsi"/>
        </w:rPr>
        <w:t xml:space="preserve">. Essas propriedades são as que conferem à criptografia a aplicabilidade prática como uma ferramenta poderosa. Através do uso de assinaturas digitais e algoritmos como o </w:t>
      </w:r>
      <w:r>
        <w:rPr>
          <w:rFonts w:cs="Arial" w:cstheme="minorHAnsi"/>
          <w:i/>
          <w:iCs/>
        </w:rPr>
        <w:t>Rivest-Shamir-Adleman (</w:t>
      </w:r>
      <w:r>
        <w:rPr>
          <w:rFonts w:cs="Arial" w:cstheme="minorHAnsi"/>
          <w:i w:val="false"/>
          <w:iCs w:val="false"/>
        </w:rPr>
        <w:t>RSA</w:t>
      </w:r>
      <w:r>
        <w:rPr>
          <w:rFonts w:cs="Arial" w:cstheme="minorHAnsi"/>
          <w:i/>
          <w:iCs/>
        </w:rPr>
        <w:t>)</w:t>
      </w:r>
      <w:r>
        <w:rPr>
          <w:rFonts w:cs="Arial" w:cstheme="minorHAnsi"/>
        </w:rPr>
        <w:t xml:space="preserve">, é possível criar mecanismos de verificação, assegurando que o produto farmacêutico não foi adulterado e que sua origem no laboratório é legítima. </w:t>
      </w:r>
      <w:r>
        <w:rPr>
          <w:rFonts w:cs="Arial" w:cstheme="minorHAnsi"/>
        </w:rPr>
        <w:t xml:space="preserve">(Costa, </w:t>
      </w:r>
      <w:r>
        <w:rPr>
          <w:rFonts w:cs="Arial" w:cstheme="minorHAnsi"/>
        </w:rPr>
        <w:t>Celso</w:t>
      </w:r>
      <w:r>
        <w:rPr>
          <w:rFonts w:cs="Arial" w:cstheme="minorHAnsi"/>
        </w:rPr>
        <w:t xml:space="preserve"> e Figueiredo</w:t>
      </w:r>
      <w:r>
        <w:rPr>
          <w:rFonts w:cs="Arial" w:cstheme="minorHAnsi"/>
          <w:shd w:fill="auto" w:val="clear"/>
        </w:rPr>
        <w:t xml:space="preserve">, </w:t>
      </w:r>
      <w:r>
        <w:rPr>
          <w:rFonts w:cs="Arial" w:cstheme="minorHAnsi"/>
          <w:shd w:fill="auto" w:val="clear"/>
        </w:rPr>
        <w:t>2010</w:t>
      </w:r>
      <w:r>
        <w:rPr>
          <w:rFonts w:cs="Arial" w:cstheme="minorHAnsi"/>
          <w:shd w:fill="auto" w:val="clear"/>
        </w:rPr>
        <w:t>).</w:t>
      </w:r>
    </w:p>
    <w:p>
      <w:pPr>
        <w:pStyle w:val="Heading2"/>
        <w:rPr/>
      </w:pPr>
      <w:r>
        <w:rPr>
          <w:rFonts w:cs="Arial" w:cstheme="minorHAnsi"/>
        </w:rPr>
        <w:t xml:space="preserve">2.2.1 </w:t>
      </w:r>
      <w:r>
        <w:rPr>
          <w:rFonts w:cs="Arial" w:cstheme="minorHAnsi"/>
        </w:rPr>
        <w:t xml:space="preserve">Sistema de criptografia de Privacidade Muito Boa </w:t>
      </w:r>
    </w:p>
    <w:p>
      <w:pPr>
        <w:pStyle w:val="Normal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  <w:t xml:space="preserve">O software </w:t>
      </w:r>
      <w:r>
        <w:rPr>
          <w:rFonts w:cs="Arial" w:cstheme="minorHAnsi"/>
          <w:i/>
        </w:rPr>
        <w:t>Pretty Good Privacy</w:t>
      </w:r>
      <w:r>
        <w:rPr>
          <w:rFonts w:cs="Arial" w:cstheme="minorHAnsi"/>
        </w:rPr>
        <w:t xml:space="preserve"> (PGP) foi criado no início da década de 1990 por Phil Zimmermann, com o objetivo de adaptar conceitos complexos de criptografia para uma interface de fácil utilização por pessoas comuns em seu dia a dia. Para contornar problemas governamentais de com sistema de segurança que não poderiam ser monitorados, para contornar o problema, Zimmermann publicou o código-fonte do sistema em formato de livro, graças a isso, com o tempo surgiram derivações como o padrão aberto (OpenPGP) em 1998 e o </w:t>
      </w:r>
      <w:r>
        <w:rPr>
          <w:rFonts w:cs="Arial" w:cstheme="minorHAnsi"/>
          <w:i/>
          <w:iCs/>
        </w:rPr>
        <w:t>GNU Privacy Guard</w:t>
      </w:r>
      <w:r>
        <w:rPr>
          <w:rFonts w:cs="Arial" w:cstheme="minorHAnsi"/>
        </w:rPr>
        <w:t xml:space="preserve"> (GPG) em 1999.</w:t>
      </w:r>
    </w:p>
    <w:p>
      <w:pPr>
        <w:pStyle w:val="Normal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  <w:t>Diferente do que o senso comum sugere, o PGP não é um algoritmo isolado, mas um sistema que utiliza o mecanismo de chaves assimétricas (públicas e privadas) para garantir a segurança da informação. No funcionamento prático, o sistema gera automaticamente um par de chaves matematicamente ligadas: uma chave pública, que deve ser enviada aos destinatários para que estes encriptem as mensagens, e uma chave privada, que permanece sob posse exclusiva do proprietário para realizar o decriptamento. A segurança desse método está diretamente relacionada ao tamanho da chave em bits; quanto maior o número de bits, maior é o "</w:t>
      </w:r>
      <w:r>
        <w:rPr>
          <w:rFonts w:cs="Arial" w:cstheme="minorHAnsi"/>
          <w:i/>
          <w:iCs/>
        </w:rPr>
        <w:t>keyspace</w:t>
      </w:r>
      <w:r>
        <w:rPr>
          <w:rFonts w:cs="Arial" w:cstheme="minorHAnsi"/>
        </w:rPr>
        <w:t>", tornando o cálculo de quebra por força bruta demorado para máquinas e impossível para seres humanos. (Carmo, Lemes e Freitas, 2010)</w:t>
      </w:r>
    </w:p>
    <w:p>
      <w:pPr>
        <w:pStyle w:val="Heading2"/>
        <w:rPr>
          <w:rFonts w:ascii="Arial" w:hAnsi="Arial" w:cs="Arial" w:asciiTheme="minorHAnsi" w:cstheme="minorHAnsi" w:hAnsiTheme="minorHAnsi"/>
          <w:szCs w:val="24"/>
        </w:rPr>
      </w:pPr>
      <w:bookmarkStart w:id="34" w:name="_Toc8390210_Copia_1_Copia_2"/>
      <w:bookmarkStart w:id="35" w:name="_Toc8390231_Copia_1_Copia_2"/>
      <w:bookmarkStart w:id="36" w:name="_Toc143792396_Copia_1_Copia_2"/>
      <w:bookmarkStart w:id="37" w:name="_Toc527782349_Copia_1_Copia_2"/>
      <w:bookmarkStart w:id="38" w:name="_Toc527782469_Copia_1_Copia_2"/>
      <w:r>
        <w:rPr>
          <w:rFonts w:cs="Arial" w:cstheme="minorHAnsi"/>
          <w:szCs w:val="24"/>
        </w:rPr>
        <w:t>2.</w:t>
      </w:r>
      <w:bookmarkEnd w:id="34"/>
      <w:bookmarkEnd w:id="35"/>
      <w:bookmarkEnd w:id="36"/>
      <w:bookmarkEnd w:id="37"/>
      <w:bookmarkEnd w:id="38"/>
      <w:r>
        <w:rPr>
          <w:rFonts w:cs="Arial" w:cstheme="minorHAnsi"/>
          <w:szCs w:val="24"/>
        </w:rPr>
        <w:t>3 a utilização da criptografia para controle de falsificação de medicamentos</w:t>
      </w:r>
    </w:p>
    <w:p>
      <w:pPr>
        <w:pStyle w:val="Normal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  <w:t>Como proposta de solução, será desenvolvida uma plataforma web que utilizará HTML, CSS e JAVASCRIPT para interface com o usuário e, para a infraestrutura de back-end será adotado o padrão PGP Pretty Good Privacy, um dos protocolos de criptografia mais eficazes para a proteção da autenticidade e privacidade de dados, juntamente com a linguagem de programação PHP.</w:t>
      </w:r>
    </w:p>
    <w:p>
      <w:pPr>
        <w:pStyle w:val="Normal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  <w:t xml:space="preserve">Atualmente, o ecossistema </w:t>
      </w:r>
      <w:r>
        <w:rPr>
          <w:rFonts w:cs="Arial" w:cstheme="minorHAnsi"/>
          <w:i/>
        </w:rPr>
        <w:t>OpenPGP</w:t>
      </w:r>
      <w:r>
        <w:rPr>
          <w:rFonts w:cs="Arial" w:cstheme="minorHAnsi"/>
        </w:rPr>
        <w:t xml:space="preserve"> evoluiu de uma ferramenta de nicho para um padrão profissional integrado em infraestruturas de nuvem e dispositivos móveis. Enquanto sistemas antigos de rastreabilidade dependiam de conexões constantes, as implementações modernas permitem validações descentralizadas e rápidas através de bibliotecas como </w:t>
      </w:r>
      <w:r>
        <w:rPr>
          <w:rFonts w:cs="Arial" w:cstheme="minorHAnsi"/>
          <w:i/>
        </w:rPr>
        <w:t>OpenPGP.js</w:t>
      </w:r>
      <w:r>
        <w:rPr>
          <w:rFonts w:cs="Arial" w:cstheme="minorHAnsi"/>
        </w:rPr>
        <w:t xml:space="preserve"> e ferramentas como o </w:t>
      </w:r>
      <w:r>
        <w:rPr>
          <w:rFonts w:cs="Arial" w:cstheme="minorHAnsi"/>
          <w:i/>
        </w:rPr>
        <w:t xml:space="preserve">GnuPG </w:t>
      </w:r>
      <w:r>
        <w:rPr>
          <w:rFonts w:cs="Arial" w:cstheme="minorHAnsi"/>
          <w:i/>
          <w:shd w:fill="auto" w:val="clear"/>
        </w:rPr>
        <w:t>(</w:t>
      </w:r>
      <w:r>
        <w:rPr>
          <w:rFonts w:cs="Arial" w:cstheme="minorHAnsi"/>
          <w:i/>
          <w:shd w:fill="auto" w:val="clear"/>
        </w:rPr>
        <w:t>IBM, 2024</w:t>
      </w:r>
      <w:r>
        <w:rPr>
          <w:rFonts w:cs="Arial" w:cstheme="minorHAnsi"/>
          <w:i/>
          <w:shd w:fill="auto" w:val="clear"/>
        </w:rPr>
        <w:t>)</w:t>
      </w:r>
      <w:r>
        <w:rPr>
          <w:rFonts w:cs="Arial" w:cstheme="minorHAnsi"/>
          <w:shd w:fill="auto" w:val="clear"/>
        </w:rPr>
        <w:t>.</w:t>
      </w:r>
    </w:p>
    <w:p>
      <w:pPr>
        <w:pStyle w:val="Normal"/>
        <w:ind w:hanging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  <w:tab/>
        <w:t>A tendência tecnológica atual aponta para o uso de Criptografia de Curva Elíptica (</w:t>
      </w:r>
      <w:r>
        <w:rPr>
          <w:rFonts w:cs="Arial" w:cstheme="minorHAnsi"/>
          <w:i/>
        </w:rPr>
        <w:t>ECC</w:t>
      </w:r>
      <w:r>
        <w:rPr>
          <w:rFonts w:cs="Arial" w:cstheme="minorHAnsi"/>
        </w:rPr>
        <w:t xml:space="preserve">), que oferece o mesmo nível de segurança do </w:t>
      </w:r>
      <w:r>
        <w:rPr>
          <w:rFonts w:cs="Arial" w:cstheme="minorHAnsi"/>
          <w:i/>
        </w:rPr>
        <w:t>RSA</w:t>
      </w:r>
      <w:r>
        <w:rPr>
          <w:rFonts w:cs="Arial" w:cstheme="minorHAnsi"/>
        </w:rPr>
        <w:t xml:space="preserve"> tradicional com chaves menores e menor carga computacional, sendo ideal para a leitura instantânea de códigos 2D em hospitais. Além disso, a segurança contemporânea exige uma defesa em profundidade, onde assinaturas digitais são associadas a bancos de dados de controle de duplicidade. Esse mecanismo garante que, mesmo que um código legítimo seja clonado fisicamente, o sistema identifique múltiplas tentativas de validação e bloqueie o item falsificado, oferecendo uma "prova de vida" digital indispensável no cenário atual de ameaças cibernéticas e física</w:t>
      </w:r>
      <w:r>
        <w:rPr>
          <w:rFonts w:cs="Arial" w:cstheme="minorHAnsi"/>
        </w:rPr>
        <w:t>s.</w:t>
      </w:r>
      <w:bookmarkStart w:id="39" w:name="_Toc8390233"/>
      <w:bookmarkStart w:id="40" w:name="_Toc8390212"/>
      <w:r>
        <w:br w:type="page"/>
      </w:r>
    </w:p>
    <w:p>
      <w:pPr>
        <w:pStyle w:val="Heading1"/>
        <w:spacing w:before="0" w:after="240"/>
        <w:rPr/>
      </w:pPr>
      <w:bookmarkStart w:id="41" w:name="_Toc143792400"/>
      <w:r>
        <w:rPr/>
        <w:t>3 METODOLOGIA</w:t>
      </w:r>
      <w:bookmarkEnd w:id="41"/>
      <w:r>
        <w:rPr/>
        <w:t xml:space="preserve"> </w:t>
      </w:r>
      <w:bookmarkEnd w:id="39"/>
      <w:bookmarkEnd w:id="40"/>
    </w:p>
    <w:p>
      <w:pPr>
        <w:pStyle w:val="Normal"/>
        <w:tabs>
          <w:tab w:val="clear" w:pos="708"/>
          <w:tab w:val="left" w:pos="0" w:leader="none"/>
          <w:tab w:val="left" w:pos="8370" w:leader="none"/>
        </w:tabs>
        <w:spacing w:before="0" w:after="0"/>
        <w:ind w:firstLine="709" w:start="0"/>
        <w:contextualSpacing/>
        <w:rPr/>
      </w:pPr>
      <w:r>
        <w:rPr/>
        <w:t>A presente pesquisa caracteriza-se como um estudo de natureza aplicada e de abordagem qualitativa e quantitativa, voltado ao desenvolvimento de um protótipo de software para a segurança na cadeia de suprimentos farmacêutica. O objetivo é criar um sistema de rastreabilidade que utilize fundamentos sólidos de computação para superar as vulnerabilidades dos códigos de barras tradicionais, os quais são facilmente clonados e não garantem a autenticidade da origem</w:t>
      </w:r>
    </w:p>
    <w:p>
      <w:pPr>
        <w:pStyle w:val="Normal"/>
        <w:rPr/>
      </w:pPr>
      <w:r>
        <w:rPr/>
        <w:t>.</w:t>
      </w:r>
    </w:p>
    <w:p>
      <w:pPr>
        <w:pStyle w:val="Normal"/>
        <w:rPr/>
      </w:pPr>
      <w:r>
        <w:rPr/>
        <w:t>O universo da pesquisa compreende a cadeia logística farmacêutica brasileira, com foco em duas frentes distintas de operação. A primeira frente concentra-se na origem do medicamento (laboratórios fabricantes), onde será implementada a chave privada de assinatura digital. A segunda frente abrange os pontos de validação, como centros de distribuição, hospitais e farmácias, que utilizarão a chave pública para leitura e verificação da procedência do produto</w:t>
      </w:r>
    </w:p>
    <w:p>
      <w:pPr>
        <w:pStyle w:val="Normal"/>
        <w:rPr/>
      </w:pPr>
      <w:r>
        <w:rPr/>
        <w:t>.</w:t>
      </w:r>
    </w:p>
    <w:p>
      <w:pPr>
        <w:pStyle w:val="Normal"/>
        <w:rPr/>
      </w:pPr>
      <w:r>
        <w:rPr/>
        <w:t>A infraestrutura necessária consiste em um computador pessoal para o desenvolvimento do código-fonte e um smartphone para testes práticos de leitura de códigos 2D. No backend, será utilizada a linguagem PHP, integrada às bibliotecas OpenPGP e GnuPG para o controle e geração de chaves RSA/PGP, seguindo padrões de segurança que garantem a integridade dos arquivos. A interface (frontend) será construída com HTML, CSS e JavaScript, permitindo a interação com o gerador de QR Codes e DataMatrix que carregarão os códigos de verificação do produto.</w:t>
      </w:r>
    </w:p>
    <w:p>
      <w:pPr>
        <w:pStyle w:val="Normal"/>
        <w:rPr/>
      </w:pPr>
      <w:r>
        <w:rPr/>
        <w:t>.</w:t>
      </w:r>
    </w:p>
    <w:p>
      <w:pPr>
        <w:pStyle w:val="Normal"/>
        <w:spacing w:before="0" w:after="283"/>
        <w:rPr/>
      </w:pPr>
      <w:r>
        <w:rPr/>
        <w:t>Os procedimentos para a coleta e análise de dados seguirão etapas técnicas de desenvolvimento e simulação:</w:t>
      </w:r>
    </w:p>
    <w:p>
      <w:pPr>
        <w:pStyle w:val="Normal"/>
        <w:spacing w:before="0" w:after="283"/>
        <w:rPr/>
      </w:pPr>
      <w:r>
        <w:rPr>
          <w:b/>
        </w:rPr>
        <w:t>Geração de Assinaturas:</w:t>
      </w:r>
      <w:r>
        <w:rPr/>
        <w:t xml:space="preserve"> Implementação de algoritmos RSA/PGP para criar assinaturas digitais únicas vinculadas aos dados de lote e validade de cada unidade; </w:t>
      </w:r>
    </w:p>
    <w:p>
      <w:pPr>
        <w:pStyle w:val="Normal"/>
        <w:spacing w:before="0" w:after="283"/>
        <w:rPr/>
      </w:pPr>
      <w:r>
        <w:rPr>
          <w:b/>
        </w:rPr>
        <w:t>Codificação 2D:</w:t>
      </w:r>
      <w:r>
        <w:rPr/>
        <w:t xml:space="preserve"> Desenvolvimento de um módulo para embutir a assinatura criptográfica em QR Codes ou DataMatrix; </w:t>
      </w:r>
    </w:p>
    <w:p>
      <w:pPr>
        <w:pStyle w:val="Normal"/>
        <w:spacing w:before="0" w:after="283"/>
        <w:rPr/>
      </w:pPr>
      <w:r>
        <w:rPr>
          <w:b/>
        </w:rPr>
        <w:t>Validação Descentralizada:</w:t>
      </w:r>
      <w:r>
        <w:rPr/>
        <w:t xml:space="preserve"> Criação de uma aplicação móvel que utilize a chave pública do laboratório para decriptar e validar a assinatura, garantindo que a informação não foi alterada;</w:t>
      </w:r>
    </w:p>
    <w:p>
      <w:pPr>
        <w:pStyle w:val="Normal"/>
        <w:spacing w:before="0" w:after="283"/>
        <w:rPr/>
      </w:pPr>
      <w:r>
        <w:rPr>
          <w:b/>
        </w:rPr>
        <w:t>Controle de Unicidade:</w:t>
      </w:r>
      <w:r>
        <w:rPr/>
        <w:t xml:space="preserve"> Estruturação de um banco de dados (PostgreSQL ou Firebase) para registrar cada validação, permitindo que o sistema detecte se um código original legítimo foi clonado e validado múltiplas vezes (duplicidade);</w:t>
      </w:r>
    </w:p>
    <w:p>
      <w:pPr>
        <w:pStyle w:val="BodyText"/>
        <w:spacing w:before="0" w:after="0"/>
        <w:ind w:hanging="0"/>
        <w:rPr/>
      </w:pPr>
      <w:r>
        <w:rPr/>
        <w:t>A pesquisa será encerrada após a conclusão dos testes de integridade, onde será verificada a eficácia do sistema em barrar medicamentos com assinaturas inválidas ou códigos duplicados, contribuindo assim para o combate à falsificação.</w:t>
      </w:r>
    </w:p>
    <w:p>
      <w:pPr>
        <w:pStyle w:val="BodyText"/>
        <w:spacing w:before="0" w:after="0"/>
        <w:ind w:hanging="0"/>
        <w:rPr/>
      </w:pPr>
      <w:r>
        <w:rPr/>
      </w:r>
    </w:p>
    <w:p>
      <w:pPr>
        <w:pStyle w:val="Normal"/>
        <w:spacing w:before="0" w:after="0"/>
        <w:ind w:hanging="0"/>
        <w:rPr/>
      </w:pPr>
      <w:r>
        <w:rPr/>
        <w:tab/>
        <w:t xml:space="preserve">As </w:t>
      </w:r>
      <w:r>
        <w:rPr>
          <w:b/>
        </w:rPr>
        <w:t>limitações desta pesquisa</w:t>
      </w:r>
      <w:r>
        <w:rPr/>
        <w:t xml:space="preserve"> residem no caráter experimental do protótipo, que não prevê, nesta etapa, a integração em tempo real com os sistemas legados da ANVISA ou a utilização de módulos HSM em hardware físico, restringindo-se à simulação de segurança via software. A pesquisa será encerrada após a conclusão dos testes de integridade, onde será verificada a eficácia do sistema em barrar medicamentos com assinaturas inválidas ou códigos clonados.</w:t>
      </w:r>
      <w:bookmarkStart w:id="42" w:name="_Toc143792401"/>
      <w:bookmarkStart w:id="43" w:name="_Toc8390234"/>
      <w:bookmarkStart w:id="44" w:name="_Toc8390213"/>
      <w:r>
        <w:br w:type="page"/>
      </w:r>
    </w:p>
    <w:p>
      <w:pPr>
        <w:pStyle w:val="Heading1"/>
        <w:spacing w:before="0" w:after="240"/>
        <w:rPr/>
      </w:pPr>
      <w:r>
        <w:rPr/>
        <w:t>4 RECURSOS</w:t>
      </w:r>
      <w:bookmarkEnd w:id="42"/>
      <w:bookmarkEnd w:id="43"/>
      <w:bookmarkEnd w:id="44"/>
    </w:p>
    <w:p>
      <w:pPr>
        <w:pStyle w:val="ListParagraph"/>
        <w:ind w:firstLine="709" w:start="0"/>
        <w:rPr/>
      </w:pPr>
      <w:r>
        <w:rPr/>
        <w:t xml:space="preserve">Neste tópico devem ser listados os recursos necessários para o desenvolvimento do projeto, tornando possível a avaliação da viabilidade da pesquisa e suas condições de êxito. Os recursos podem ser divididos em humanos, materiais – consumo, permanentes e físicos –, além dos financeiros, devendo-se explicitar as fontes e destinações, com uma estimativa do custo total do projeto. </w:t>
      </w:r>
    </w:p>
    <w:p>
      <w:pPr>
        <w:pStyle w:val="ListParagraph"/>
        <w:ind w:firstLine="709" w:start="0"/>
        <w:rPr/>
      </w:pPr>
      <w:r>
        <w:rPr/>
        <w:t>Eventualmente, alguns recursos já podem estar disponíveis, o que não impede que sejam listados, pois são necessários ao desenvolvimento do projeto. Os recursos já disponíveis devem ser descontados nos recursos financeiros, após a sua somatória.</w:t>
      </w:r>
    </w:p>
    <w:p>
      <w:pPr>
        <w:pStyle w:val="Normal"/>
        <w:ind w:firstLine="708"/>
        <w:rPr/>
      </w:pPr>
      <w:r>
        <w:rPr/>
        <w:t xml:space="preserve">Na elaboração do texto deve ser utilizado: fonte Arial, tamanho 12, recuo de 1,25 cm para iniciar cada parágrafo, espaço 1,5 cm entre as linhas e texto justificado. Podem ser utilizadas citações indiretas e citações diretas curtas e longas. </w:t>
      </w:r>
    </w:p>
    <w:p>
      <w:pPr>
        <w:pStyle w:val="Normal"/>
        <w:ind w:firstLine="708"/>
        <w:rPr/>
      </w:pPr>
      <w:r>
        <w:rPr/>
        <w:t xml:space="preserve">Citações, notas de rodapé, tabelas, gráficos, figuras, desenhos, fluxograma, fotografia, mapa, organograma, quadro, entre outros, devem seguir o padrão indicado no documento de normalização da Uniarp. </w:t>
      </w:r>
      <w:bookmarkStart w:id="45" w:name="_Toc143792402"/>
      <w:bookmarkStart w:id="46" w:name="_Toc8390214"/>
      <w:bookmarkStart w:id="47" w:name="_Toc8390235"/>
      <w:r>
        <w:br w:type="page"/>
      </w:r>
    </w:p>
    <w:p>
      <w:pPr>
        <w:pStyle w:val="Heading1"/>
        <w:spacing w:before="0" w:after="240"/>
        <w:rPr/>
      </w:pPr>
      <w:r>
        <w:rPr/>
        <w:t>5 CRONOGRAMA</w:t>
      </w:r>
      <w:bookmarkEnd w:id="45"/>
      <w:bookmarkEnd w:id="46"/>
      <w:bookmarkEnd w:id="47"/>
    </w:p>
    <w:p>
      <w:pPr>
        <w:pStyle w:val="ListParagraph"/>
        <w:ind w:firstLine="709" w:start="0"/>
        <w:rPr>
          <w:rFonts w:eastAsia="Calibri"/>
        </w:rPr>
      </w:pPr>
      <w:r>
        <w:rPr>
          <w:rFonts w:eastAsia="Calibri"/>
        </w:rPr>
        <w:t xml:space="preserve">Distribuição das partes da elaboração do estudo no tempo, tendo como base o prazo final de entrega: coleta de dados, tabulação e análise de dados, elaboração do relatório final. O cronograma é a distribuição das atividades relacionadas com o projeto no tempo previsto para a execução do trabalho. Dependendo do projeto, esta distribuição poderá ser feita em dias, semanas ou meses. Na sequência disponibiliza-se um exemplo deste tópico (Quadro 1). </w:t>
      </w:r>
    </w:p>
    <w:p>
      <w:pPr>
        <w:pStyle w:val="Normal"/>
        <w:ind w:firstLine="708"/>
        <w:rPr/>
      </w:pPr>
      <w:r>
        <w:rPr/>
        <w:t xml:space="preserve">Na elaboração do texto deve ser utilizado: fonte Arial, tamanho 12, recuo de 1,25 cm para iniciar cada parágrafo, espaço 1,5 cm entre as linhas e texto justificado. Podem ser utilizadas citações indiretas e citações diretas curtas e longas. </w:t>
      </w:r>
    </w:p>
    <w:p>
      <w:pPr>
        <w:pStyle w:val="ListParagraph"/>
        <w:ind w:firstLine="709" w:start="0"/>
        <w:rPr/>
      </w:pPr>
      <w:r>
        <w:rPr/>
        <w:t>Podem ser incluídos outros itens como: criação de instrumentos, validação, entre outros.</w:t>
      </w:r>
    </w:p>
    <w:p>
      <w:pPr>
        <w:pStyle w:val="Normal"/>
        <w:spacing w:before="240" w:after="0"/>
        <w:ind w:hanging="0"/>
        <w:rPr>
          <w:sz w:val="20"/>
          <w:szCs w:val="20"/>
        </w:rPr>
      </w:pPr>
      <w:r>
        <w:rPr>
          <w:b/>
          <w:sz w:val="20"/>
          <w:szCs w:val="20"/>
        </w:rPr>
        <w:t>Quadro 1</w:t>
      </w:r>
      <w:r>
        <w:rPr>
          <w:sz w:val="20"/>
          <w:szCs w:val="20"/>
        </w:rPr>
        <w:t xml:space="preserve"> – Cronograma da pesquisa.</w:t>
      </w:r>
    </w:p>
    <w:tbl>
      <w:tblPr>
        <w:tblW w:w="92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178"/>
        <w:gridCol w:w="595"/>
        <w:gridCol w:w="591"/>
        <w:gridCol w:w="605"/>
        <w:gridCol w:w="574"/>
        <w:gridCol w:w="594"/>
        <w:gridCol w:w="595"/>
        <w:gridCol w:w="528"/>
        <w:gridCol w:w="626"/>
        <w:gridCol w:w="574"/>
        <w:gridCol w:w="594"/>
        <w:gridCol w:w="611"/>
        <w:gridCol w:w="629"/>
      </w:tblGrid>
      <w:tr>
        <w:trPr>
          <w:trHeight w:val="510" w:hRule="atLeast"/>
        </w:trPr>
        <w:tc>
          <w:tcPr>
            <w:tcW w:w="9294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Ano</w:t>
            </w:r>
          </w:p>
        </w:tc>
      </w:tr>
      <w:tr>
        <w:trPr>
          <w:trHeight w:val="510" w:hRule="atLeast"/>
        </w:trPr>
        <w:tc>
          <w:tcPr>
            <w:tcW w:w="2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star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Atividades</w:t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Jan.</w:t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Fev.</w:t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Mar.</w:t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Abr.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Mai.</w:t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Jun.</w:t>
            </w:r>
          </w:p>
        </w:tc>
        <w:tc>
          <w:tcPr>
            <w:tcW w:w="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Jul.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Ago.</w:t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Set. 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Out.</w:t>
            </w:r>
          </w:p>
        </w:tc>
        <w:tc>
          <w:tcPr>
            <w:tcW w:w="6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Nov.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Dez.</w:t>
            </w:r>
          </w:p>
        </w:tc>
      </w:tr>
      <w:tr>
        <w:trPr>
          <w:trHeight w:val="510" w:hRule="atLeast"/>
        </w:trPr>
        <w:tc>
          <w:tcPr>
            <w:tcW w:w="2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Pesquisa bibliográfica</w:t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510" w:hRule="atLeast"/>
        </w:trPr>
        <w:tc>
          <w:tcPr>
            <w:tcW w:w="2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Submissão ao Comitê de Ética</w:t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510" w:hRule="atLeast"/>
        </w:trPr>
        <w:tc>
          <w:tcPr>
            <w:tcW w:w="2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Defesa do Projeto</w:t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510" w:hRule="atLeast"/>
        </w:trPr>
        <w:tc>
          <w:tcPr>
            <w:tcW w:w="2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Coleta de Dados</w:t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510" w:hRule="atLeast"/>
        </w:trPr>
        <w:tc>
          <w:tcPr>
            <w:tcW w:w="2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Análise dos Dados</w:t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510" w:hRule="atLeast"/>
        </w:trPr>
        <w:tc>
          <w:tcPr>
            <w:tcW w:w="2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Elaboração do Relatório</w:t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510" w:hRule="atLeast"/>
        </w:trPr>
        <w:tc>
          <w:tcPr>
            <w:tcW w:w="2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Revisão Final</w:t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510" w:hRule="atLeast"/>
        </w:trPr>
        <w:tc>
          <w:tcPr>
            <w:tcW w:w="2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Apresentação</w:t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510" w:hRule="atLeast"/>
        </w:trPr>
        <w:tc>
          <w:tcPr>
            <w:tcW w:w="2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Entrega da versão definitiva</w:t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  <w:vAlign w:val="center"/>
          </w:tcPr>
          <w:p>
            <w:pPr>
              <w:pStyle w:val="Normal"/>
              <w:tabs>
                <w:tab w:val="clear" w:pos="708"/>
                <w:tab w:val="left" w:pos="8370" w:leader="none"/>
              </w:tabs>
              <w:spacing w:lineRule="auto" w:line="240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Textbody"/>
        <w:spacing w:before="0" w:after="24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Fonte: </w:t>
      </w:r>
      <w:r>
        <w:rPr>
          <w:sz w:val="20"/>
          <w:szCs w:val="20"/>
        </w:rPr>
        <w:t>O autor (2023).</w:t>
      </w:r>
      <w:bookmarkStart w:id="48" w:name="_Toc8390236"/>
      <w:bookmarkStart w:id="49" w:name="_Toc8390215"/>
      <w:r>
        <w:br w:type="page"/>
      </w:r>
    </w:p>
    <w:p>
      <w:pPr>
        <w:pStyle w:val="Title"/>
        <w:numPr>
          <w:ilvl w:val="0"/>
          <w:numId w:val="0"/>
        </w:numPr>
        <w:spacing w:before="0" w:after="240"/>
        <w:outlineLvl w:val="0"/>
        <w:rPr/>
      </w:pPr>
      <w:bookmarkStart w:id="50" w:name="_Toc143792403"/>
      <w:r>
        <w:rPr/>
        <w:t>REFERÊNCIAS</w:t>
      </w:r>
      <w:bookmarkEnd w:id="48"/>
      <w:bookmarkEnd w:id="49"/>
      <w:bookmarkEnd w:id="50"/>
    </w:p>
    <w:p>
      <w:pPr>
        <w:pStyle w:val="Normal"/>
        <w:spacing w:lineRule="auto" w:line="240" w:before="0" w:after="240"/>
        <w:ind w:hanging="0"/>
        <w:jc w:val="start"/>
        <w:rPr/>
      </w:pPr>
      <w:r>
        <w:rPr>
          <w:rFonts w:cs="Arial"/>
        </w:rPr>
        <w:t xml:space="preserve">AMES, Joseane; SOUZA, Daniele Zago. </w:t>
      </w:r>
      <w:r>
        <w:rPr>
          <w:rFonts w:cs="Arial"/>
          <w:b/>
        </w:rPr>
        <w:t>Falsificação de medicamentos no Brasil</w:t>
      </w:r>
      <w:r>
        <w:rPr>
          <w:rFonts w:cs="Arial"/>
        </w:rPr>
        <w:t>. Revista de Saúde Pública, São Paulo, v. 46, n. 1, p. 154-159, fev. 2012. Disponível em: www.scielo.br/rsp. Acesso em: 18 jun. 2026</w:t>
      </w:r>
      <w:r>
        <w:rPr/>
        <w:t>.</w:t>
      </w:r>
    </w:p>
    <w:p>
      <w:pPr>
        <w:pStyle w:val="Normal"/>
        <w:ind w:hanging="0" w:start="0" w:end="0"/>
        <w:rPr/>
      </w:pPr>
      <w:r>
        <w:rPr/>
        <w:t xml:space="preserve">CABRERA-GUTIÉRREZ, Antonio J. et al. </w:t>
      </w:r>
      <w:r>
        <w:rPr>
          <w:b/>
        </w:rPr>
        <w:t>Integration of Hardware Security Modules and Permissioned Blockchain in Industrial IoT Networks</w:t>
      </w:r>
      <w:r>
        <w:rPr/>
        <w:t xml:space="preserve">. IEEE Access, [S. l.], v. 10, p. 115347-115369, out. 2022. </w:t>
      </w:r>
      <w:r>
        <w:rPr/>
        <w:t xml:space="preserve">Disponível em: </w:t>
      </w:r>
      <w:hyperlink r:id="rId12">
        <w:r>
          <w:rPr>
            <w:rStyle w:val="Hyperlink"/>
          </w:rPr>
          <w:t>https://digibug.ugr.es/bitstream/handle/10481/78301/Integration_of_Hardware.pdf;jsessionid=3B29C3C84EE7B9F4D3DAE5AA4E706156?sequence=1</w:t>
        </w:r>
      </w:hyperlink>
      <w:r>
        <w:rPr/>
        <w:t>. Acesso em: 21 jun. 2026</w:t>
      </w:r>
      <w:r>
        <w:rPr/>
        <w:t>.</w:t>
      </w:r>
    </w:p>
    <w:p>
      <w:pPr>
        <w:pStyle w:val="Normal"/>
        <w:ind w:hanging="0" w:start="0" w:end="0"/>
        <w:rPr/>
      </w:pPr>
      <w:r>
        <w:rPr/>
        <w:t xml:space="preserve">CARMO, Fernando J.; LEMES, Pedro A.; FREITAS, Tiago H. </w:t>
      </w:r>
      <w:r>
        <w:rPr>
          <w:b/>
        </w:rPr>
        <w:t>Criptografia e PGP</w:t>
      </w:r>
      <w:r>
        <w:rPr/>
        <w:t xml:space="preserve">. Guaratinguetá: Faculdade de Tecnologia de Guaratinguetá, 2012. </w:t>
      </w:r>
      <w:r>
        <w:rPr/>
        <w:t xml:space="preserve">Disponível em: </w:t>
      </w:r>
      <w:hyperlink r:id="rId13">
        <w:r>
          <w:rPr>
            <w:rStyle w:val="Hyperlink"/>
          </w:rPr>
          <w:t>https://we.riseup.net/assets/317791/Criptografia+e+PGP.pdf</w:t>
        </w:r>
      </w:hyperlink>
      <w:r>
        <w:rPr/>
        <w:t>. Acesso em: 21 jun. 2026</w:t>
      </w:r>
      <w:r>
        <w:rPr/>
        <w:t>.</w:t>
      </w:r>
    </w:p>
    <w:p>
      <w:pPr>
        <w:pStyle w:val="Normal"/>
        <w:ind w:hanging="0" w:start="0" w:end="0"/>
        <w:rPr/>
      </w:pPr>
      <w:r>
        <w:rPr/>
        <w:t xml:space="preserve">COSTA, Celso; FIGUEIREDO, Luiz Manoel. </w:t>
      </w:r>
      <w:r>
        <w:rPr>
          <w:b/>
        </w:rPr>
        <w:t>Introdução à Criptografia</w:t>
      </w:r>
      <w:r>
        <w:rPr/>
        <w:t>: volume 1 - módulo 1. Rio de Janeiro: UFF / CEP – EB, 2010. Disponível em: https://canal.cecierj.edu.br/012016/a99b588e1edecbb6543d63cf51e20158.pdf. Acesso em: 21 jun. 2026.</w:t>
      </w:r>
    </w:p>
    <w:p>
      <w:pPr>
        <w:pStyle w:val="Normal"/>
        <w:ind w:hanging="0" w:start="0" w:end="0"/>
        <w:rPr/>
      </w:pPr>
      <w:r>
        <w:rPr/>
        <w:t xml:space="preserve">HURTADO, Renato Lopes; LASMAR, Marcelo Carvalho. </w:t>
      </w:r>
      <w:r>
        <w:rPr>
          <w:b/>
        </w:rPr>
        <w:t>Medicamentos falsificados e contrabandeados no Brasil</w:t>
      </w:r>
      <w:r>
        <w:rPr/>
        <w:t>: panorama geral e perspectivas de combate ao seu consumo. Cadernos de Saúde Pública, Rio de Janeiro, v. 30, n. 4, p. 891-895, abr. 2014.</w:t>
      </w:r>
    </w:p>
    <w:p>
      <w:pPr>
        <w:pStyle w:val="Normal"/>
        <w:ind w:hanging="0" w:start="0" w:end="0"/>
        <w:rPr/>
      </w:pPr>
      <w:r>
        <w:rPr/>
        <w:t xml:space="preserve">IBM. </w:t>
      </w:r>
      <w:r>
        <w:rPr>
          <w:b/>
        </w:rPr>
        <w:t>Using Open PGP to encrypt or decrypt files based on keys</w:t>
      </w:r>
      <w:r>
        <w:rPr/>
        <w:t>. [S. l.], 2024. Disponível em: https://www.ibm.com/docs/en/ztpf/2024?topic=files-using-open-pgp-encrypt-decrypt-based-keys. Acesso em: 21 jun. 2026.</w:t>
      </w:r>
    </w:p>
    <w:p>
      <w:pPr>
        <w:pStyle w:val="Normal"/>
        <w:ind w:hanging="0" w:start="0" w:end="0"/>
        <w:rPr/>
      </w:pPr>
      <w:r>
        <w:rPr/>
        <w:t xml:space="preserve">LOMBARDO, Márcia. </w:t>
      </w:r>
      <w:r>
        <w:rPr>
          <w:b/>
        </w:rPr>
        <w:t>Cenário da falsificação de medicamentos no Brasil entre os anos de 2015 e 2022</w:t>
      </w:r>
      <w:r>
        <w:rPr/>
        <w:t>. Revista Científica da Escola Estadual de Saúde Pública de Goiás "Cândido Santiago", Goiânia, v. 9, n. 9f3, p. 1-24, 2023.</w:t>
      </w:r>
    </w:p>
    <w:p>
      <w:pPr>
        <w:pStyle w:val="Normal"/>
        <w:ind w:hanging="0" w:start="0" w:end="0"/>
        <w:rPr/>
      </w:pPr>
      <w:r>
        <w:rPr/>
        <w:t xml:space="preserve">NASCIMENTO, José Vitor Santos do; MARQUEZ, Carolinne Oliveira. </w:t>
      </w:r>
      <w:r>
        <w:rPr>
          <w:b/>
        </w:rPr>
        <w:t>Falsificação de medicamentos no Brasil</w:t>
      </w:r>
      <w:r>
        <w:rPr/>
        <w:t>: Uma revisão. Research, Society and Development, [S. l.], v. 14, n. 12, e183141250424, dez. 2025. DOI: http://dx.doi.org/10.33448/rsd-v14i12.50424.</w:t>
      </w:r>
    </w:p>
    <w:p>
      <w:pPr>
        <w:pStyle w:val="Normal"/>
        <w:ind w:hanging="0" w:start="0" w:end="0"/>
        <w:rPr/>
      </w:pPr>
      <w:r>
        <w:rPr/>
      </w:r>
    </w:p>
    <w:p>
      <w:pPr>
        <w:pStyle w:val="Normal"/>
        <w:ind w:hanging="0" w:start="0" w:end="0"/>
        <w:rPr/>
      </w:pPr>
      <w:r>
        <w:rPr/>
        <w:t xml:space="preserve">WORLD HEALTH ORGANIZATION (WHO). </w:t>
      </w:r>
      <w:r>
        <w:rPr>
          <w:b/>
        </w:rPr>
        <w:t>Substandard and falsified medical products</w:t>
      </w:r>
      <w:r>
        <w:rPr/>
        <w:t>. Geneva: WHO, 3 dez. 2024. Disponível em: https://www.who.int/news-room/fact-sheets/detail/substandard-and-falsified-medical-products. Acesso em: 18 jun. 2026.</w:t>
      </w:r>
    </w:p>
    <w:p>
      <w:pPr>
        <w:pStyle w:val="Normal"/>
        <w:ind w:hanging="0" w:start="0" w:end="0"/>
        <w:rPr/>
      </w:pPr>
      <w:r>
        <w:rPr/>
        <w:t xml:space="preserve">ZIMMERMANN, Philip R. </w:t>
      </w:r>
      <w:r>
        <w:rPr>
          <w:b/>
        </w:rPr>
        <w:t>PGP</w:t>
      </w:r>
      <w:r>
        <w:rPr/>
        <w:t>: Source Code and Internals. Cambridge, Mass.: MIT Press, 1995.</w:t>
      </w:r>
      <w:r>
        <w:br w:type="page"/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Title"/>
        <w:numPr>
          <w:ilvl w:val="0"/>
          <w:numId w:val="0"/>
        </w:numPr>
        <w:spacing w:lineRule="auto" w:line="240" w:before="0" w:after="0"/>
        <w:outlineLvl w:val="0"/>
        <w:rPr>
          <w:lang w:eastAsia="pt-BR"/>
        </w:rPr>
      </w:pPr>
      <w:bookmarkStart w:id="51" w:name="_Toc46937067"/>
      <w:bookmarkStart w:id="52" w:name="_Toc143792404"/>
      <w:r>
        <w:rPr>
          <w:lang w:eastAsia="pt-BR"/>
        </w:rPr>
        <w:t>APÊNDICES</w:t>
      </w:r>
      <w:bookmarkEnd w:id="51"/>
      <w:bookmarkEnd w:id="52"/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  <w:r>
        <w:br w:type="page"/>
      </w:r>
    </w:p>
    <w:p>
      <w:pPr>
        <w:pStyle w:val="Title"/>
        <w:spacing w:before="0" w:after="240"/>
        <w:rPr>
          <w:lang w:eastAsia="pt-BR"/>
        </w:rPr>
      </w:pPr>
      <w:bookmarkStart w:id="53" w:name="_Toc46937068"/>
      <w:r>
        <w:rPr>
          <w:lang w:eastAsia="pt-BR"/>
        </w:rPr>
        <w:t>APÊNDICE A – TÍTULO</w:t>
      </w:r>
      <w:bookmarkEnd w:id="53"/>
    </w:p>
    <w:p>
      <w:pPr>
        <w:pStyle w:val="Normal"/>
        <w:tabs>
          <w:tab w:val="clear" w:pos="708"/>
          <w:tab w:val="left" w:pos="8370" w:leader="none"/>
        </w:tabs>
        <w:rPr>
          <w:rFonts w:eastAsia="Calibri"/>
          <w:bCs/>
          <w:lang w:eastAsia="pt-BR"/>
        </w:rPr>
      </w:pPr>
      <w:r>
        <w:rPr>
          <w:rFonts w:eastAsia="Calibri"/>
          <w:bCs/>
          <w:lang w:eastAsia="pt-BR"/>
        </w:rPr>
        <w:t>Em apêndice usa-se para documentos primários – fluxograma, layout, tabelas, ilustrações, reportagens não incluídas no corpo da dissertação - que foram criados pelo pesquisador ao longo do desenvolvimento do estudo.</w:t>
      </w:r>
      <w:r>
        <w:rPr/>
        <w:t xml:space="preserve"> </w:t>
      </w:r>
      <w:r>
        <w:rPr>
          <w:rFonts w:eastAsia="Calibri"/>
          <w:bCs/>
          <w:lang w:eastAsia="pt-BR"/>
        </w:rPr>
        <w:t>Os apêndices precisam ser identificados por uma letra do alfabeto em caixa alta e logo depois dela, separado por um hífen, deve vir o nome do documento.</w:t>
      </w:r>
      <w:r>
        <w:br w:type="page"/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8370" w:leader="none"/>
        </w:tabs>
        <w:spacing w:lineRule="auto" w:line="240" w:before="0" w:after="0"/>
        <w:ind w:hanging="0"/>
        <w:contextualSpacing/>
        <w:jc w:val="center"/>
        <w:outlineLvl w:val="0"/>
        <w:rPr>
          <w:rFonts w:eastAsia="Calibri"/>
          <w:b/>
          <w:bCs/>
          <w:lang w:eastAsia="pt-BR"/>
        </w:rPr>
      </w:pPr>
      <w:bookmarkStart w:id="54" w:name="_Toc46937069"/>
      <w:bookmarkStart w:id="55" w:name="_Toc143792405"/>
      <w:r>
        <w:rPr>
          <w:rFonts w:eastAsia="Calibri"/>
          <w:b/>
          <w:bCs/>
          <w:lang w:eastAsia="pt-BR"/>
        </w:rPr>
        <w:t>ANEXOS</w:t>
      </w:r>
      <w:bookmarkEnd w:id="54"/>
      <w:bookmarkEnd w:id="55"/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lineRule="auto" w:line="240"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</w:p>
    <w:p>
      <w:pPr>
        <w:pStyle w:val="Normal"/>
        <w:tabs>
          <w:tab w:val="clear" w:pos="708"/>
          <w:tab w:val="left" w:pos="8370" w:leader="none"/>
        </w:tabs>
        <w:spacing w:before="0" w:after="0"/>
        <w:contextualSpacing/>
        <w:jc w:val="center"/>
        <w:rPr>
          <w:rFonts w:eastAsia="Calibri"/>
          <w:b/>
          <w:bCs/>
          <w:lang w:eastAsia="pt-BR"/>
        </w:rPr>
      </w:pPr>
      <w:r>
        <w:rPr>
          <w:rFonts w:eastAsia="Calibri"/>
          <w:b/>
          <w:bCs/>
          <w:lang w:eastAsia="pt-BR"/>
        </w:rPr>
      </w:r>
      <w:r>
        <w:br w:type="page"/>
      </w:r>
    </w:p>
    <w:p>
      <w:pPr>
        <w:pStyle w:val="Title"/>
        <w:spacing w:before="0" w:after="240"/>
        <w:rPr>
          <w:lang w:eastAsia="pt-BR"/>
        </w:rPr>
      </w:pPr>
      <w:bookmarkStart w:id="56" w:name="_Toc46937070"/>
      <w:r>
        <w:rPr>
          <w:lang w:eastAsia="pt-BR"/>
        </w:rPr>
        <w:t>ANEXO A – TÍTULO</w:t>
      </w:r>
      <w:bookmarkEnd w:id="56"/>
    </w:p>
    <w:p>
      <w:pPr>
        <w:pStyle w:val="Normal"/>
        <w:rPr/>
      </w:pPr>
      <w:r>
        <w:rPr/>
        <w:t xml:space="preserve">Considera-se anexo documentos secundários – fluxograma, layout, tabelas, ilustrações, reportagens não incluídas no desenvolvimento da dissertação - produzidos por fontes terceiras.  Os anexos precisam ser identificados por uma letra do alfabeto em caixa alta e logo depois dela, separado por um hífen, deve vir o nome do documento. O título deve ter a mesma fonte que o resto do texto, centralizado e em negrito. </w:t>
      </w:r>
    </w:p>
    <w:sectPr>
      <w:headerReference w:type="default" r:id="rId14"/>
      <w:headerReference w:type="first" r:id="rId15"/>
      <w:footerReference w:type="default" r:id="rId16"/>
      <w:footerReference w:type="first" r:id="rId17"/>
      <w:type w:val="nextPage"/>
      <w:pgSz w:w="11906" w:h="16838"/>
      <w:pgMar w:left="1701" w:right="1134" w:gutter="0" w:header="851" w:top="1701" w:footer="709" w:bottom="1134"/>
      <w:lnNumType w:countBy="1" w:restart="newPage" w:distance="283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end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390" w:hanging="390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390" w:hanging="39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800" w:hanging="180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800" w:hanging="180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Arial" w:hAnsi="Arial" w:eastAsia="SimSun" w:cs="Arial"/>
      <w:color w:val="auto"/>
      <w:kern w:val="2"/>
      <w:sz w:val="24"/>
      <w:szCs w:val="24"/>
      <w:lang w:val="pt-BR" w:eastAsia="en-US" w:bidi="ar-SA"/>
    </w:rPr>
  </w:style>
  <w:style w:type="paragraph" w:styleId="Heading1">
    <w:name w:val="Heading 1"/>
    <w:basedOn w:val="Standard"/>
    <w:next w:val="Textbody"/>
    <w:link w:val="Ttulo1Char"/>
    <w:uiPriority w:val="9"/>
    <w:qFormat/>
    <w:pPr>
      <w:keepNext w:val="true"/>
      <w:keepLines/>
      <w:spacing w:before="240" w:after="240"/>
      <w:textAlignment w:val="baseline"/>
      <w:outlineLvl w:val="0"/>
    </w:pPr>
    <w:rPr>
      <w:b/>
      <w:caps/>
      <w:szCs w:val="28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pPr>
      <w:keepNext w:val="true"/>
      <w:keepLines/>
      <w:spacing w:before="240" w:after="240"/>
      <w:ind w:hanging="0"/>
      <w:jc w:val="start"/>
      <w:outlineLvl w:val="1"/>
    </w:pPr>
    <w:rPr>
      <w:rFonts w:eastAsia="Calibri" w:cs="DejaVu Sans"/>
      <w:caps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pPr>
      <w:keepNext w:val="true"/>
      <w:keepLines/>
      <w:spacing w:before="240" w:after="240"/>
      <w:ind w:hanging="0"/>
      <w:outlineLvl w:val="2"/>
    </w:pPr>
    <w:rPr>
      <w:rFonts w:eastAsia="Calibri" w:cs="DejaVu Sans"/>
      <w:b/>
    </w:rPr>
  </w:style>
  <w:style w:type="paragraph" w:styleId="Heading4">
    <w:name w:val="Heading 4"/>
    <w:basedOn w:val="Normal"/>
    <w:next w:val="Normal"/>
    <w:link w:val="Ttulo4Char"/>
    <w:uiPriority w:val="9"/>
    <w:unhideWhenUsed/>
    <w:qFormat/>
    <w:pPr>
      <w:keepNext w:val="true"/>
      <w:keepLines/>
      <w:spacing w:before="240" w:after="240"/>
      <w:ind w:hanging="0"/>
      <w:jc w:val="start"/>
      <w:outlineLvl w:val="3"/>
    </w:pPr>
    <w:rPr>
      <w:rFonts w:eastAsia="Calibri" w:cs="DejaVu Sans"/>
      <w:iCs/>
    </w:rPr>
  </w:style>
  <w:style w:type="paragraph" w:styleId="Heading5">
    <w:name w:val="Heading 5"/>
    <w:basedOn w:val="Normal"/>
    <w:next w:val="Normal"/>
    <w:link w:val="Ttulo5Char"/>
    <w:uiPriority w:val="9"/>
    <w:unhideWhenUsed/>
    <w:qFormat/>
    <w:pPr>
      <w:keepNext w:val="true"/>
      <w:keepLines/>
      <w:spacing w:before="240" w:after="240"/>
      <w:ind w:hanging="0"/>
      <w:outlineLvl w:val="4"/>
    </w:pPr>
    <w:rPr>
      <w:rFonts w:eastAsia="Calibri" w:cs="DejaVu Sans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abealhoChar" w:customStyle="1">
    <w:name w:val="Cabeçalho Char"/>
    <w:basedOn w:val="DefaultParagraphFont"/>
    <w:qFormat/>
    <w:rPr>
      <w:rFonts w:ascii="Arial" w:hAnsi="Arial" w:eastAsia="SimSun" w:cs="Arial"/>
      <w:kern w:val="2"/>
      <w:sz w:val="24"/>
      <w:szCs w:val="24"/>
    </w:rPr>
  </w:style>
  <w:style w:type="character" w:styleId="TtuloChar" w:customStyle="1">
    <w:name w:val="Título Char"/>
    <w:basedOn w:val="DefaultParagraphFont"/>
    <w:qFormat/>
    <w:rPr>
      <w:rFonts w:ascii="Arial" w:hAnsi="Arial" w:eastAsia="Microsoft YaHei" w:cs="Mangal"/>
      <w:b/>
      <w:caps/>
      <w:kern w:val="2"/>
      <w:sz w:val="24"/>
      <w:szCs w:val="28"/>
    </w:rPr>
  </w:style>
  <w:style w:type="character" w:styleId="Ttulo1Char" w:customStyle="1">
    <w:name w:val="Título 1 Char"/>
    <w:basedOn w:val="DefaultParagraphFont"/>
    <w:qFormat/>
    <w:rPr>
      <w:rFonts w:ascii="Arial" w:hAnsi="Arial" w:eastAsia="SimSun" w:cs="Arial"/>
      <w:b/>
      <w:caps/>
      <w:kern w:val="2"/>
      <w:sz w:val="24"/>
      <w:szCs w:val="28"/>
    </w:rPr>
  </w:style>
  <w:style w:type="character" w:styleId="RodapChar" w:customStyle="1">
    <w:name w:val="Rodapé Char"/>
    <w:basedOn w:val="DefaultParagraphFont"/>
    <w:qFormat/>
    <w:rPr>
      <w:rFonts w:ascii="Arial" w:hAnsi="Arial" w:eastAsia="SimSun" w:cs="Arial"/>
      <w:kern w:val="2"/>
      <w:sz w:val="24"/>
      <w:szCs w:val="24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Ttulo2Char" w:customStyle="1">
    <w:name w:val="Título 2 Char"/>
    <w:basedOn w:val="DefaultParagraphFont"/>
    <w:qFormat/>
    <w:rPr>
      <w:rFonts w:ascii="Arial" w:hAnsi="Arial" w:eastAsia="Calibri" w:cs="DejaVu Sans"/>
      <w:caps/>
      <w:kern w:val="2"/>
      <w:sz w:val="24"/>
      <w:szCs w:val="26"/>
    </w:rPr>
  </w:style>
  <w:style w:type="character" w:styleId="Ttulo3Char" w:customStyle="1">
    <w:name w:val="Título 3 Char"/>
    <w:basedOn w:val="DefaultParagraphFont"/>
    <w:qFormat/>
    <w:rPr>
      <w:rFonts w:ascii="Arial" w:hAnsi="Arial" w:eastAsia="Calibri" w:cs="DejaVu Sans"/>
      <w:b/>
      <w:kern w:val="2"/>
      <w:sz w:val="24"/>
      <w:szCs w:val="24"/>
    </w:rPr>
  </w:style>
  <w:style w:type="character" w:styleId="Ttulo4Char" w:customStyle="1">
    <w:name w:val="Título 4 Char"/>
    <w:basedOn w:val="DefaultParagraphFont"/>
    <w:qFormat/>
    <w:rPr>
      <w:rFonts w:ascii="Arial" w:hAnsi="Arial" w:eastAsia="Calibri" w:cs="DejaVu Sans"/>
      <w:iCs/>
      <w:kern w:val="2"/>
      <w:sz w:val="24"/>
      <w:szCs w:val="24"/>
    </w:rPr>
  </w:style>
  <w:style w:type="character" w:styleId="LineNumber">
    <w:name w:val="Line Number"/>
    <w:basedOn w:val="DefaultParagraphFont"/>
    <w:rPr/>
  </w:style>
  <w:style w:type="character" w:styleId="TextodebaloChar" w:customStyle="1">
    <w:name w:val="Texto de balão Char"/>
    <w:basedOn w:val="DefaultParagraphFont"/>
    <w:link w:val="BalloonText"/>
    <w:qFormat/>
    <w:rPr>
      <w:rFonts w:ascii="Tahoma" w:hAnsi="Tahoma" w:eastAsia="SimSun" w:cs="Tahoma"/>
      <w:kern w:val="2"/>
      <w:sz w:val="16"/>
      <w:szCs w:val="16"/>
    </w:rPr>
  </w:style>
  <w:style w:type="character" w:styleId="Ttulo5Char" w:customStyle="1">
    <w:name w:val="Título 5 Char"/>
    <w:basedOn w:val="DefaultParagraphFont"/>
    <w:qFormat/>
    <w:rPr>
      <w:rFonts w:ascii="Arial" w:hAnsi="Arial" w:eastAsia="Calibri" w:cs="DejaVu Sans"/>
      <w:kern w:val="2"/>
      <w:sz w:val="24"/>
      <w:szCs w:val="24"/>
    </w:rPr>
  </w:style>
  <w:style w:type="character" w:styleId="Vnculodendice" w:customStyle="1">
    <w:name w:val="Vínculo de índice"/>
    <w:qFormat/>
    <w:rPr/>
  </w:style>
  <w:style w:type="character" w:styleId="Marcadores" w:customStyle="1">
    <w:name w:val="Marcadore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Standard"/>
    <w:next w:val="BodyText"/>
    <w:link w:val="TtuloChar"/>
    <w:uiPriority w:val="10"/>
    <w:qFormat/>
    <w:pPr>
      <w:keepNext w:val="true"/>
      <w:spacing w:before="240" w:after="240"/>
      <w:jc w:val="center"/>
      <w:textAlignment w:val="baseline"/>
    </w:pPr>
    <w:rPr>
      <w:rFonts w:eastAsia="Microsoft YaHei" w:cs="Mangal"/>
      <w:b/>
      <w:caps/>
      <w:szCs w:val="28"/>
    </w:rPr>
  </w:style>
  <w:style w:type="paragraph" w:styleId="TOC1">
    <w:name w:val="TOC 1"/>
    <w:basedOn w:val="Normal"/>
    <w:next w:val="Normal"/>
    <w:autoRedefine/>
    <w:pPr>
      <w:tabs>
        <w:tab w:val="clear" w:pos="708"/>
        <w:tab w:val="right" w:pos="9061" w:leader="dot"/>
      </w:tabs>
      <w:ind w:hanging="0"/>
    </w:pPr>
    <w:rPr>
      <w:rFonts w:cs="Calibri"/>
      <w:b/>
      <w:bCs/>
      <w:caps/>
      <w:szCs w:val="20"/>
    </w:rPr>
  </w:style>
  <w:style w:type="paragraph" w:styleId="Standard" w:customStyle="1">
    <w:name w:val="Standard"/>
    <w:qFormat/>
    <w:pPr>
      <w:widowControl/>
      <w:suppressAutoHyphens w:val="true"/>
      <w:bidi w:val="0"/>
      <w:spacing w:lineRule="auto" w:line="360" w:before="0" w:after="0"/>
      <w:jc w:val="both"/>
    </w:pPr>
    <w:rPr>
      <w:rFonts w:ascii="Arial" w:hAnsi="Arial" w:eastAsia="SimSun" w:cs="Arial"/>
      <w:color w:val="auto"/>
      <w:kern w:val="2"/>
      <w:sz w:val="24"/>
      <w:szCs w:val="24"/>
      <w:lang w:val="pt-BR" w:eastAsia="en-US" w:bidi="ar-SA"/>
    </w:rPr>
  </w:style>
  <w:style w:type="paragraph" w:styleId="Cabealhoerodap" w:customStyle="1">
    <w:name w:val="Cabeçalho e rodapé"/>
    <w:basedOn w:val="Normal"/>
    <w:qFormat/>
    <w:pPr/>
    <w:rPr/>
  </w:style>
  <w:style w:type="paragraph" w:styleId="Header">
    <w:name w:val="Header"/>
    <w:basedOn w:val="Standard"/>
    <w:link w:val="CabealhoChar"/>
    <w:pPr>
      <w:suppressLineNumbers/>
      <w:tabs>
        <w:tab w:val="clear" w:pos="708"/>
        <w:tab w:val="center" w:pos="4252" w:leader="none"/>
        <w:tab w:val="right" w:pos="8504" w:leader="none"/>
      </w:tabs>
      <w:spacing w:lineRule="auto" w:line="240"/>
      <w:textAlignment w:val="baseline"/>
    </w:pPr>
    <w:rPr/>
  </w:style>
  <w:style w:type="paragraph" w:styleId="Textbody" w:customStyle="1">
    <w:name w:val="Text body"/>
    <w:basedOn w:val="Standard"/>
    <w:qFormat/>
    <w:pPr>
      <w:spacing w:before="0" w:after="120"/>
      <w:textAlignment w:val="baseline"/>
    </w:pPr>
    <w:rPr/>
  </w:style>
  <w:style w:type="paragraph" w:styleId="ListParagraph">
    <w:name w:val="List Paragraph"/>
    <w:basedOn w:val="Standard"/>
    <w:qFormat/>
    <w:pPr>
      <w:ind w:start="720"/>
      <w:textAlignment w:val="baseline"/>
    </w:pPr>
    <w:rPr/>
  </w:style>
  <w:style w:type="paragraph" w:styleId="Footer">
    <w:name w:val="Footer"/>
    <w:basedOn w:val="Normal"/>
    <w:link w:val="RodapChar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TOC2">
    <w:name w:val="TOC 2"/>
    <w:basedOn w:val="Normal"/>
    <w:next w:val="Normal"/>
    <w:autoRedefine/>
    <w:pPr>
      <w:ind w:hanging="0"/>
    </w:pPr>
    <w:rPr>
      <w:rFonts w:cs="Calibri"/>
      <w:caps/>
      <w:szCs w:val="20"/>
    </w:rPr>
  </w:style>
  <w:style w:type="paragraph" w:styleId="TOC3">
    <w:name w:val="TOC 3"/>
    <w:basedOn w:val="Normal"/>
    <w:next w:val="Normal"/>
    <w:autoRedefine/>
    <w:pPr>
      <w:tabs>
        <w:tab w:val="clear" w:pos="708"/>
        <w:tab w:val="right" w:pos="9061" w:leader="dot"/>
      </w:tabs>
      <w:ind w:hanging="0"/>
    </w:pPr>
    <w:rPr>
      <w:b/>
      <w:iCs/>
    </w:rPr>
  </w:style>
  <w:style w:type="paragraph" w:styleId="TOC4">
    <w:name w:val="TOC 4"/>
    <w:basedOn w:val="Normal"/>
    <w:next w:val="Normal"/>
    <w:autoRedefine/>
    <w:pPr>
      <w:ind w:hanging="0"/>
    </w:pPr>
    <w:rPr>
      <w:rFonts w:cs="Calibri"/>
      <w:i/>
      <w:szCs w:val="18"/>
    </w:rPr>
  </w:style>
  <w:style w:type="paragraph" w:styleId="TOC5">
    <w:name w:val="TOC 5"/>
    <w:basedOn w:val="Normal"/>
    <w:next w:val="Normal"/>
    <w:autoRedefine/>
    <w:pPr>
      <w:ind w:hanging="0"/>
    </w:pPr>
    <w:rPr>
      <w:rFonts w:cs="Calibri"/>
      <w:szCs w:val="18"/>
    </w:rPr>
  </w:style>
  <w:style w:type="paragraph" w:styleId="TOC6">
    <w:name w:val="TOC 6"/>
    <w:basedOn w:val="Normal"/>
    <w:next w:val="Normal"/>
    <w:autoRedefine/>
    <w:pPr>
      <w:ind w:start="1200"/>
      <w:jc w:val="start"/>
    </w:pPr>
    <w:rPr>
      <w:rFonts w:ascii="Calibri" w:hAnsi="Calibri" w:cs="Calibri"/>
      <w:sz w:val="18"/>
      <w:szCs w:val="18"/>
    </w:rPr>
  </w:style>
  <w:style w:type="paragraph" w:styleId="TOC7">
    <w:name w:val="TOC 7"/>
    <w:basedOn w:val="Normal"/>
    <w:next w:val="Normal"/>
    <w:autoRedefine/>
    <w:pPr>
      <w:ind w:start="1440"/>
      <w:jc w:val="start"/>
    </w:pPr>
    <w:rPr>
      <w:rFonts w:ascii="Calibri" w:hAnsi="Calibri" w:cs="Calibri"/>
      <w:sz w:val="18"/>
      <w:szCs w:val="18"/>
    </w:rPr>
  </w:style>
  <w:style w:type="paragraph" w:styleId="TOC8">
    <w:name w:val="TOC 8"/>
    <w:basedOn w:val="Normal"/>
    <w:next w:val="Normal"/>
    <w:autoRedefine/>
    <w:pPr>
      <w:ind w:start="1680"/>
      <w:jc w:val="start"/>
    </w:pPr>
    <w:rPr>
      <w:rFonts w:ascii="Calibri" w:hAnsi="Calibri" w:cs="Calibri"/>
      <w:sz w:val="18"/>
      <w:szCs w:val="18"/>
    </w:rPr>
  </w:style>
  <w:style w:type="paragraph" w:styleId="TOC9">
    <w:name w:val="TOC 9"/>
    <w:basedOn w:val="Normal"/>
    <w:next w:val="Normal"/>
    <w:autoRedefine/>
    <w:pPr>
      <w:ind w:start="1920"/>
      <w:jc w:val="start"/>
    </w:pPr>
    <w:rPr>
      <w:rFonts w:ascii="Calibri" w:hAnsi="Calibri" w:cs="Calibri"/>
      <w:sz w:val="18"/>
      <w:szCs w:val="18"/>
    </w:rPr>
  </w:style>
  <w:style w:type="paragraph" w:styleId="BalloonText">
    <w:name w:val="Balloon Text"/>
    <w:basedOn w:val="Standard"/>
    <w:link w:val="TextodebaloChar"/>
    <w:qFormat/>
    <w:pPr>
      <w:spacing w:lineRule="auto" w:line="240"/>
    </w:pPr>
    <w:rPr>
      <w:rFonts w:ascii="Tahoma" w:hAnsi="Tahoma" w:cs="Tahoma"/>
      <w:sz w:val="16"/>
      <w:szCs w:val="16"/>
    </w:rPr>
  </w:style>
  <w:style w:type="paragraph" w:styleId="PargrafoMonografia" w:customStyle="1">
    <w:name w:val="Parágrafo Monografia"/>
    <w:basedOn w:val="Normal"/>
    <w:qFormat/>
    <w:pPr>
      <w:widowControl/>
      <w:suppressAutoHyphens w:val="false"/>
      <w:textAlignment w:val="auto"/>
    </w:pPr>
    <w:rPr>
      <w:rFonts w:eastAsia="Times New Roman" w:cs="Times New Roman"/>
      <w:kern w:val="0"/>
      <w:lang w:eastAsia="pt-BR"/>
    </w:rPr>
  </w:style>
  <w:style w:type="paragraph" w:styleId="Contedodatabela" w:customStyle="1">
    <w:name w:val="Conteúdo da tabela"/>
    <w:basedOn w:val="Normal"/>
    <w:qFormat/>
    <w:pPr>
      <w:suppressLineNumbers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hyperlink" Target="https://digibug.ugr.es/bitstream/handle/10481/78301/Integration_of_Hardware.pdf;jsessionid=3B29C3C84EE7B9F4D3DAE5AA4E706156?sequence=1" TargetMode="External"/><Relationship Id="rId13" Type="http://schemas.openxmlformats.org/officeDocument/2006/relationships/hyperlink" Target="https://we.riseup.net/assets/317791/Criptografia+e+PGP.pdf" TargetMode="External"/><Relationship Id="rId14" Type="http://schemas.openxmlformats.org/officeDocument/2006/relationships/header" Target="header6.xml"/><Relationship Id="rId15" Type="http://schemas.openxmlformats.org/officeDocument/2006/relationships/header" Target="header7.xml"/><Relationship Id="rId16" Type="http://schemas.openxmlformats.org/officeDocument/2006/relationships/footer" Target="footer6.xml"/><Relationship Id="rId17" Type="http://schemas.openxmlformats.org/officeDocument/2006/relationships/footer" Target="footer7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Application>LibreOffice/24.2.7.2$Linux_X86_64 LibreOffice_project/420$Build-2</Application>
  <AppVersion>15.0000</AppVersion>
  <Pages>20</Pages>
  <Words>3274</Words>
  <Characters>19520</Characters>
  <CharactersWithSpaces>22680</CharactersWithSpaces>
  <Paragraphs>139</Paragraphs>
  <Company>Uniarp - Universidade Alto Vale do Rio do Peixe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2026-03-25T18:06:00Z</dcterms:created>
  <dc:creator>Marlene Zwierewicz</dc:creator>
  <dc:description/>
  <dc:language>pt-BR</dc:language>
  <cp:lastModifiedBy/>
  <dcterms:modified xsi:type="dcterms:W3CDTF">2026-06-21T13:09:18Z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0x0101001D29D47A054BD24387ED9A6ED45D800C</vt:lpwstr>
  </property>
  <property fmtid="{D5CDD505-2E9C-101B-9397-08002B2CF9AE}" pid="4" name="MediaServiceImageTags">
    <vt:lpwstr/>
  </property>
  <property fmtid="{D5CDD505-2E9C-101B-9397-08002B2CF9AE}" pid="5" name="Order">
    <vt:r8>1687000</vt:r8>
  </property>
  <property fmtid="{D5CDD505-2E9C-101B-9397-08002B2CF9AE}" pid="6" name="TriggerFlowInfo">
    <vt:lpwstr/>
  </property>
  <property fmtid="{D5CDD505-2E9C-101B-9397-08002B2CF9AE}" pid="7" name="_ExtendedDescription">
    <vt:lpwstr/>
  </property>
</Properties>
</file>