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Malgun Gothic" w:hAnsi="Malgun Gothic" w:eastAsia="Malgun Gothic"/>
          <w:b/>
          <w:color w:val="2E74B5"/>
          <w:sz w:val="20"/>
        </w:rPr>
        <w:t>TECHNICAL DECISION REPORT</w:t>
      </w:r>
    </w:p>
    <w:p>
      <w:pPr>
        <w:spacing w:after="120"/>
        <w:jc w:val="center"/>
      </w:pPr>
      <w:r>
        <w:rPr>
          <w:rFonts w:ascii="Malgun Gothic" w:hAnsi="Malgun Gothic" w:eastAsia="Malgun Gothic"/>
          <w:b/>
          <w:color w:val="172033"/>
          <w:sz w:val="48"/>
        </w:rPr>
        <w:t>Glocalizer 백엔드 재구성 보고서</w:t>
      </w:r>
    </w:p>
    <w:p>
      <w:pPr>
        <w:spacing w:after="440"/>
        <w:jc w:val="center"/>
      </w:pPr>
      <w:r>
        <w:rPr>
          <w:rFonts w:ascii="Malgun Gothic" w:hAnsi="Malgun Gothic" w:eastAsia="Malgun Gothic"/>
          <w:b w:val="0"/>
          <w:color w:val="667085"/>
          <w:sz w:val="26"/>
        </w:rPr>
        <w:t>무료 우선 OCR·번역 파이프라인과 안정적인 PNG 편집 흐름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구분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내용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대상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Glocalizer 이미지 현지화 backend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작성일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2026-07-23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의사결정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Gemini Vision 단일 의존 구조를 분리형 OCR + translation provider 구조로 전환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우선 범위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이미지 1장 MVP를 안정화한 뒤 다중 asset과 ZIP으로 확장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E74B5"/>
                <w:sz w:val="21"/>
              </w:rPr>
              <w:t xml:space="preserve">권고안  </w:t>
            </w:r>
            <w:r>
              <w:rPr>
                <w:rFonts w:ascii="Malgun Gothic" w:hAnsi="Malgun Gothic" w:eastAsia="Malgun Gothic"/>
                <w:color w:val="172033"/>
                <w:sz w:val="21"/>
              </w:rPr>
              <w:t>OCR 좌표는 local PaddleOCR bridge가 담당하고, 번역은 text-only provider를 교체 가능하게 분리한다. 자동 cleanup과 Canvas export는 기존 역할을 유지한다.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1. 현황과 문제 정의</w:t>
      </w:r>
    </w:p>
    <w:p>
      <w:pPr/>
      <w:r>
        <w:rPr>
          <w:rFonts w:ascii="Malgun Gothic" w:hAnsi="Malgun Gothic" w:eastAsia="Malgun Gothic"/>
          <w:b w:val="0"/>
        </w:rPr>
        <w:t>현재 backend는 Gemini Vision 한 번의 요청에 이미지 OCR, 대표 영역 선택, 번역 후보, 좌표 JSON 생성을 모두 맡긴다. 이 구조는 간결하지만 provider의 모델 폐기, quota, 응답 형식 변화가 전체 작업 실패로 바로 이어진다.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관찰된 문제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영향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구조적 원인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모델 폐기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프로젝트가 즉시 failed 상태로 전환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GEMINI_MODEL이 pipeline과 failure code에 강하게 결합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오류 정보 손실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Editor에는 동일한 일반 실패 문구만 표시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SDK의 HTTP status·provider message를 AppError가 덮어씀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좌표 품질 변동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cleanup·editor·PNG 합성 위치가 흔들림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vision LLM이 OCR과 polygon을 동시에 추론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확장 어려움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다중 asset과 재시도 정책이 복잡해짐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한 service가 download부터 DB 저장까지 수행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2. 목표 아키텍처</w:t>
      </w:r>
    </w:p>
    <w:p>
      <w:pPr/>
      <w:r>
        <w:rPr>
          <w:rFonts w:ascii="Malgun Gothic" w:hAnsi="Malgun Gothic" w:eastAsia="Malgun Gothic"/>
          <w:b w:val="0"/>
        </w:rPr>
        <w:t>새 구조는 역할을 세 계층으로 고정한다. API는 job 생성과 결과 조회만 담당하고, worker는 asset 상태 전이만 orchestration하며, provider는 OCR 또는 번역 하나만 책임진다.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단계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책임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입력 / 출력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API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signed upload, project token 인증, job enqueue, 상태 조회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project·asset request / job id·status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Worker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asset별 순서·재시도·실패 기록·project aggregate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queued asset / completed 또는 failed asset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OCR engine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한글 text, polygon, confidence 추출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preprocessed image / normalized region[]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Translation provider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원문과 context 기반 후보·추천 스타일 생성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source text / candidates[]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Cleanup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transparent 또는 solid cleanup 결과 생성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image + primary region / cleaned image 또는 manual fallback</w:t>
            </w:r>
          </w:p>
        </w:tc>
      </w:tr>
    </w:tbl>
    <w:p>
      <w:pPr>
        <w:spacing w:after="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57347"/>
                <w:sz w:val="21"/>
              </w:rPr>
              <w:t xml:space="preserve">프로세스 경계  </w:t>
            </w:r>
            <w:r>
              <w:rPr>
                <w:rFonts w:ascii="Malgun Gothic" w:hAnsi="Malgun Gothic" w:eastAsia="Malgun Gothic"/>
                <w:color w:val="172033"/>
                <w:sz w:val="21"/>
              </w:rPr>
              <w:t>PaddleOCR는 별도 HTTP 서버가 아니라 backend worker가 관리하는 persistent Python child process로 실행한다. 개발 환경에서도 frontend와 backend 두 서버만 열면 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3. 처리 흐름과 상태 전이</w:t>
      </w:r>
    </w:p>
    <w:p>
      <w:pPr/>
      <w:r>
        <w:rPr>
          <w:rFonts w:ascii="Malgun Gothic" w:hAnsi="Malgun Gothic" w:eastAsia="Malgun Gothic"/>
          <w:b w:val="0"/>
        </w:rPr>
        <w:t>상태는 project가 아니라 asset을 진실의 원천으로 삼는다. project progress는 asset 상태를 집계해 만든다. 각 단계의 provider·model·latency·원본 오류는 processing run으로 남긴다.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순서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asset 상태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실패 시 처리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1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uploaded → preprocessing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파일 형식·크기·이미지 decode 오류를 terminal failed로 기록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recognizing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OCR bridge timeout은 retryable failed; text 없음은 OCR_TEXT_NOT_FOUND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3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translating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provider 401/429/5xx/JSON 오류를 분리해 기록하고 retry policy 적용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4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cleaning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복잡한 배경은 failed가 아니라 needsManualCleanup=true로 completed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completed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editor가 original 또는 cleaned base 위에 동일한 normalized state를 복원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4. Provider 전략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역할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Primary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Fallback / 정책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OCR + bbox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PaddleOCR local bridge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다른 cloud vision으로 자동 전송하지 않음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번역 후보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Groq text provider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rate limit은 retryable; 자동 OpenRouter fallback 금지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오프라인 번역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선택형 local NLLB provider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GPU/속도 벤치마크 통과 시 활성화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자동 cleanup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Sharp 기반 existing implementation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low quality는 manual cleanup으로 완료</w:t>
            </w:r>
          </w:p>
        </w:tc>
      </w:tr>
    </w:tbl>
    <w:p>
      <w:pPr>
        <w:spacing w:after="60"/>
      </w:pPr>
    </w:p>
    <w:p>
      <w:pPr/>
      <w:r>
        <w:rPr>
          <w:rFonts w:ascii="Malgun Gothic" w:hAnsi="Malgun Gothic" w:eastAsia="Malgun Gothic"/>
          <w:b w:val="0"/>
          <w:color w:val="667085"/>
          <w:sz w:val="19"/>
        </w:rPr>
        <w:t>OpenRouter 무료 router는 모델과 데이터 경로가 요청마다 달라질 수 있어 기본 자동 fallback으로 사용하지 않는다. 필요하면 관리자가 명시적으로 켜는 development-only provider로 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5. 코드·데이터 구조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영역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신규 책임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핵심 파일 예시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pipeline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단계 orchestration과 asset 상태 전이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pipeline/asset-pipeline.ts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ocr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provider interface, Python bridge, normalized polygon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ocr/paddle/paddle-bridge.ts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translation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Groq·local provider, 후보 검증, model metadata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translation/translation-provider.ts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observability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provider/model/latency/error classification 기록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observability/processing-run.repository.ts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worker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job claim, stale recovery, retryable failure 재큐잉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worker/job-runner.ts</w:t>
            </w:r>
          </w:p>
        </w:tc>
      </w:tr>
    </w:tbl>
    <w:p>
      <w:pPr>
        <w:spacing w:after="60"/>
      </w:pPr>
    </w:p>
    <w:p>
      <w:pPr>
        <w:spacing w:after="200"/>
      </w:pPr>
      <w:r>
        <w:rPr>
          <w:rFonts w:ascii="Malgun Gothic" w:hAnsi="Malgun Gothic" w:eastAsia="Malgun Gothic"/>
          <w:b w:val="0"/>
        </w:rPr>
        <w:t>DB는 기존 projects, assets, ocr_regions, translations, jobs, editor_states를 유지한다. numbered migration으로 processing_runs 테이블과 assets의 provider failure metadata만 추가한다. Gemini, GLM 등 provider 이름을 컬럼명·error code에 넣지 않는다.</w:t>
      </w: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6. 구현 로드맵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단계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작업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통과 기준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A. 분리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Gemini 전용 pipeline 제거, provider-neutral type·error code 도입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기존 API contract와 unit test 유지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B. OCR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persistent PaddleOCR bridge·polygon normalization 구현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실제 이미지 bbox가 Canvas와 일치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C. 번역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Groq text provider·JSON validator·provider health check 구현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401/404/429/timeout이 사용자 메시지와 DB에 구분됨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D. 관측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processing run·asset retry·stale job recovery 추가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재시도 후에도 원인과 attempt 확인 가능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E. 벤치마크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실제 이모티콘 30장으로 OCR·번역·latency 측정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172033"/>
                <w:sz w:val="18"/>
              </w:rPr>
              <w:t>품질·속도 기준 충족 후 multi-file 진행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7. 수용 기준과 리스크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color w:val="172033"/>
          <w:sz w:val="21"/>
        </w:rPr>
        <w:t>이미지 1장 처리에서 한글 원문·bbox·번역 후보가 저장되고 editor 새로고침 후 동일하게 복원된다.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color w:val="172033"/>
          <w:sz w:val="21"/>
        </w:rPr>
        <w:t>PaddleOCR 실패, Groq rate limit, translation JSON 오류가 서로 다른 error code와 재시도 가능 여부로 기록된다.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color w:val="172033"/>
          <w:sz w:val="21"/>
        </w:rPr>
        <w:t>복잡한 배경은 작업 자체를 실패시키지 않고 manualCleanup 상태로 editor에 전달된다.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color w:val="172033"/>
          <w:sz w:val="21"/>
        </w:rPr>
        <w:t>다운로드 PNG는 editor Canvas와 같은 normalized rect, text 위치, 색상, 크기, 회전을 반영한다.</w:t>
      </w:r>
    </w:p>
    <w:p>
      <w:pPr>
        <w:pStyle w:val="ListBullet"/>
        <w:spacing w:after="80" w:line="288" w:lineRule="auto"/>
      </w:pPr>
      <w:r>
        <w:rPr>
          <w:rFonts w:ascii="Malgun Gothic" w:hAnsi="Malgun Gothic" w:eastAsia="Malgun Gothic"/>
          <w:color w:val="172033"/>
          <w:sz w:val="21"/>
        </w:rPr>
        <w:t>provider API key는 backend env에만 존재하며 frontend bundle·로그·error response에는 노출되지 않는다.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9B1C1C"/>
                <w:sz w:val="21"/>
              </w:rPr>
              <w:t xml:space="preserve">리스크 관리  </w:t>
            </w:r>
            <w:r>
              <w:rPr>
                <w:rFonts w:ascii="Malgun Gothic" w:hAnsi="Malgun Gothic" w:eastAsia="Malgun Gothic"/>
                <w:color w:val="172033"/>
                <w:sz w:val="21"/>
              </w:rPr>
              <w:t>PaddleOCR의 한국어 품질과 CPU/GPU latency는 먼저 30장 벤치마크로 측정한다. 기준 미달이면 OCR provider만 교체할 수 있도록 interface와 storage schema를 고정한다.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algun Gothic" w:hAnsi="Malgun Gothic" w:eastAsia="Malgun Gothic"/>
          <w:b/>
          <w:color w:val="2E74B5"/>
        </w:rPr>
        <w:t>8. 참고 자료</w:t>
      </w:r>
    </w:p>
    <w:p>
      <w:pPr/>
      <w:r>
        <w:rPr>
          <w:rFonts w:ascii="Malgun Gothic" w:hAnsi="Malgun Gothic" w:eastAsia="Malgun Gothic"/>
          <w:b w:val="0"/>
          <w:color w:val="667085"/>
          <w:sz w:val="19"/>
        </w:rPr>
        <w:t>• Google Gemini 모델 문서: https://ai.google.dev/gemini-api/docs/models</w:t>
      </w:r>
    </w:p>
    <w:p>
      <w:pPr/>
      <w:r>
        <w:rPr>
          <w:rFonts w:ascii="Malgun Gothic" w:hAnsi="Malgun Gothic" w:eastAsia="Malgun Gothic"/>
          <w:b w:val="0"/>
          <w:color w:val="667085"/>
          <w:sz w:val="19"/>
        </w:rPr>
        <w:t>• Groq Llama 4 Scout 문서: https://console.groq.com/docs/model/meta-llama/llama-4-scout-17b-16e-instruct</w:t>
      </w:r>
    </w:p>
    <w:p>
      <w:pPr/>
      <w:r>
        <w:rPr>
          <w:rFonts w:ascii="Malgun Gothic" w:hAnsi="Malgun Gothic" w:eastAsia="Malgun Gothic"/>
          <w:b w:val="0"/>
          <w:color w:val="667085"/>
          <w:sz w:val="19"/>
        </w:rPr>
        <w:t>• OpenRouter Free Router: https://openrouter.ai/openrouter/free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67085"/>
        <w:sz w:val="17"/>
      </w:rPr>
      <w:t>Internal technical report · 2026-07-23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67085"/>
        <w:sz w:val="17"/>
      </w:rPr>
      <w:t>Glocalizer | Backend Redesign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