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63"/>
        <w:gridCol w:w="5263"/>
      </w:tblGrid>
      <w:tr>
        <w:tc>
          <w:tcPr>
            <w:tcW w:type="dxa" w:w="3139"/>
            <w:tcMar>
              <w:top w:w="210" w:type="dxa"/>
              <w:start w:w="210" w:type="dxa"/>
              <w:bottom w:w="180" w:type="dxa"/>
              <w:end w:w="210" w:type="dxa"/>
            </w:tcMar>
            <w:tcBorders>
              <w:top w:val="nil"/>
              <w:left w:val="nil"/>
              <w:bottom w:val="nil"/>
              <w:right w:val="nil"/>
            </w:tcBorders>
            <w:shd w:fill="162335"/>
            <w:vAlign w:val="top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61288" cy="11612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ef03b2bf3ccf0d44cbcdf9bd11587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11612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40" w:after="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42"/>
              </w:rPr>
              <w:t>袁华龙</w:t>
            </w:r>
          </w:p>
          <w:p>
            <w:pPr>
              <w:spacing w:after="32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D4FF3F"/>
                <w:sz w:val="16"/>
              </w:rPr>
              <w:t>编辑实习生  ·  游戏策划实习生</w:t>
            </w:r>
          </w:p>
          <w:p>
            <w:pPr>
              <w:spacing w:before="80" w:after="60"/>
            </w:pPr>
            <w:r>
              <w:rPr>
                <w:rFonts w:ascii="Arial" w:hAnsi="Arial" w:eastAsia="Arial"/>
                <w:b/>
                <w:i w:val="0"/>
                <w:color w:val="B9C5D4"/>
                <w:sz w:val="15"/>
              </w:rPr>
              <w:t>联系方式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i w:val="0"/>
                <w:color w:val="EEF2F0"/>
                <w:sz w:val="16"/>
              </w:rPr>
              <w:t>成都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i w:val="0"/>
                <w:color w:val="EEF2F0"/>
                <w:sz w:val="16"/>
              </w:rPr>
              <w:t>13350898255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i w:val="0"/>
                <w:color w:val="EEF2F0"/>
                <w:sz w:val="16"/>
              </w:rPr>
              <w:t>13350898255@163.com</w:t>
            </w:r>
          </w:p>
          <w:p>
            <w:pPr>
              <w:spacing w:before="80" w:after="60"/>
            </w:pPr>
            <w:r>
              <w:rPr>
                <w:rFonts w:ascii="Arial" w:hAnsi="Arial" w:eastAsia="Arial"/>
                <w:b/>
                <w:i w:val="0"/>
                <w:color w:val="B9C5D4"/>
                <w:sz w:val="15"/>
              </w:rPr>
              <w:t>核心能力</w:t>
            </w:r>
          </w:p>
          <w:p>
            <w:pPr>
              <w:spacing w:after="44" w:line="247" w:lineRule="auto"/>
              <w:ind w:left="173" w:hanging="173"/>
            </w:pPr>
            <w:r>
              <w:rPr>
                <w:rFonts w:ascii="Microsoft YaHei" w:hAnsi="Microsoft YaHei" w:eastAsia="Microsoft YaHei"/>
                <w:b w:val="0"/>
                <w:i w:val="0"/>
                <w:color w:val="E9EFEB"/>
                <w:sz w:val="16"/>
              </w:rPr>
              <w:t>•  内容编辑与原创写作</w:t>
            </w:r>
          </w:p>
          <w:p>
            <w:pPr>
              <w:spacing w:after="44" w:line="247" w:lineRule="auto"/>
              <w:ind w:left="173" w:hanging="173"/>
            </w:pPr>
            <w:r>
              <w:rPr>
                <w:rFonts w:ascii="Microsoft YaHei" w:hAnsi="Microsoft YaHei" w:eastAsia="Microsoft YaHei"/>
                <w:b w:val="0"/>
                <w:i w:val="0"/>
                <w:color w:val="E9EFEB"/>
                <w:sz w:val="16"/>
              </w:rPr>
              <w:t>•  选题策划与资料整理</w:t>
            </w:r>
          </w:p>
          <w:p>
            <w:pPr>
              <w:spacing w:after="44" w:line="247" w:lineRule="auto"/>
              <w:ind w:left="173" w:hanging="173"/>
            </w:pPr>
            <w:r>
              <w:rPr>
                <w:rFonts w:ascii="Microsoft YaHei" w:hAnsi="Microsoft YaHei" w:eastAsia="Microsoft YaHei"/>
                <w:b w:val="0"/>
                <w:i w:val="0"/>
                <w:color w:val="E9EFEB"/>
                <w:sz w:val="16"/>
              </w:rPr>
              <w:t>•  世界观与叙事设计</w:t>
            </w:r>
          </w:p>
          <w:p>
            <w:pPr>
              <w:spacing w:after="44" w:line="247" w:lineRule="auto"/>
              <w:ind w:left="173" w:hanging="173"/>
            </w:pPr>
            <w:r>
              <w:rPr>
                <w:rFonts w:ascii="Microsoft YaHei" w:hAnsi="Microsoft YaHei" w:eastAsia="Microsoft YaHei"/>
                <w:b w:val="0"/>
                <w:i w:val="0"/>
                <w:color w:val="E9EFEB"/>
                <w:sz w:val="16"/>
              </w:rPr>
              <w:t>•  游戏玩法拆解与原型思维</w:t>
            </w:r>
          </w:p>
          <w:p>
            <w:pPr>
              <w:spacing w:after="44" w:line="247" w:lineRule="auto"/>
              <w:ind w:left="173" w:hanging="173"/>
            </w:pPr>
            <w:r>
              <w:rPr>
                <w:rFonts w:ascii="Microsoft YaHei" w:hAnsi="Microsoft YaHei" w:eastAsia="Microsoft YaHei"/>
                <w:b w:val="0"/>
                <w:i w:val="0"/>
                <w:color w:val="E9EFEB"/>
                <w:sz w:val="16"/>
              </w:rPr>
              <w:t>•  AIGC 真人类视频创作</w:t>
            </w:r>
          </w:p>
          <w:p>
            <w:pPr>
              <w:spacing w:after="44" w:line="247" w:lineRule="auto"/>
              <w:ind w:left="173" w:hanging="173"/>
            </w:pPr>
            <w:r>
              <w:rPr>
                <w:rFonts w:ascii="Microsoft YaHei" w:hAnsi="Microsoft YaHei" w:eastAsia="Microsoft YaHei"/>
                <w:b w:val="0"/>
                <w:i w:val="0"/>
                <w:color w:val="E9EFEB"/>
                <w:sz w:val="16"/>
              </w:rPr>
              <w:t>•  视觉审美与趋势研究</w:t>
            </w:r>
          </w:p>
          <w:p>
            <w:pPr>
              <w:spacing w:before="80" w:after="60"/>
            </w:pPr>
            <w:r>
              <w:rPr>
                <w:rFonts w:ascii="Arial" w:hAnsi="Arial" w:eastAsia="Arial"/>
                <w:b/>
                <w:i w:val="0"/>
                <w:color w:val="B9C5D4"/>
                <w:sz w:val="15"/>
              </w:rPr>
              <w:t>工具与方向</w:t>
            </w:r>
          </w:p>
          <w:p>
            <w:pPr>
              <w:spacing w:after="44" w:line="247" w:lineRule="auto"/>
              <w:ind w:left="173" w:hanging="173"/>
            </w:pPr>
            <w:r>
              <w:rPr>
                <w:rFonts w:ascii="Microsoft YaHei" w:hAnsi="Microsoft YaHei" w:eastAsia="Microsoft YaHei"/>
                <w:b w:val="0"/>
                <w:i w:val="0"/>
                <w:color w:val="E9EFEB"/>
                <w:sz w:val="16"/>
              </w:rPr>
              <w:t>•  HTML / CSS / JavaScript</w:t>
            </w:r>
          </w:p>
          <w:p>
            <w:pPr>
              <w:spacing w:after="44" w:line="247" w:lineRule="auto"/>
              <w:ind w:left="173" w:hanging="173"/>
            </w:pPr>
            <w:r>
              <w:rPr>
                <w:rFonts w:ascii="Microsoft YaHei" w:hAnsi="Microsoft YaHei" w:eastAsia="Microsoft YaHei"/>
                <w:b w:val="0"/>
                <w:i w:val="0"/>
                <w:color w:val="E9EFEB"/>
                <w:sz w:val="16"/>
              </w:rPr>
              <w:t>•  GSAP 动效与网页交互</w:t>
            </w:r>
          </w:p>
          <w:p>
            <w:pPr>
              <w:spacing w:after="44" w:line="247" w:lineRule="auto"/>
              <w:ind w:left="173" w:hanging="173"/>
            </w:pPr>
            <w:r>
              <w:rPr>
                <w:rFonts w:ascii="Microsoft YaHei" w:hAnsi="Microsoft YaHei" w:eastAsia="Microsoft YaHei"/>
                <w:b w:val="0"/>
                <w:i w:val="0"/>
                <w:color w:val="E9EFEB"/>
                <w:sz w:val="16"/>
              </w:rPr>
              <w:t>•  AIGC 内容工具</w:t>
            </w:r>
          </w:p>
          <w:p>
            <w:pPr>
              <w:spacing w:after="44" w:line="247" w:lineRule="auto"/>
              <w:ind w:left="173" w:hanging="173"/>
            </w:pPr>
            <w:r>
              <w:rPr>
                <w:rFonts w:ascii="Microsoft YaHei" w:hAnsi="Microsoft YaHei" w:eastAsia="Microsoft YaHei"/>
                <w:b w:val="0"/>
                <w:i w:val="0"/>
                <w:color w:val="E9EFEB"/>
                <w:sz w:val="16"/>
              </w:rPr>
              <w:t>•  文本、影像与视觉叙事</w:t>
            </w:r>
          </w:p>
        </w:tc>
        <w:tc>
          <w:tcPr>
            <w:tcW w:type="dxa" w:w="7387"/>
            <w:tcMar>
              <w:top w:w="210" w:type="dxa"/>
              <w:start w:w="210" w:type="dxa"/>
              <w:bottom w:w="180" w:type="dxa"/>
              <w:end w:w="210" w:type="dxa"/>
            </w:tcMar>
            <w:tcBorders>
              <w:top w:val="nil"/>
              <w:left w:val="nil"/>
              <w:bottom w:val="nil"/>
              <w:right w:val="nil"/>
            </w:tcBorders>
            <w:shd w:fill="FFFFFF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718096"/>
                <w:sz w:val="16"/>
              </w:rPr>
              <w:t>求职方向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/>
                <w:i w:val="0"/>
                <w:color w:val="162335"/>
                <w:sz w:val="38"/>
              </w:rPr>
              <w:t>编辑实习  /  游戏策划实习</w:t>
            </w:r>
          </w:p>
          <w:p>
            <w:pPr>
              <w:spacing w:after="24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334155"/>
                <w:sz w:val="18"/>
              </w:rPr>
              <w:t>本科毕业于东伦敦大学 Fashion Studies，具备内容创作、叙事设计、独立游戏开发和 AIGC 真人类视频制作经验。曾为阅文集团签约作家，熟悉从想法、结构到成稿的完整创作过程，希望将文字能力转化为内容策划、世界观构建、玩法表达和用户体验。</w:t>
            </w:r>
          </w:p>
          <w:p>
            <w:pPr>
              <w:spacing w:after="160" w:line="0" w:lineRule="auto"/>
              <w:pBdr>
                <w:bottom w:val="single" w:sz="12" w:space="1" w:color="D4FF3F"/>
              </w:pBdr>
            </w:pPr>
            <w:r>
              <w:rPr>
                <w:sz w:val="2"/>
              </w:rPr>
            </w:r>
          </w:p>
          <w:p>
            <w:pPr>
              <w:spacing w:before="160" w:after="120"/>
            </w:pPr>
            <w:r>
              <w:rPr>
                <w:rFonts w:ascii="Microsoft YaHei" w:hAnsi="Microsoft YaHei" w:eastAsia="Microsoft YaHei"/>
                <w:b/>
                <w:i w:val="0"/>
                <w:color w:val="162335"/>
                <w:sz w:val="23"/>
              </w:rPr>
              <w:t>实践经历</w:t>
            </w:r>
          </w:p>
          <w:p>
            <w:pPr>
              <w:spacing w:before="80" w:after="20"/>
            </w:pPr>
            <w:r>
              <w:rPr>
                <w:rFonts w:ascii="Microsoft YaHei" w:hAnsi="Microsoft YaHei" w:eastAsia="Microsoft YaHei"/>
                <w:b/>
                <w:i w:val="0"/>
                <w:color w:val="162335"/>
                <w:sz w:val="20"/>
              </w:rPr>
              <w:t>阅文集团签约作家</w:t>
            </w:r>
          </w:p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6B7280"/>
                <w:sz w:val="16"/>
              </w:rPr>
              <w:t>网络文学创作  ·  签约作者</w:t>
            </w:r>
          </w:p>
          <w:p>
            <w:pPr>
              <w:spacing w:after="44" w:line="247" w:lineRule="auto"/>
              <w:ind w:left="173" w:hanging="173"/>
            </w:pPr>
            <w:r>
              <w:rPr>
                <w:rFonts w:ascii="Microsoft YaHei" w:hAnsi="Microsoft YaHei" w:eastAsia="Microsoft YaHei"/>
                <w:b w:val="0"/>
                <w:i w:val="0"/>
                <w:color w:val="2E3745"/>
                <w:sz w:val="16"/>
              </w:rPr>
              <w:t>•  围绕题材方向进行资料搜集、故事构思、人物设定与情节推进，持续完成原创内容创作。</w:t>
            </w:r>
          </w:p>
          <w:p>
            <w:pPr>
              <w:spacing w:after="44" w:line="247" w:lineRule="auto"/>
              <w:ind w:left="173" w:hanging="173"/>
            </w:pPr>
            <w:r>
              <w:rPr>
                <w:rFonts w:ascii="Microsoft YaHei" w:hAnsi="Microsoft YaHei" w:eastAsia="Microsoft YaHei"/>
                <w:b w:val="0"/>
                <w:i w:val="0"/>
                <w:color w:val="2E3745"/>
                <w:sz w:val="16"/>
              </w:rPr>
              <w:t>•  具备从创意发散、结构搭建到文字表达和内容迭代的完整工作习惯。</w:t>
            </w:r>
          </w:p>
          <w:p>
            <w:pPr>
              <w:spacing w:after="44" w:line="247" w:lineRule="auto"/>
              <w:ind w:left="173" w:hanging="173"/>
            </w:pPr>
            <w:r>
              <w:rPr>
                <w:rFonts w:ascii="Microsoft YaHei" w:hAnsi="Microsoft YaHei" w:eastAsia="Microsoft YaHei"/>
                <w:b w:val="0"/>
                <w:i w:val="0"/>
                <w:color w:val="2E3745"/>
                <w:sz w:val="16"/>
              </w:rPr>
              <w:t>•  能够快速理解受众兴趣，将抽象主题转化为有节奏、有画面感的叙事。</w:t>
            </w:r>
          </w:p>
          <w:p>
            <w:pPr>
              <w:spacing w:before="80" w:after="20"/>
            </w:pPr>
            <w:r>
              <w:rPr>
                <w:rFonts w:ascii="Microsoft YaHei" w:hAnsi="Microsoft YaHei" w:eastAsia="Microsoft YaHei"/>
                <w:b/>
                <w:i w:val="0"/>
                <w:color w:val="162335"/>
                <w:sz w:val="20"/>
              </w:rPr>
              <w:t>独立游戏项目</w:t>
            </w:r>
          </w:p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6B7280"/>
                <w:sz w:val="16"/>
              </w:rPr>
              <w:t>个人项目  ·  游戏策划与开发</w:t>
            </w:r>
          </w:p>
          <w:p>
            <w:pPr>
              <w:spacing w:after="44" w:line="247" w:lineRule="auto"/>
              <w:ind w:left="173" w:hanging="173"/>
            </w:pPr>
            <w:r>
              <w:rPr>
                <w:rFonts w:ascii="Microsoft YaHei" w:hAnsi="Microsoft YaHei" w:eastAsia="Microsoft YaHei"/>
                <w:b w:val="0"/>
                <w:i w:val="0"/>
                <w:color w:val="2E3745"/>
                <w:sz w:val="16"/>
              </w:rPr>
              <w:t>•  参与游戏创意、核心玩法、世界观、关卡/任务思路与交互原型设计。</w:t>
            </w:r>
          </w:p>
          <w:p>
            <w:pPr>
              <w:spacing w:after="44" w:line="247" w:lineRule="auto"/>
              <w:ind w:left="173" w:hanging="173"/>
            </w:pPr>
            <w:r>
              <w:rPr>
                <w:rFonts w:ascii="Microsoft YaHei" w:hAnsi="Microsoft YaHei" w:eastAsia="Microsoft YaHei"/>
                <w:b w:val="0"/>
                <w:i w:val="0"/>
                <w:color w:val="2E3745"/>
                <w:sz w:val="16"/>
              </w:rPr>
              <w:t>•  从玩家体验出发拆解目标、反馈与节奏，持续迭代可玩的内容雏形。</w:t>
            </w:r>
          </w:p>
          <w:p>
            <w:pPr>
              <w:spacing w:after="44" w:line="247" w:lineRule="auto"/>
              <w:ind w:left="173" w:hanging="173"/>
            </w:pPr>
            <w:r>
              <w:rPr>
                <w:rFonts w:ascii="Microsoft YaHei" w:hAnsi="Microsoft YaHei" w:eastAsia="Microsoft YaHei"/>
                <w:b w:val="0"/>
                <w:i w:val="0"/>
                <w:color w:val="2E3745"/>
                <w:sz w:val="16"/>
              </w:rPr>
              <w:t>•  能够把故事设定转化为玩法目标、角色动机和可执行的内容结构。</w:t>
            </w:r>
          </w:p>
          <w:p>
            <w:pPr>
              <w:spacing w:before="80" w:after="20"/>
            </w:pPr>
            <w:r>
              <w:rPr>
                <w:rFonts w:ascii="Microsoft YaHei" w:hAnsi="Microsoft YaHei" w:eastAsia="Microsoft YaHei"/>
                <w:b/>
                <w:i w:val="0"/>
                <w:color w:val="162335"/>
                <w:sz w:val="20"/>
              </w:rPr>
              <w:t>AIGC 真人类视频项目</w:t>
            </w:r>
          </w:p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6B7280"/>
                <w:sz w:val="16"/>
              </w:rPr>
              <w:t>个人项目  ·  内容策划与制作</w:t>
            </w:r>
          </w:p>
          <w:p>
            <w:pPr>
              <w:spacing w:after="44" w:line="247" w:lineRule="auto"/>
              <w:ind w:left="173" w:hanging="173"/>
            </w:pPr>
            <w:r>
              <w:rPr>
                <w:rFonts w:ascii="Microsoft YaHei" w:hAnsi="Microsoft YaHei" w:eastAsia="Microsoft YaHei"/>
                <w:b w:val="0"/>
                <w:i w:val="0"/>
                <w:color w:val="2E3745"/>
                <w:sz w:val="16"/>
              </w:rPr>
              <w:t>•  完成真人类视频的选题、脚本、角色设定、画面生成、剪辑与成片优化。</w:t>
            </w:r>
          </w:p>
          <w:p>
            <w:pPr>
              <w:spacing w:after="44" w:line="247" w:lineRule="auto"/>
              <w:ind w:left="173" w:hanging="173"/>
            </w:pPr>
            <w:r>
              <w:rPr>
                <w:rFonts w:ascii="Microsoft YaHei" w:hAnsi="Microsoft YaHei" w:eastAsia="Microsoft YaHei"/>
                <w:b w:val="0"/>
                <w:i w:val="0"/>
                <w:color w:val="2E3745"/>
                <w:sz w:val="16"/>
              </w:rPr>
              <w:t>•  探索 AIGC 在人物表达、视觉叙事和短视频内容生产中的应用方式。</w:t>
            </w:r>
          </w:p>
          <w:p>
            <w:pPr>
              <w:spacing w:before="160" w:after="120"/>
            </w:pPr>
            <w:r>
              <w:rPr>
                <w:rFonts w:ascii="Microsoft YaHei" w:hAnsi="Microsoft YaHei" w:eastAsia="Microsoft YaHei"/>
                <w:b/>
                <w:i w:val="0"/>
                <w:color w:val="162335"/>
                <w:sz w:val="23"/>
              </w:rPr>
              <w:t>代表项目</w:t>
            </w:r>
          </w:p>
          <w:p>
            <w:pPr>
              <w:spacing w:before="80" w:after="20"/>
            </w:pPr>
            <w:r>
              <w:rPr>
                <w:rFonts w:ascii="Microsoft YaHei" w:hAnsi="Microsoft YaHei" w:eastAsia="Microsoft YaHei"/>
                <w:b/>
                <w:i w:val="0"/>
                <w:color w:val="162335"/>
                <w:sz w:val="20"/>
              </w:rPr>
              <w:t>LinkYuan 动态创作作品集</w:t>
            </w:r>
          </w:p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6B7280"/>
                <w:sz w:val="16"/>
              </w:rPr>
              <w:t>个人网站  ·  交互设计与前端实现</w:t>
            </w:r>
          </w:p>
          <w:p>
            <w:pPr>
              <w:spacing w:after="44" w:line="247" w:lineRule="auto"/>
              <w:ind w:left="173" w:hanging="173"/>
            </w:pPr>
            <w:r>
              <w:rPr>
                <w:rFonts w:ascii="Microsoft YaHei" w:hAnsi="Microsoft YaHei" w:eastAsia="Microsoft YaHei"/>
                <w:b w:val="0"/>
                <w:i w:val="0"/>
                <w:color w:val="2E3745"/>
                <w:sz w:val="16"/>
              </w:rPr>
              <w:t>•  独立搭建以深空观测站为概念的动态作品集，包含全屏片头、轨道式项目浏览和滚动叙事。</w:t>
            </w:r>
          </w:p>
          <w:p>
            <w:pPr>
              <w:spacing w:after="44" w:line="247" w:lineRule="auto"/>
              <w:ind w:left="173" w:hanging="173"/>
            </w:pPr>
            <w:r>
              <w:rPr>
                <w:rFonts w:ascii="Microsoft YaHei" w:hAnsi="Microsoft YaHei" w:eastAsia="Microsoft YaHei"/>
                <w:b w:val="0"/>
                <w:i w:val="0"/>
                <w:color w:val="2E3745"/>
                <w:sz w:val="16"/>
              </w:rPr>
              <w:t>•  使用 HTML、CSS、JavaScript 与 GSAP 完成动效、视差、项目节点交互和响应式适配。</w:t>
            </w:r>
          </w:p>
          <w:p>
            <w:pPr>
              <w:spacing w:before="160" w:after="120"/>
            </w:pPr>
            <w:r>
              <w:rPr>
                <w:rFonts w:ascii="Microsoft YaHei" w:hAnsi="Microsoft YaHei" w:eastAsia="Microsoft YaHei"/>
                <w:b/>
                <w:i w:val="0"/>
                <w:color w:val="162335"/>
                <w:sz w:val="23"/>
              </w:rPr>
              <w:t>教育背景</w:t>
            </w:r>
          </w:p>
          <w:p>
            <w:pPr>
              <w:spacing w:before="80" w:after="20"/>
            </w:pPr>
            <w:r>
              <w:rPr>
                <w:rFonts w:ascii="Microsoft YaHei" w:hAnsi="Microsoft YaHei" w:eastAsia="Microsoft YaHei"/>
                <w:b/>
                <w:i w:val="0"/>
                <w:color w:val="162335"/>
                <w:sz w:val="20"/>
              </w:rPr>
              <w:t>University of East London</w:t>
            </w:r>
          </w:p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6B7280"/>
                <w:sz w:val="16"/>
              </w:rPr>
              <w:t>本科  ·  Fashion Studies</w:t>
            </w:r>
          </w:p>
          <w:p>
            <w:pPr>
              <w:spacing w:after="44" w:line="247" w:lineRule="auto"/>
              <w:ind w:left="173" w:hanging="173"/>
            </w:pPr>
            <w:r>
              <w:rPr>
                <w:rFonts w:ascii="Microsoft YaHei" w:hAnsi="Microsoft YaHei" w:eastAsia="Microsoft YaHei"/>
                <w:b w:val="0"/>
                <w:i w:val="0"/>
                <w:color w:val="2E3745"/>
                <w:sz w:val="16"/>
              </w:rPr>
              <w:t>•  学习方向涵盖时尚文化、视觉研究、设计思维与趋势分析，形成跨媒介的审美与研究能力。</w:t>
            </w:r>
          </w:p>
          <w:p>
            <w:pPr>
              <w:spacing w:before="160" w:after="120"/>
            </w:pPr>
            <w:r>
              <w:rPr>
                <w:rFonts w:ascii="Microsoft YaHei" w:hAnsi="Microsoft YaHei" w:eastAsia="Microsoft YaHei"/>
                <w:b/>
                <w:i w:val="0"/>
                <w:color w:val="162335"/>
                <w:sz w:val="23"/>
              </w:rPr>
              <w:t>个人优势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334155"/>
                <w:sz w:val="17"/>
              </w:rPr>
              <w:t>文字是我的基础，游戏和 AIGC 是我主动扩展的表达方式。我擅长把模糊想法整理成清晰结构，也愿意从用户、玩家和观众的真实感受出发反复打磨内容。</w:t>
            </w:r>
          </w:p>
          <w:p>
            <w:pPr>
              <w:spacing w:before="240" w:after="0"/>
              <w:jc w:val="right"/>
            </w:pPr>
            <w:r>
              <w:rPr>
                <w:rFonts w:ascii="Microsoft YaHei" w:hAnsi="Microsoft YaHei" w:eastAsia="Microsoft YaHei"/>
                <w:b w:val="0"/>
                <w:i/>
                <w:color w:val="718096"/>
                <w:sz w:val="15"/>
              </w:rPr>
              <w:t>可提供：作品集网站  /  游戏项目说明  /  AIGC 视频样片</w:t>
            </w:r>
          </w:p>
        </w:tc>
      </w:tr>
    </w:tbl>
    <w:sectPr w:rsidR="00FC693F" w:rsidRPr="0006063C" w:rsidSect="00034616">
      <w:pgSz w:w="11909" w:h="16834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