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40" w:after="160" w:line="264" w:lineRule="auto"/>
        <w:jc w:val="center"/>
      </w:pPr>
      <w:r>
        <w:rPr>
          <w:rFonts w:ascii="Microsoft YaHei" w:hAnsi="Microsoft YaHei" w:eastAsia="Microsoft YaHei"/>
          <w:b/>
          <w:i w:val="0"/>
          <w:color w:val="000000"/>
          <w:sz w:val="44"/>
        </w:rPr>
        <w:t>火灾烟雾检测训练效果差检测报告</w:t>
      </w:r>
    </w:p>
    <w:p>
      <w:pPr>
        <w:spacing w:before="0" w:after="280" w:line="276" w:lineRule="auto"/>
        <w:jc w:val="center"/>
      </w:pPr>
      <w:r>
        <w:rPr>
          <w:rFonts w:ascii="Microsoft YaHei" w:hAnsi="Microsoft YaHei" w:eastAsia="Microsoft YaHei"/>
          <w:b w:val="0"/>
          <w:i w:val="0"/>
          <w:color w:val="555555"/>
          <w:sz w:val="22"/>
        </w:rPr>
        <w:t>基于远程训练仓库和 D Fire 数据集的诊断结论</w:t>
      </w:r>
    </w:p>
    <w:tbl>
      <w:tblPr>
        <w:tblW w:type="dxa" w:w="9720"/>
        <w:jc w:val="center"/>
        <w:tblLayout w:type="fixed"/>
        <w:tblLook w:firstColumn="1" w:firstRow="1" w:lastColumn="0" w:lastRow="0" w:noHBand="0" w:noVBand="1" w:val="04A0"/>
        <w:tblInd w:w="110" w:type="dxa"/>
      </w:tblPr>
      <w:tblGrid>
        <w:gridCol w:w="1872"/>
        <w:gridCol w:w="7848"/>
      </w:tblGrid>
      <w:tr>
        <w:trPr>
          <w:tblHeader w:val="true"/>
        </w:trPr>
        <w:tc>
          <w:tcPr>
            <w:tcW w:type="dxa" w:w="187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项目</w:t>
            </w:r>
          </w:p>
        </w:tc>
        <w:tc>
          <w:tcPr>
            <w:tcW w:type="dxa" w:w="784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内容</w:t>
            </w:r>
          </w:p>
        </w:tc>
      </w:tr>
      <w:tr>
        <w:tc>
          <w:tcPr>
            <w:tcW w:type="dxa" w:w="187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报告日期</w:t>
            </w:r>
          </w:p>
        </w:tc>
        <w:tc>
          <w:tcPr>
            <w:tcW w:type="dxa" w:w="784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2026 年 9 月 21 日</w:t>
            </w:r>
          </w:p>
        </w:tc>
      </w:tr>
      <w:tr>
        <w:tc>
          <w:tcPr>
            <w:tcW w:type="dxa" w:w="187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检查对象</w:t>
            </w:r>
          </w:p>
        </w:tc>
        <w:tc>
          <w:tcPr>
            <w:tcW w:type="dxa" w:w="784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YOLO11n baseline、P2、SRDG、DCBR、ACR 训练结果</w:t>
            </w:r>
          </w:p>
        </w:tc>
      </w:tr>
      <w:tr>
        <w:tc>
          <w:tcPr>
            <w:tcW w:type="dxa" w:w="187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远程仓库</w:t>
            </w:r>
          </w:p>
        </w:tc>
        <w:tc>
          <w:tcPr>
            <w:tcW w:type="dxa" w:w="784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/home/cmj/Documents/FireSmoke/Fire-YOLOv11/</w:t>
            </w:r>
          </w:p>
        </w:tc>
      </w:tr>
      <w:tr>
        <w:tc>
          <w:tcPr>
            <w:tcW w:type="dxa" w:w="187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远程代码版本</w:t>
            </w:r>
          </w:p>
        </w:tc>
        <w:tc>
          <w:tcPr>
            <w:tcW w:type="dxa" w:w="784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ce4a405 arc_seed0</w:t>
            </w:r>
          </w:p>
        </w:tc>
      </w:tr>
      <w:tr>
        <w:tc>
          <w:tcPr>
            <w:tcW w:type="dxa" w:w="187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数据集</w:t>
            </w:r>
          </w:p>
        </w:tc>
        <w:tc>
          <w:tcPr>
            <w:tcW w:type="dxa" w:w="784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D Fire，train 15485，val 1722，test 4294</w:t>
            </w:r>
          </w:p>
        </w:tc>
      </w:tr>
      <w:tr>
        <w:tc>
          <w:tcPr>
            <w:tcW w:type="dxa" w:w="187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结论级别</w:t>
            </w:r>
          </w:p>
        </w:tc>
        <w:tc>
          <w:tcPr>
            <w:tcW w:type="dxa" w:w="784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诊断报告，不替代最终 test 或跨域结论</w:t>
            </w:r>
          </w:p>
        </w:tc>
      </w:tr>
    </w:tbl>
    <w:p>
      <w:pPr>
        <w:spacing w:after="20"/>
      </w:pPr>
    </w:p>
    <w:p>
      <w:pPr>
        <w:pStyle w:val="Heading1"/>
        <w:spacing w:before="200" w:after="100" w:line="264" w:lineRule="auto"/>
      </w:pPr>
      <w:r>
        <w:rPr>
          <w:rFonts w:ascii="Microsoft YaHei" w:hAnsi="Microsoft YaHei" w:eastAsia="Microsoft YaHei"/>
          <w:b/>
          <w:i w:val="0"/>
          <w:color w:val="000000"/>
          <w:sz w:val="30"/>
        </w:rPr>
        <w:t>执行摘要</w:t>
      </w:r>
    </w:p>
    <w:p>
      <w:pPr>
        <w:spacing w:before="0" w:after="120" w:line="300" w:lineRule="auto"/>
      </w:pPr>
      <w:r>
        <w:rPr>
          <w:rFonts w:ascii="Microsoft YaHei" w:hAnsi="Microsoft YaHei" w:eastAsia="Microsoft YaHei"/>
          <w:b w:val="0"/>
          <w:i w:val="0"/>
          <w:color w:val="000000"/>
          <w:sz w:val="21"/>
        </w:rPr>
        <w:t>当前训练效果差，数据集问题是重要原因，但不是唯一原因。远程误差分析显示，主要瓶颈不是 fire 和 smoke 互相分类错误，而是小目标定位、整体框质量、重复框、置信度排序和背景误报。数据集同时存在高比例空图、跨 split 近重复候选、目标尺度过小、越界框和标注粒度可能不一致等风险。继续堆叠 ACR、DCBR 等结构模块，暂时不能解决这些基础问题。</w:t>
      </w:r>
    </w:p>
    <w:p>
      <w:pPr>
        <w:spacing w:before="0" w:after="120" w:line="300" w:lineRule="auto"/>
      </w:pPr>
      <w:r>
        <w:rPr>
          <w:rFonts w:ascii="Microsoft YaHei" w:hAnsi="Microsoft YaHei" w:eastAsia="Microsoft YaHei"/>
          <w:b w:val="0"/>
          <w:i w:val="0"/>
          <w:color w:val="000000"/>
          <w:sz w:val="21"/>
        </w:rPr>
        <w:t>当前最优策略是暂停新模块扩展，先固定数据版本并完成分组划分、近重复审查和标注质量审查；然后在清洗后的数据上重新训练严格可比的 baseline 和 P2，再决定是否继续模块研究。</w:t>
      </w:r>
    </w:p>
    <w:p>
      <w:pPr>
        <w:pStyle w:val="Heading1"/>
        <w:spacing w:before="200" w:after="100" w:line="264" w:lineRule="auto"/>
      </w:pPr>
      <w:r>
        <w:rPr>
          <w:rFonts w:ascii="Microsoft YaHei" w:hAnsi="Microsoft YaHei" w:eastAsia="Microsoft YaHei"/>
          <w:b/>
          <w:i w:val="0"/>
          <w:color w:val="000000"/>
          <w:sz w:val="30"/>
        </w:rPr>
        <w:t>诊断范围与证据</w:t>
      </w:r>
    </w:p>
    <w:p>
      <w:pPr>
        <w:spacing w:before="0" w:after="120" w:line="300" w:lineRule="auto"/>
      </w:pPr>
      <w:r>
        <w:rPr>
          <w:rFonts w:ascii="Microsoft YaHei" w:hAnsi="Microsoft YaHei" w:eastAsia="Microsoft YaHei"/>
          <w:b w:val="0"/>
          <w:i w:val="0"/>
          <w:color w:val="000000"/>
          <w:sz w:val="21"/>
        </w:rPr>
        <w:t>本报告基于远程训练机上的原始数据、训练日志、权重和验证集误差分析产物整理。训练结果均来自 D Fire 验证集，模型选择使用验证 mAP50-95；COCO 尺寸分层、固定工作点误差和低误报召回属于统一验证集上的诊断，不应直接当作测试集或部署保证。</w:t>
      </w:r>
    </w:p>
    <w:p>
      <w:pPr>
        <w:pStyle w:val="ListBullet"/>
        <w:spacing w:before="0" w:after="60" w:line="283" w:lineRule="auto"/>
        <w:ind w:left="369" w:hanging="170"/>
      </w:pPr>
      <w:r>
        <w:rPr>
          <w:rFonts w:ascii="Microsoft YaHei" w:hAnsi="Microsoft YaHei" w:eastAsia="Microsoft YaHei"/>
          <w:b w:val="0"/>
          <w:i w:val="0"/>
          <w:color w:val="000000"/>
          <w:sz w:val="21"/>
        </w:rPr>
        <w:t>训练配置：100 epochs、640 输入、batch 32、SGD、AMP=false，P2、SRDG、DCBR、ACR 使用同协议。</w:t>
      </w:r>
    </w:p>
    <w:p>
      <w:pPr>
        <w:pStyle w:val="ListBullet"/>
        <w:spacing w:before="0" w:after="60" w:line="283" w:lineRule="auto"/>
        <w:ind w:left="369" w:hanging="170"/>
      </w:pPr>
      <w:r>
        <w:rPr>
          <w:rFonts w:ascii="Microsoft YaHei" w:hAnsi="Microsoft YaHei" w:eastAsia="Microsoft YaHei"/>
          <w:b w:val="0"/>
          <w:i w:val="0"/>
          <w:color w:val="000000"/>
          <w:sz w:val="21"/>
        </w:rPr>
        <w:t>远程机器：RTX 3090，Python 3.10.12，Ultralytics 8.4.42，PyTorch 2.11.0。</w:t>
      </w:r>
    </w:p>
    <w:p>
      <w:pPr>
        <w:pStyle w:val="ListBullet"/>
        <w:spacing w:before="0" w:after="60" w:line="283" w:lineRule="auto"/>
        <w:ind w:left="369" w:hanging="170"/>
      </w:pPr>
      <w:r>
        <w:rPr>
          <w:rFonts w:ascii="Microsoft YaHei" w:hAnsi="Microsoft YaHei" w:eastAsia="Microsoft YaHei"/>
          <w:b w:val="0"/>
          <w:i w:val="0"/>
          <w:color w:val="000000"/>
          <w:sz w:val="21"/>
        </w:rPr>
        <w:t>分析报告：/home/cmj/Documents/FireSmoke/Fire-YOLOv11/artifacts/analysis/review-20260920-ce4a405/REPORT.md。</w:t>
      </w:r>
    </w:p>
    <w:p>
      <w:pPr>
        <w:pStyle w:val="ListBullet"/>
        <w:spacing w:before="0" w:after="60" w:line="283" w:lineRule="auto"/>
        <w:ind w:left="369" w:hanging="170"/>
      </w:pPr>
      <w:r>
        <w:rPr>
          <w:rFonts w:ascii="Microsoft YaHei" w:hAnsi="Microsoft YaHei" w:eastAsia="Microsoft YaHei"/>
          <w:b w:val="0"/>
          <w:i w:val="0"/>
          <w:color w:val="000000"/>
          <w:sz w:val="21"/>
        </w:rPr>
        <w:t>本报告没有使用测试集结果决定模型或超参数。</w:t>
      </w:r>
    </w:p>
    <w:p>
      <w:pPr>
        <w:pStyle w:val="Heading1"/>
        <w:spacing w:before="200" w:after="100" w:line="264" w:lineRule="auto"/>
      </w:pPr>
      <w:r>
        <w:rPr>
          <w:rFonts w:ascii="Microsoft YaHei" w:hAnsi="Microsoft YaHei" w:eastAsia="Microsoft YaHei"/>
          <w:b/>
          <w:i w:val="0"/>
          <w:color w:val="000000"/>
          <w:sz w:val="30"/>
        </w:rPr>
        <w:t>训练结果概览</w:t>
      </w:r>
    </w:p>
    <w:tbl>
      <w:tblPr>
        <w:tblW w:type="dxa" w:w="9216"/>
        <w:jc w:val="center"/>
        <w:tblLayout w:type="fixed"/>
        <w:tblLook w:firstColumn="1" w:firstRow="1" w:lastColumn="0" w:lastRow="0" w:noHBand="0" w:noVBand="1" w:val="04A0"/>
        <w:tblInd w:w="110" w:type="dxa"/>
      </w:tblPr>
      <w:tblGrid>
        <w:gridCol w:w="1440"/>
        <w:gridCol w:w="605"/>
        <w:gridCol w:w="893"/>
        <w:gridCol w:w="893"/>
        <w:gridCol w:w="1123"/>
        <w:gridCol w:w="835"/>
        <w:gridCol w:w="835"/>
        <w:gridCol w:w="2592"/>
      </w:tblGrid>
      <w:tr>
        <w:trPr>
          <w:tblHeader w:val="true"/>
        </w:trPr>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模型</w:t>
            </w:r>
          </w:p>
        </w:tc>
        <w:tc>
          <w:tcPr>
            <w:tcW w:type="dxa" w:w="605"/>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seed</w:t>
            </w:r>
          </w:p>
        </w:tc>
        <w:tc>
          <w:tcPr>
            <w:tcW w:type="dxa" w:w="893"/>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最佳轮次</w:t>
            </w:r>
          </w:p>
        </w:tc>
        <w:tc>
          <w:tcPr>
            <w:tcW w:type="dxa" w:w="893"/>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mAP50</w:t>
            </w:r>
          </w:p>
        </w:tc>
        <w:tc>
          <w:tcPr>
            <w:tcW w:type="dxa" w:w="1123"/>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mAP50-95</w:t>
            </w:r>
          </w:p>
        </w:tc>
        <w:tc>
          <w:tcPr>
            <w:tcW w:type="dxa" w:w="835"/>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P</w:t>
            </w:r>
          </w:p>
        </w:tc>
        <w:tc>
          <w:tcPr>
            <w:tcW w:type="dxa" w:w="835"/>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R</w:t>
            </w:r>
          </w:p>
        </w:tc>
        <w:tc>
          <w:tcPr>
            <w:tcW w:type="dxa" w:w="259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6"/>
              </w:rPr>
              <w:t>初步判断</w:t>
            </w:r>
          </w:p>
        </w:tc>
      </w:tr>
      <w:tr>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w:t>
            </w:r>
          </w:p>
        </w:tc>
        <w:tc>
          <w:tcPr>
            <w:tcW w:type="dxa" w:w="60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0</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100</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80.345%</w:t>
            </w:r>
          </w:p>
        </w:tc>
        <w:tc>
          <w:tcPr>
            <w:tcW w:type="dxa" w:w="112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48.384%</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78.426%</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74.535%</w:t>
            </w:r>
          </w:p>
        </w:tc>
        <w:tc>
          <w:tcPr>
            <w:tcW w:type="dxa" w:w="25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当前单次最高</w:t>
            </w:r>
          </w:p>
        </w:tc>
      </w:tr>
      <w:tr>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w:t>
            </w:r>
          </w:p>
        </w:tc>
        <w:tc>
          <w:tcPr>
            <w:tcW w:type="dxa" w:w="60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1</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94</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80.206%</w:t>
            </w:r>
          </w:p>
        </w:tc>
        <w:tc>
          <w:tcPr>
            <w:tcW w:type="dxa" w:w="112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47.708%</w:t>
            </w:r>
          </w:p>
        </w:tc>
        <w:tc>
          <w:tcPr>
            <w:tcW w:type="dxa" w:w="83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78.791%</w:t>
            </w:r>
          </w:p>
        </w:tc>
        <w:tc>
          <w:tcPr>
            <w:tcW w:type="dxa" w:w="83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73.400%</w:t>
            </w:r>
          </w:p>
        </w:tc>
        <w:tc>
          <w:tcPr>
            <w:tcW w:type="dxa" w:w="25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低于 seed0</w:t>
            </w:r>
          </w:p>
        </w:tc>
      </w:tr>
      <w:tr>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w:t>
            </w:r>
          </w:p>
        </w:tc>
        <w:tc>
          <w:tcPr>
            <w:tcW w:type="dxa" w:w="60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2</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95</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79.358%</w:t>
            </w:r>
          </w:p>
        </w:tc>
        <w:tc>
          <w:tcPr>
            <w:tcW w:type="dxa" w:w="112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47.609%</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79.753%</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71.573%</w:t>
            </w:r>
          </w:p>
        </w:tc>
        <w:tc>
          <w:tcPr>
            <w:tcW w:type="dxa" w:w="25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召回下降</w:t>
            </w:r>
          </w:p>
        </w:tc>
      </w:tr>
      <w:tr>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 SRDG</w:t>
            </w:r>
          </w:p>
        </w:tc>
        <w:tc>
          <w:tcPr>
            <w:tcW w:type="dxa" w:w="60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0</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94</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79.863%</w:t>
            </w:r>
          </w:p>
        </w:tc>
        <w:tc>
          <w:tcPr>
            <w:tcW w:type="dxa" w:w="112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48.098%</w:t>
            </w:r>
          </w:p>
        </w:tc>
        <w:tc>
          <w:tcPr>
            <w:tcW w:type="dxa" w:w="83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82.104%</w:t>
            </w:r>
          </w:p>
        </w:tc>
        <w:tc>
          <w:tcPr>
            <w:tcW w:type="dxa" w:w="83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71.595%</w:t>
            </w:r>
          </w:p>
        </w:tc>
        <w:tc>
          <w:tcPr>
            <w:tcW w:type="dxa" w:w="25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P 上升但 R 下降</w:t>
            </w:r>
          </w:p>
        </w:tc>
      </w:tr>
      <w:tr>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 DCBR</w:t>
            </w:r>
          </w:p>
        </w:tc>
        <w:tc>
          <w:tcPr>
            <w:tcW w:type="dxa" w:w="60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0</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78</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80.250%</w:t>
            </w:r>
          </w:p>
        </w:tc>
        <w:tc>
          <w:tcPr>
            <w:tcW w:type="dxa" w:w="112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48.160%</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78.684%</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73.126%</w:t>
            </w:r>
          </w:p>
        </w:tc>
        <w:tc>
          <w:tcPr>
            <w:tcW w:type="dxa" w:w="25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低于 P2 seed0</w:t>
            </w:r>
          </w:p>
        </w:tc>
      </w:tr>
      <w:tr>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 DCBR</w:t>
            </w:r>
          </w:p>
        </w:tc>
        <w:tc>
          <w:tcPr>
            <w:tcW w:type="dxa" w:w="60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2</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93</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79.811%</w:t>
            </w:r>
          </w:p>
        </w:tc>
        <w:tc>
          <w:tcPr>
            <w:tcW w:type="dxa" w:w="112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48.077%</w:t>
            </w:r>
          </w:p>
        </w:tc>
        <w:tc>
          <w:tcPr>
            <w:tcW w:type="dxa" w:w="83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77.418%</w:t>
            </w:r>
          </w:p>
        </w:tc>
        <w:tc>
          <w:tcPr>
            <w:tcW w:type="dxa" w:w="835"/>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74.370%</w:t>
            </w:r>
          </w:p>
        </w:tc>
        <w:tc>
          <w:tcPr>
            <w:tcW w:type="dxa" w:w="25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高于 P2 seed2</w:t>
            </w:r>
          </w:p>
        </w:tc>
      </w:tr>
      <w:tr>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6"/>
              </w:rPr>
              <w:t>P2 ACR</w:t>
            </w:r>
          </w:p>
        </w:tc>
        <w:tc>
          <w:tcPr>
            <w:tcW w:type="dxa" w:w="60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0</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74</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79.580%</w:t>
            </w:r>
          </w:p>
        </w:tc>
        <w:tc>
          <w:tcPr>
            <w:tcW w:type="dxa" w:w="112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47.854%</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80.426%</w:t>
            </w:r>
          </w:p>
        </w:tc>
        <w:tc>
          <w:tcPr>
            <w:tcW w:type="dxa" w:w="835"/>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72.223%</w:t>
            </w:r>
          </w:p>
        </w:tc>
        <w:tc>
          <w:tcPr>
            <w:tcW w:type="dxa" w:w="25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6"/>
              </w:rPr>
              <w:t>低于 P2 0.530 个百分点</w:t>
            </w:r>
          </w:p>
        </w:tc>
      </w:tr>
    </w:tbl>
    <w:p>
      <w:pPr>
        <w:spacing w:after="20"/>
      </w:pPr>
    </w:p>
    <w:p>
      <w:pPr>
        <w:spacing w:before="0" w:after="120" w:line="300" w:lineRule="auto"/>
      </w:pPr>
      <w:r>
        <w:rPr>
          <w:rFonts w:ascii="Microsoft YaHei" w:hAnsi="Microsoft YaHei" w:eastAsia="Microsoft YaHei"/>
          <w:b w:val="0"/>
          <w:i w:val="0"/>
          <w:color w:val="000000"/>
          <w:sz w:val="21"/>
        </w:rPr>
        <w:t>P2 三个 seed 的 mAP50-95 为 47.900% ± 0.422%。DCBR 只有两个 seed，配对平均变化约为 +0.122 个百分点且方向相反，尚不能证明稳定收益。ACR seed0 相比同 seed P2 下降 0.530 个百分点，超过预先设置的 0.300 个百分点筛查阈值。</w:t>
      </w:r>
    </w:p>
    <w:p>
      <w:pPr>
        <w:pStyle w:val="Heading1"/>
        <w:spacing w:before="200" w:after="100" w:line="264" w:lineRule="auto"/>
      </w:pPr>
      <w:r>
        <w:rPr>
          <w:rFonts w:ascii="Microsoft YaHei" w:hAnsi="Microsoft YaHei" w:eastAsia="Microsoft YaHei"/>
          <w:b/>
          <w:i w:val="0"/>
          <w:color w:val="000000"/>
          <w:sz w:val="30"/>
        </w:rPr>
        <w:t>数据集诊断</w:t>
      </w:r>
    </w:p>
    <w:p>
      <w:pPr>
        <w:pStyle w:val="Heading2"/>
        <w:spacing w:before="120" w:after="100" w:line="264" w:lineRule="auto"/>
      </w:pPr>
      <w:r>
        <w:rPr>
          <w:rFonts w:ascii="Microsoft YaHei" w:hAnsi="Microsoft YaHei" w:eastAsia="Microsoft YaHei"/>
          <w:b/>
          <w:i w:val="0"/>
          <w:color w:val="000000"/>
          <w:sz w:val="24"/>
        </w:rPr>
        <w:t>空图比例较高</w:t>
      </w:r>
    </w:p>
    <w:p>
      <w:pPr>
        <w:spacing w:before="0" w:after="120" w:line="300" w:lineRule="auto"/>
      </w:pPr>
      <w:r>
        <w:rPr>
          <w:rFonts w:ascii="Microsoft YaHei" w:hAnsi="Microsoft YaHei" w:eastAsia="Microsoft YaHei"/>
          <w:b w:val="0"/>
          <w:i w:val="0"/>
          <w:color w:val="000000"/>
          <w:sz w:val="21"/>
        </w:rPr>
        <w:t>D Fire 中约 45%–47% 图片没有目标框。空图有助于抑制误报，但会把训练目标推向背景保守策略，尤其会伤害低对比度烟雾和远距离小火焰的召回。</w:t>
      </w:r>
    </w:p>
    <w:tbl>
      <w:tblPr>
        <w:tblW w:type="dxa" w:w="9720"/>
        <w:jc w:val="center"/>
        <w:tblLayout w:type="fixed"/>
        <w:tblLook w:firstColumn="1" w:firstRow="1" w:lastColumn="0" w:lastRow="0" w:noHBand="0" w:noVBand="1" w:val="04A0"/>
        <w:tblInd w:w="110" w:type="dxa"/>
      </w:tblPr>
      <w:tblGrid>
        <w:gridCol w:w="1152"/>
        <w:gridCol w:w="1440"/>
        <w:gridCol w:w="1584"/>
        <w:gridCol w:w="1440"/>
        <w:gridCol w:w="4104"/>
      </w:tblGrid>
      <w:tr>
        <w:trPr>
          <w:tblHeader w:val="true"/>
        </w:trPr>
        <w:tc>
          <w:tcPr>
            <w:tcW w:type="dxa" w:w="115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Split</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图像数</w:t>
            </w:r>
          </w:p>
        </w:tc>
        <w:tc>
          <w:tcPr>
            <w:tcW w:type="dxa" w:w="158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空标签图</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空图比例</w:t>
            </w:r>
          </w:p>
        </w:tc>
        <w:tc>
          <w:tcPr>
            <w:tcW w:type="dxa" w:w="410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处理建议</w:t>
            </w:r>
          </w:p>
        </w:tc>
      </w:tr>
      <w:tr>
        <w:tc>
          <w:tcPr>
            <w:tcW w:type="dxa" w:w="11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train</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15485</w:t>
            </w:r>
          </w:p>
        </w:tc>
        <w:tc>
          <w:tcPr>
            <w:tcW w:type="dxa" w:w="158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7043</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45.5%</w:t>
            </w:r>
          </w:p>
        </w:tc>
        <w:tc>
          <w:tcPr>
            <w:tcW w:type="dxa" w:w="410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保留，但按来源和场景审查</w:t>
            </w:r>
          </w:p>
        </w:tc>
      </w:tr>
      <w:tr>
        <w:tc>
          <w:tcPr>
            <w:tcW w:type="dxa" w:w="115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val</w:t>
            </w:r>
          </w:p>
        </w:tc>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1722</w:t>
            </w:r>
          </w:p>
        </w:tc>
        <w:tc>
          <w:tcPr>
            <w:tcW w:type="dxa" w:w="1584"/>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790</w:t>
            </w:r>
          </w:p>
        </w:tc>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45.9%</w:t>
            </w:r>
          </w:p>
        </w:tc>
        <w:tc>
          <w:tcPr>
            <w:tcW w:type="dxa" w:w="4104"/>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固定版本并统计背景报警率</w:t>
            </w:r>
          </w:p>
        </w:tc>
      </w:tr>
      <w:tr>
        <w:tc>
          <w:tcPr>
            <w:tcW w:type="dxa" w:w="11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test</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4294</w:t>
            </w:r>
          </w:p>
        </w:tc>
        <w:tc>
          <w:tcPr>
            <w:tcW w:type="dxa" w:w="158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2005</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46.7%</w:t>
            </w:r>
          </w:p>
        </w:tc>
        <w:tc>
          <w:tcPr>
            <w:tcW w:type="dxa" w:w="410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冻结，不用于反复调参</w:t>
            </w:r>
          </w:p>
        </w:tc>
      </w:tr>
    </w:tbl>
    <w:p>
      <w:pPr>
        <w:spacing w:after="20"/>
      </w:pPr>
    </w:p>
    <w:p>
      <w:pPr>
        <w:pStyle w:val="Heading2"/>
        <w:spacing w:before="120" w:after="100" w:line="264" w:lineRule="auto"/>
      </w:pPr>
      <w:r>
        <w:rPr>
          <w:rFonts w:ascii="Microsoft YaHei" w:hAnsi="Microsoft YaHei" w:eastAsia="Microsoft YaHei"/>
          <w:b/>
          <w:i w:val="0"/>
          <w:color w:val="000000"/>
          <w:sz w:val="24"/>
        </w:rPr>
        <w:t>目标尺度不适合只用 640 输入</w:t>
      </w:r>
    </w:p>
    <w:p>
      <w:pPr>
        <w:spacing w:before="0" w:after="120" w:line="300" w:lineRule="auto"/>
      </w:pPr>
      <w:r>
        <w:rPr>
          <w:rFonts w:ascii="Microsoft YaHei" w:hAnsi="Microsoft YaHei" w:eastAsia="Microsoft YaHei"/>
          <w:b w:val="0"/>
          <w:i w:val="0"/>
          <w:color w:val="000000"/>
          <w:sz w:val="21"/>
        </w:rPr>
        <w:t>严格按原图框面积统计，火焰目标中约 31% 属于 COCO small；缩放到 640 后，约 23%–27% 的火焰目标短边小于 16 像素。验证集上 P2 的火焰 AP-small 只有 23.656%，而火焰 AP-large 为 57.528%，说明总体指标被小目标和定位误差显著拖低。</w:t>
      </w:r>
    </w:p>
    <w:tbl>
      <w:tblPr>
        <w:tblW w:type="dxa" w:w="9936"/>
        <w:jc w:val="center"/>
        <w:tblLayout w:type="fixed"/>
        <w:tblLook w:firstColumn="1" w:firstRow="1" w:lastColumn="0" w:lastRow="0" w:noHBand="0" w:noVBand="1" w:val="04A0"/>
        <w:tblInd w:w="110" w:type="dxa"/>
      </w:tblPr>
      <w:tblGrid>
        <w:gridCol w:w="1296"/>
        <w:gridCol w:w="1440"/>
        <w:gridCol w:w="1728"/>
        <w:gridCol w:w="2592"/>
        <w:gridCol w:w="2880"/>
      </w:tblGrid>
      <w:tr>
        <w:trPr>
          <w:tblHeader w:val="true"/>
        </w:trPr>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类别</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训练框数</w:t>
            </w:r>
          </w:p>
        </w:tc>
        <w:tc>
          <w:tcPr>
            <w:tcW w:type="dxa" w:w="172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small 比例</w:t>
            </w:r>
          </w:p>
        </w:tc>
        <w:tc>
          <w:tcPr>
            <w:tcW w:type="dxa" w:w="259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640 后短边小于 16 像素</w:t>
            </w:r>
          </w:p>
        </w:tc>
        <w:tc>
          <w:tcPr>
            <w:tcW w:type="dxa" w:w="288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含义</w:t>
            </w:r>
          </w:p>
        </w:tc>
      </w:tr>
      <w:tr>
        <w:tc>
          <w:tcPr>
            <w:tcW w:type="dxa" w:w="129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火焰</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10677</w:t>
            </w:r>
          </w:p>
        </w:tc>
        <w:tc>
          <w:tcPr>
            <w:tcW w:type="dxa" w:w="172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约 30.6%</w:t>
            </w:r>
          </w:p>
        </w:tc>
        <w:tc>
          <w:tcPr>
            <w:tcW w:type="dxa" w:w="25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约 25.5%</w:t>
            </w:r>
          </w:p>
        </w:tc>
        <w:tc>
          <w:tcPr>
            <w:tcW w:type="dxa" w:w="288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小目标和框定位是主要压力</w:t>
            </w:r>
          </w:p>
        </w:tc>
      </w:tr>
      <w:tr>
        <w:tc>
          <w:tcPr>
            <w:tcW w:type="dxa" w:w="1296"/>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烟雾</w:t>
            </w:r>
          </w:p>
        </w:tc>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8582</w:t>
            </w:r>
          </w:p>
        </w:tc>
        <w:tc>
          <w:tcPr>
            <w:tcW w:type="dxa" w:w="172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约 3.7%</w:t>
            </w:r>
          </w:p>
        </w:tc>
        <w:tc>
          <w:tcPr>
            <w:tcW w:type="dxa" w:w="25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约 4.4%</w:t>
            </w:r>
          </w:p>
        </w:tc>
        <w:tc>
          <w:tcPr>
            <w:tcW w:type="dxa" w:w="288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更多是弥散边界和低误报召回问题</w:t>
            </w:r>
          </w:p>
        </w:tc>
      </w:tr>
    </w:tbl>
    <w:p>
      <w:pPr>
        <w:spacing w:after="20"/>
      </w:pPr>
    </w:p>
    <w:p>
      <w:pPr>
        <w:pStyle w:val="Heading2"/>
        <w:spacing w:before="120" w:after="100" w:line="264" w:lineRule="auto"/>
      </w:pPr>
      <w:r>
        <w:rPr>
          <w:rFonts w:ascii="Microsoft YaHei" w:hAnsi="Microsoft YaHei" w:eastAsia="Microsoft YaHei"/>
          <w:b/>
          <w:i w:val="0"/>
          <w:color w:val="000000"/>
          <w:sz w:val="24"/>
        </w:rPr>
        <w:t>数据来源之间存在明显差异</w:t>
      </w:r>
    </w:p>
    <w:p>
      <w:pPr>
        <w:spacing w:before="0" w:after="120" w:line="300" w:lineRule="auto"/>
      </w:pPr>
      <w:r>
        <w:rPr>
          <w:rFonts w:ascii="Microsoft YaHei" w:hAnsi="Microsoft YaHei" w:eastAsia="Microsoft YaHei"/>
          <w:b w:val="0"/>
          <w:i w:val="0"/>
          <w:color w:val="000000"/>
          <w:sz w:val="21"/>
        </w:rPr>
        <w:t>训练数据由 AoF、WEB 和 PublicDataset 等来源组成。不同来源的空图比例和目标密度不同，随机切分会让模型同时学习来源风格，导致结果对场景和 seed 敏感。</w:t>
      </w:r>
    </w:p>
    <w:tbl>
      <w:tblPr>
        <w:tblW w:type="dxa" w:w="9720"/>
        <w:jc w:val="center"/>
        <w:tblLayout w:type="fixed"/>
        <w:tblLook w:firstColumn="1" w:firstRow="1" w:lastColumn="0" w:lastRow="0" w:noHBand="0" w:noVBand="1" w:val="04A0"/>
        <w:tblInd w:w="110" w:type="dxa"/>
      </w:tblPr>
      <w:tblGrid>
        <w:gridCol w:w="2232"/>
        <w:gridCol w:w="1800"/>
        <w:gridCol w:w="1656"/>
        <w:gridCol w:w="1944"/>
        <w:gridCol w:w="2088"/>
      </w:tblGrid>
      <w:tr>
        <w:trPr>
          <w:tblHeader w:val="true"/>
        </w:trPr>
        <w:tc>
          <w:tcPr>
            <w:tcW w:type="dxa" w:w="223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来源</w:t>
            </w:r>
          </w:p>
        </w:tc>
        <w:tc>
          <w:tcPr>
            <w:tcW w:type="dxa" w:w="180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训练图像</w:t>
            </w:r>
          </w:p>
        </w:tc>
        <w:tc>
          <w:tcPr>
            <w:tcW w:type="dxa" w:w="165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空图</w:t>
            </w:r>
          </w:p>
        </w:tc>
        <w:tc>
          <w:tcPr>
            <w:tcW w:type="dxa" w:w="194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有目标图</w:t>
            </w:r>
          </w:p>
        </w:tc>
        <w:tc>
          <w:tcPr>
            <w:tcW w:type="dxa" w:w="208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空图比例</w:t>
            </w:r>
          </w:p>
        </w:tc>
      </w:tr>
      <w:tr>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AoF</w:t>
            </w:r>
          </w:p>
        </w:tc>
        <w:tc>
          <w:tcPr>
            <w:tcW w:type="dxa" w:w="180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6031</w:t>
            </w:r>
          </w:p>
        </w:tc>
        <w:tc>
          <w:tcPr>
            <w:tcW w:type="dxa" w:w="165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3604</w:t>
            </w:r>
          </w:p>
        </w:tc>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2427</w:t>
            </w:r>
          </w:p>
        </w:tc>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59.8%</w:t>
            </w:r>
          </w:p>
        </w:tc>
      </w:tr>
      <w:tr>
        <w:tc>
          <w:tcPr>
            <w:tcW w:type="dxa" w:w="223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WEB</w:t>
            </w:r>
          </w:p>
        </w:tc>
        <w:tc>
          <w:tcPr>
            <w:tcW w:type="dxa" w:w="180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8490</w:t>
            </w:r>
          </w:p>
        </w:tc>
        <w:tc>
          <w:tcPr>
            <w:tcW w:type="dxa" w:w="1656"/>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3318</w:t>
            </w:r>
          </w:p>
        </w:tc>
        <w:tc>
          <w:tcPr>
            <w:tcW w:type="dxa" w:w="1944"/>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5172</w:t>
            </w:r>
          </w:p>
        </w:tc>
        <w:tc>
          <w:tcPr>
            <w:tcW w:type="dxa" w:w="208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39.1%</w:t>
            </w:r>
          </w:p>
        </w:tc>
      </w:tr>
      <w:tr>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PublicDataset</w:t>
            </w:r>
          </w:p>
        </w:tc>
        <w:tc>
          <w:tcPr>
            <w:tcW w:type="dxa" w:w="180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964</w:t>
            </w:r>
          </w:p>
        </w:tc>
        <w:tc>
          <w:tcPr>
            <w:tcW w:type="dxa" w:w="165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121</w:t>
            </w:r>
          </w:p>
        </w:tc>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843</w:t>
            </w:r>
          </w:p>
        </w:tc>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12.6%</w:t>
            </w:r>
          </w:p>
        </w:tc>
      </w:tr>
    </w:tbl>
    <w:p>
      <w:pPr>
        <w:spacing w:after="20"/>
      </w:pPr>
    </w:p>
    <w:p>
      <w:pPr>
        <w:pStyle w:val="Heading2"/>
        <w:spacing w:before="120" w:after="100" w:line="264" w:lineRule="auto"/>
      </w:pPr>
      <w:r>
        <w:rPr>
          <w:rFonts w:ascii="Microsoft YaHei" w:hAnsi="Microsoft YaHei" w:eastAsia="Microsoft YaHei"/>
          <w:b/>
          <w:i w:val="0"/>
          <w:color w:val="000000"/>
          <w:sz w:val="24"/>
        </w:rPr>
        <w:t>标注质量需要复核</w:t>
      </w:r>
    </w:p>
    <w:p>
      <w:pPr>
        <w:spacing w:before="0" w:after="120" w:line="300" w:lineRule="auto"/>
      </w:pPr>
      <w:r>
        <w:rPr>
          <w:rFonts w:ascii="Microsoft YaHei" w:hAnsi="Microsoft YaHei" w:eastAsia="Microsoft YaHei"/>
          <w:b w:val="0"/>
          <w:i w:val="0"/>
          <w:color w:val="000000"/>
          <w:sz w:val="21"/>
        </w:rPr>
        <w:t>数据准备记录显示，train 有 14 个、test 有 12 个图像因非法框被排除。对原始标签做严格扫描时，还发现 train、val、test 分别约有 292、25、62 个框越过图像边界。越界框、零面积框以及整体烟雾框与局部烟雾框粒度不一致，都会直接影响 mAP50-95 和 AP75。</w:t>
      </w:r>
    </w:p>
    <w:p>
      <w:pPr>
        <w:spacing w:before="0" w:after="120" w:line="300" w:lineRule="auto"/>
      </w:pPr>
      <w:r>
        <w:rPr>
          <w:rFonts w:ascii="Microsoft YaHei" w:hAnsi="Microsoft YaHei" w:eastAsia="Microsoft YaHei"/>
          <w:b w:val="0"/>
          <w:i w:val="0"/>
          <w:color w:val="000000"/>
          <w:sz w:val="21"/>
        </w:rPr>
        <w:t>这些问题不代表所有异常框都一定是错误标注，但必须建立统一的裁剪、重标或排除规则，并重新生成版本化的数据清单。</w:t>
      </w:r>
    </w:p>
    <w:p>
      <w:pPr>
        <w:pStyle w:val="Heading2"/>
        <w:spacing w:before="120" w:after="100" w:line="264" w:lineRule="auto"/>
      </w:pPr>
      <w:r>
        <w:rPr>
          <w:rFonts w:ascii="Microsoft YaHei" w:hAnsi="Microsoft YaHei" w:eastAsia="Microsoft YaHei"/>
          <w:b/>
          <w:i w:val="0"/>
          <w:color w:val="000000"/>
          <w:sz w:val="24"/>
        </w:rPr>
        <w:t>跨 split 近重复风险</w:t>
      </w:r>
    </w:p>
    <w:p>
      <w:pPr>
        <w:spacing w:before="0" w:after="120" w:line="300" w:lineRule="auto"/>
      </w:pPr>
      <w:r>
        <w:rPr>
          <w:rFonts w:ascii="Microsoft YaHei" w:hAnsi="Microsoft YaHei" w:eastAsia="Microsoft YaHei"/>
          <w:b w:val="0"/>
          <w:i w:val="0"/>
          <w:color w:val="000000"/>
          <w:sz w:val="21"/>
        </w:rPr>
        <w:t>按 AoF、WEB 和 PublicDataset 的相邻编号检查，发现 3057 对相邻编号图片跨越了 train、val 或 test。进一步检查得到 743 对 dHash 距离不超过 2，其中 101 对解码后的平均像素差小于 1，585 对平均像素差小于 5；没有发现字节级完全相同的图片。</w:t>
      </w:r>
    </w:p>
    <w:p>
      <w:pPr>
        <w:spacing w:before="0" w:after="120" w:line="300" w:lineRule="auto"/>
      </w:pPr>
      <w:r>
        <w:rPr>
          <w:rFonts w:ascii="Microsoft YaHei" w:hAnsi="Microsoft YaHei" w:eastAsia="Microsoft YaHei"/>
          <w:b w:val="0"/>
          <w:i w:val="0"/>
          <w:color w:val="000000"/>
          <w:sz w:val="21"/>
        </w:rPr>
        <w:t>这不是重复泄漏的最终证明，但已经足以作为强近重复候选。相邻视频帧或同一场景图片跨 split 会让验证结果偏乐观，也会使随机 split 的 seed 比较失去场景独立性。当前 metadata 还记录 image_content_hashed=false，说明原流程没有完成严格内容级去重。</w:t>
      </w:r>
    </w:p>
    <w:p>
      <w:pPr>
        <w:pStyle w:val="Heading1"/>
        <w:spacing w:before="200" w:after="100" w:line="264" w:lineRule="auto"/>
      </w:pPr>
      <w:r>
        <w:rPr>
          <w:rFonts w:ascii="Microsoft YaHei" w:hAnsi="Microsoft YaHei" w:eastAsia="Microsoft YaHei"/>
          <w:b/>
          <w:i w:val="0"/>
          <w:color w:val="000000"/>
          <w:sz w:val="30"/>
        </w:rPr>
        <w:t>模型错误诊断</w:t>
      </w:r>
    </w:p>
    <w:p>
      <w:pPr>
        <w:pStyle w:val="Heading2"/>
        <w:spacing w:before="120" w:after="100" w:line="264" w:lineRule="auto"/>
      </w:pPr>
      <w:r>
        <w:rPr>
          <w:rFonts w:ascii="Microsoft YaHei" w:hAnsi="Microsoft YaHei" w:eastAsia="Microsoft YaHei"/>
          <w:b/>
          <w:i w:val="0"/>
          <w:color w:val="000000"/>
          <w:sz w:val="24"/>
        </w:rPr>
        <w:t>主要错误来自定位和背景而不是类别混淆</w:t>
      </w:r>
    </w:p>
    <w:tbl>
      <w:tblPr>
        <w:tblW w:type="dxa" w:w="9490"/>
        <w:jc w:val="center"/>
        <w:tblLayout w:type="fixed"/>
        <w:tblLook w:firstColumn="1" w:firstRow="1" w:lastColumn="0" w:lastRow="0" w:noHBand="0" w:noVBand="1" w:val="04A0"/>
        <w:tblInd w:w="110" w:type="dxa"/>
      </w:tblPr>
      <w:tblGrid>
        <w:gridCol w:w="1440"/>
        <w:gridCol w:w="893"/>
        <w:gridCol w:w="893"/>
        <w:gridCol w:w="1296"/>
        <w:gridCol w:w="1152"/>
        <w:gridCol w:w="2232"/>
        <w:gridCol w:w="1584"/>
      </w:tblGrid>
      <w:tr>
        <w:trPr>
          <w:tblHeader w:val="true"/>
        </w:trPr>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模型</w:t>
            </w:r>
          </w:p>
        </w:tc>
        <w:tc>
          <w:tcPr>
            <w:tcW w:type="dxa" w:w="893"/>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TP</w:t>
            </w:r>
          </w:p>
        </w:tc>
        <w:tc>
          <w:tcPr>
            <w:tcW w:type="dxa" w:w="893"/>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FN</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定位 FP</w:t>
            </w:r>
          </w:p>
        </w:tc>
        <w:tc>
          <w:tcPr>
            <w:tcW w:type="dxa" w:w="115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重复 FP</w:t>
            </w:r>
          </w:p>
        </w:tc>
        <w:tc>
          <w:tcPr>
            <w:tcW w:type="dxa" w:w="223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低重叠背景 FP</w:t>
            </w:r>
          </w:p>
        </w:tc>
        <w:tc>
          <w:tcPr>
            <w:tcW w:type="dxa" w:w="158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空图报警</w:t>
            </w:r>
          </w:p>
        </w:tc>
      </w:tr>
      <w:tr>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P2 seed0</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1588</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503</w:t>
            </w:r>
          </w:p>
        </w:tc>
        <w:tc>
          <w:tcPr>
            <w:tcW w:type="dxa" w:w="129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280</w:t>
            </w:r>
          </w:p>
        </w:tc>
        <w:tc>
          <w:tcPr>
            <w:tcW w:type="dxa" w:w="11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86</w:t>
            </w:r>
          </w:p>
        </w:tc>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186</w:t>
            </w:r>
          </w:p>
        </w:tc>
        <w:tc>
          <w:tcPr>
            <w:tcW w:type="dxa" w:w="158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8 / 790</w:t>
            </w:r>
          </w:p>
        </w:tc>
      </w:tr>
      <w:tr>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DCBR seed0</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1590</w:t>
            </w:r>
          </w:p>
        </w:tc>
        <w:tc>
          <w:tcPr>
            <w:tcW w:type="dxa" w:w="893"/>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501</w:t>
            </w:r>
          </w:p>
        </w:tc>
        <w:tc>
          <w:tcPr>
            <w:tcW w:type="dxa" w:w="1296"/>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311</w:t>
            </w:r>
          </w:p>
        </w:tc>
        <w:tc>
          <w:tcPr>
            <w:tcW w:type="dxa" w:w="115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99</w:t>
            </w:r>
          </w:p>
        </w:tc>
        <w:tc>
          <w:tcPr>
            <w:tcW w:type="dxa" w:w="223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190</w:t>
            </w:r>
          </w:p>
        </w:tc>
        <w:tc>
          <w:tcPr>
            <w:tcW w:type="dxa" w:w="1584"/>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12 / 790</w:t>
            </w:r>
          </w:p>
        </w:tc>
      </w:tr>
      <w:tr>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ACR seed0</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1581</w:t>
            </w:r>
          </w:p>
        </w:tc>
        <w:tc>
          <w:tcPr>
            <w:tcW w:type="dxa" w:w="893"/>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510</w:t>
            </w:r>
          </w:p>
        </w:tc>
        <w:tc>
          <w:tcPr>
            <w:tcW w:type="dxa" w:w="129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312</w:t>
            </w:r>
          </w:p>
        </w:tc>
        <w:tc>
          <w:tcPr>
            <w:tcW w:type="dxa" w:w="11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101</w:t>
            </w:r>
          </w:p>
        </w:tc>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201</w:t>
            </w:r>
          </w:p>
        </w:tc>
        <w:tc>
          <w:tcPr>
            <w:tcW w:type="dxa" w:w="158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15 / 790</w:t>
            </w:r>
          </w:p>
        </w:tc>
      </w:tr>
    </w:tbl>
    <w:p>
      <w:pPr>
        <w:spacing w:after="20"/>
      </w:pPr>
    </w:p>
    <w:p>
      <w:pPr>
        <w:spacing w:before="0" w:after="120" w:line="300" w:lineRule="auto"/>
      </w:pPr>
      <w:r>
        <w:rPr>
          <w:rFonts w:ascii="Microsoft YaHei" w:hAnsi="Microsoft YaHei" w:eastAsia="Microsoft YaHei"/>
          <w:b w:val="0"/>
          <w:i w:val="0"/>
          <w:color w:val="000000"/>
          <w:sz w:val="21"/>
        </w:rPr>
        <w:t>类别混淆误报数量很少，而定位误报、重复框和低重叠背景误报更突出。DCBR 和 ACR 在该固定验证工作点上没有降低背景错误，反而比 P2 产生更多空图报警。</w:t>
      </w:r>
    </w:p>
    <w:p>
      <w:pPr>
        <w:pStyle w:val="Heading2"/>
        <w:spacing w:before="120" w:after="100" w:line="264" w:lineRule="auto"/>
      </w:pPr>
      <w:r>
        <w:rPr>
          <w:rFonts w:ascii="Microsoft YaHei" w:hAnsi="Microsoft YaHei" w:eastAsia="Microsoft YaHei"/>
          <w:b/>
          <w:i w:val="0"/>
          <w:color w:val="000000"/>
          <w:sz w:val="24"/>
        </w:rPr>
        <w:t>低误报工作点下烟雾召回下降</w:t>
      </w:r>
    </w:p>
    <w:p>
      <w:pPr>
        <w:spacing w:before="0" w:after="120" w:line="300" w:lineRule="auto"/>
      </w:pPr>
      <w:r>
        <w:rPr>
          <w:rFonts w:ascii="Microsoft YaHei" w:hAnsi="Microsoft YaHei" w:eastAsia="Microsoft YaHei"/>
          <w:b w:val="0"/>
          <w:i w:val="0"/>
          <w:color w:val="000000"/>
          <w:sz w:val="21"/>
        </w:rPr>
        <w:t>在每类负图经验 FPR 不超过 1% 的验证集工作点下，P2 的 smoke 图像召回为 70.225%，DCBR 为 62.752%，ACR 为 66.667%。这说明模块带来的精度上升不能直接转化为低误报条件下的烟雾预警能力。阈值校准只能改变工作点，不能凭空提高完整检测 AP。</w:t>
      </w:r>
    </w:p>
    <w:tbl>
      <w:tblPr>
        <w:tblW w:type="dxa" w:w="9720"/>
        <w:jc w:val="center"/>
        <w:tblLayout w:type="fixed"/>
        <w:tblLook w:firstColumn="1" w:firstRow="1" w:lastColumn="0" w:lastRow="0" w:noHBand="0" w:noVBand="1" w:val="04A0"/>
        <w:tblInd w:w="110" w:type="dxa"/>
      </w:tblPr>
      <w:tblGrid>
        <w:gridCol w:w="1800"/>
        <w:gridCol w:w="2016"/>
        <w:gridCol w:w="2088"/>
        <w:gridCol w:w="3816"/>
      </w:tblGrid>
      <w:tr>
        <w:trPr>
          <w:tblHeader w:val="true"/>
        </w:trPr>
        <w:tc>
          <w:tcPr>
            <w:tcW w:type="dxa" w:w="180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模型</w:t>
            </w:r>
          </w:p>
        </w:tc>
        <w:tc>
          <w:tcPr>
            <w:tcW w:type="dxa" w:w="201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fire 图像召回</w:t>
            </w:r>
          </w:p>
        </w:tc>
        <w:tc>
          <w:tcPr>
            <w:tcW w:type="dxa" w:w="208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smoke 图像召回</w:t>
            </w:r>
          </w:p>
        </w:tc>
        <w:tc>
          <w:tcPr>
            <w:tcW w:type="dxa" w:w="381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8"/>
              </w:rPr>
              <w:t>判断</w:t>
            </w:r>
          </w:p>
        </w:tc>
      </w:tr>
      <w:tr>
        <w:tc>
          <w:tcPr>
            <w:tcW w:type="dxa" w:w="180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P2</w:t>
            </w:r>
          </w:p>
        </w:tc>
        <w:tc>
          <w:tcPr>
            <w:tcW w:type="dxa" w:w="201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95.662%</w:t>
            </w:r>
          </w:p>
        </w:tc>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70.225%</w:t>
            </w:r>
          </w:p>
        </w:tc>
        <w:tc>
          <w:tcPr>
            <w:tcW w:type="dxa" w:w="381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当前较均衡</w:t>
            </w:r>
          </w:p>
        </w:tc>
      </w:tr>
      <w:tr>
        <w:tc>
          <w:tcPr>
            <w:tcW w:type="dxa" w:w="180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DCBR</w:t>
            </w:r>
          </w:p>
        </w:tc>
        <w:tc>
          <w:tcPr>
            <w:tcW w:type="dxa" w:w="2016"/>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96.095%</w:t>
            </w:r>
          </w:p>
        </w:tc>
        <w:tc>
          <w:tcPr>
            <w:tcW w:type="dxa" w:w="208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62.752%</w:t>
            </w:r>
          </w:p>
        </w:tc>
        <w:tc>
          <w:tcPr>
            <w:tcW w:type="dxa" w:w="3816"/>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烟雾召回明显下降</w:t>
            </w:r>
          </w:p>
        </w:tc>
      </w:tr>
      <w:tr>
        <w:tc>
          <w:tcPr>
            <w:tcW w:type="dxa" w:w="180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8"/>
              </w:rPr>
              <w:t>ACR</w:t>
            </w:r>
          </w:p>
        </w:tc>
        <w:tc>
          <w:tcPr>
            <w:tcW w:type="dxa" w:w="201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93.926%</w:t>
            </w:r>
          </w:p>
        </w:tc>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66.667%</w:t>
            </w:r>
          </w:p>
        </w:tc>
        <w:tc>
          <w:tcPr>
            <w:tcW w:type="dxa" w:w="381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8"/>
              </w:rPr>
              <w:t>两类均未优于 P2</w:t>
            </w:r>
          </w:p>
        </w:tc>
      </w:tr>
    </w:tbl>
    <w:p>
      <w:pPr>
        <w:spacing w:after="20"/>
      </w:pPr>
    </w:p>
    <w:p>
      <w:pPr>
        <w:pStyle w:val="Heading2"/>
        <w:spacing w:before="120" w:after="100" w:line="264" w:lineRule="auto"/>
      </w:pPr>
      <w:r>
        <w:rPr>
          <w:rFonts w:ascii="Microsoft YaHei" w:hAnsi="Microsoft YaHei" w:eastAsia="Microsoft YaHei"/>
          <w:b/>
          <w:i w:val="0"/>
          <w:color w:val="000000"/>
          <w:sz w:val="24"/>
        </w:rPr>
        <w:t>模块没有解决主要失败模式</w:t>
      </w:r>
    </w:p>
    <w:p>
      <w:pPr>
        <w:spacing w:before="0" w:after="120" w:line="300" w:lineRule="auto"/>
      </w:pPr>
      <w:r>
        <w:rPr>
          <w:rFonts w:ascii="Microsoft YaHei" w:hAnsi="Microsoft YaHei" w:eastAsia="Microsoft YaHei"/>
          <w:b w:val="0"/>
          <w:i w:val="0"/>
          <w:color w:val="000000"/>
          <w:sz w:val="21"/>
        </w:rPr>
        <w:t>DCBR seed0 在小火焰 AP 上有约 1.226 个百分点的局部收益，但中大火焰和严格定位指标下降，因此不是整体突破。ACR 的已训练权重中，上下文细节残差分支对推理 AP 的影响约为 0.001 个百分点，说明该分支在当前训练中几乎没有产生有效贡献。</w:t>
      </w:r>
    </w:p>
    <w:p>
      <w:pPr>
        <w:spacing w:before="0" w:after="120" w:line="300" w:lineRule="auto"/>
      </w:pPr>
      <w:r>
        <w:rPr>
          <w:rFonts w:ascii="Microsoft YaHei" w:hAnsi="Microsoft YaHei" w:eastAsia="Microsoft YaHei"/>
          <w:b w:val="0"/>
          <w:i w:val="0"/>
          <w:color w:val="000000"/>
          <w:sz w:val="21"/>
        </w:rPr>
        <w:t>因此当前不应继续通过增加模块数量来掩盖数据和任务定义问题。应先解释整体框、局部框、重复框和置信度排序错误。</w:t>
      </w:r>
    </w:p>
    <w:p>
      <w:pPr>
        <w:pStyle w:val="Heading1"/>
        <w:spacing w:before="200" w:after="100" w:line="264" w:lineRule="auto"/>
      </w:pPr>
      <w:r>
        <w:rPr>
          <w:rFonts w:ascii="Microsoft YaHei" w:hAnsi="Microsoft YaHei" w:eastAsia="Microsoft YaHei"/>
          <w:b/>
          <w:i w:val="0"/>
          <w:color w:val="000000"/>
          <w:sz w:val="30"/>
        </w:rPr>
        <w:t>根因判断</w:t>
      </w:r>
    </w:p>
    <w:tbl>
      <w:tblPr>
        <w:tblW w:type="dxa" w:w="9720"/>
        <w:jc w:val="center"/>
        <w:tblLayout w:type="fixed"/>
        <w:tblLook w:firstColumn="1" w:firstRow="1" w:lastColumn="0" w:lastRow="0" w:noHBand="0" w:noVBand="1" w:val="04A0"/>
        <w:tblInd w:w="110" w:type="dxa"/>
      </w:tblPr>
      <w:tblGrid>
        <w:gridCol w:w="2232"/>
        <w:gridCol w:w="1440"/>
        <w:gridCol w:w="2880"/>
        <w:gridCol w:w="3168"/>
      </w:tblGrid>
      <w:tr>
        <w:trPr>
          <w:tblHeader w:val="true"/>
        </w:trPr>
        <w:tc>
          <w:tcPr>
            <w:tcW w:type="dxa" w:w="223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问题</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证据强度</w:t>
            </w:r>
          </w:p>
        </w:tc>
        <w:tc>
          <w:tcPr>
            <w:tcW w:type="dxa" w:w="288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对结果的影响</w:t>
            </w:r>
          </w:p>
        </w:tc>
        <w:tc>
          <w:tcPr>
            <w:tcW w:type="dxa" w:w="31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当前判断</w:t>
            </w:r>
          </w:p>
        </w:tc>
      </w:tr>
      <w:tr>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小火焰尺寸过小</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强</w:t>
            </w:r>
          </w:p>
        </w:tc>
        <w:tc>
          <w:tcPr>
            <w:tcW w:type="dxa" w:w="288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AP-small 和 AP75 显著低</w:t>
            </w:r>
          </w:p>
        </w:tc>
        <w:tc>
          <w:tcPr>
            <w:tcW w:type="dxa" w:w="316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主要根因之一</w:t>
            </w:r>
          </w:p>
        </w:tc>
      </w:tr>
      <w:tr>
        <w:tc>
          <w:tcPr>
            <w:tcW w:type="dxa" w:w="223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空图比例高</w:t>
            </w:r>
          </w:p>
        </w:tc>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强</w:t>
            </w:r>
          </w:p>
        </w:tc>
        <w:tc>
          <w:tcPr>
            <w:tcW w:type="dxa" w:w="288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背景抑制与烟雾召回冲突</w:t>
            </w:r>
          </w:p>
        </w:tc>
        <w:tc>
          <w:tcPr>
            <w:tcW w:type="dxa" w:w="316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重要训练张力</w:t>
            </w:r>
          </w:p>
        </w:tc>
      </w:tr>
      <w:tr>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跨 split 近重复</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中到强</w:t>
            </w:r>
          </w:p>
        </w:tc>
        <w:tc>
          <w:tcPr>
            <w:tcW w:type="dxa" w:w="288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验证独立性不足</w:t>
            </w:r>
          </w:p>
        </w:tc>
        <w:tc>
          <w:tcPr>
            <w:tcW w:type="dxa" w:w="316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必须修正协议</w:t>
            </w:r>
          </w:p>
        </w:tc>
      </w:tr>
      <w:tr>
        <w:tc>
          <w:tcPr>
            <w:tcW w:type="dxa" w:w="223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越界或异常标注</w:t>
            </w:r>
          </w:p>
        </w:tc>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中</w:t>
            </w:r>
          </w:p>
        </w:tc>
        <w:tc>
          <w:tcPr>
            <w:tcW w:type="dxa" w:w="288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损害定位指标</w:t>
            </w:r>
          </w:p>
        </w:tc>
        <w:tc>
          <w:tcPr>
            <w:tcW w:type="dxa" w:w="316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需要版本化清洗</w:t>
            </w:r>
          </w:p>
        </w:tc>
      </w:tr>
      <w:tr>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来源风格差异</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中到强</w:t>
            </w:r>
          </w:p>
        </w:tc>
        <w:tc>
          <w:tcPr>
            <w:tcW w:type="dxa" w:w="288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seed 和场景敏感</w:t>
            </w:r>
          </w:p>
        </w:tc>
        <w:tc>
          <w:tcPr>
            <w:tcW w:type="dxa" w:w="316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需要分组划分</w:t>
            </w:r>
          </w:p>
        </w:tc>
      </w:tr>
      <w:tr>
        <w:tc>
          <w:tcPr>
            <w:tcW w:type="dxa" w:w="223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模型结构不够复杂</w:t>
            </w:r>
          </w:p>
        </w:tc>
        <w:tc>
          <w:tcPr>
            <w:tcW w:type="dxa" w:w="14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弱到中</w:t>
            </w:r>
          </w:p>
        </w:tc>
        <w:tc>
          <w:tcPr>
            <w:tcW w:type="dxa" w:w="288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当前证据不支持</w:t>
            </w:r>
          </w:p>
        </w:tc>
        <w:tc>
          <w:tcPr>
            <w:tcW w:type="dxa" w:w="316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暂不优先</w:t>
            </w:r>
          </w:p>
        </w:tc>
      </w:tr>
      <w:tr>
        <w:tc>
          <w:tcPr>
            <w:tcW w:type="dxa" w:w="223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类别映射完全错误</w:t>
            </w:r>
          </w:p>
        </w:tc>
        <w:tc>
          <w:tcPr>
            <w:tcW w:type="dxa" w:w="14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弱</w:t>
            </w:r>
          </w:p>
        </w:tc>
        <w:tc>
          <w:tcPr>
            <w:tcW w:type="dxa" w:w="288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当前证据不支持</w:t>
            </w:r>
          </w:p>
        </w:tc>
        <w:tc>
          <w:tcPr>
            <w:tcW w:type="dxa" w:w="316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暂未发现</w:t>
            </w:r>
          </w:p>
        </w:tc>
      </w:tr>
    </w:tbl>
    <w:p>
      <w:pPr>
        <w:spacing w:after="20"/>
      </w:pPr>
    </w:p>
    <w:p>
      <w:pPr>
        <w:pStyle w:val="Heading1"/>
        <w:spacing w:before="200" w:after="100" w:line="264" w:lineRule="auto"/>
      </w:pPr>
      <w:r>
        <w:rPr>
          <w:rFonts w:ascii="Microsoft YaHei" w:hAnsi="Microsoft YaHei" w:eastAsia="Microsoft YaHei"/>
          <w:b/>
          <w:i w:val="0"/>
          <w:color w:val="000000"/>
          <w:sz w:val="30"/>
        </w:rPr>
        <w:t>下一步工作计划</w:t>
      </w:r>
    </w:p>
    <w:p>
      <w:pPr>
        <w:pStyle w:val="Heading2"/>
        <w:spacing w:before="120" w:after="100" w:line="264" w:lineRule="auto"/>
      </w:pPr>
      <w:r>
        <w:rPr>
          <w:rFonts w:ascii="Microsoft YaHei" w:hAnsi="Microsoft YaHei" w:eastAsia="Microsoft YaHei"/>
          <w:b/>
          <w:i w:val="0"/>
          <w:color w:val="000000"/>
          <w:sz w:val="24"/>
        </w:rPr>
        <w:t>第一阶段 数据和划分审计</w:t>
      </w:r>
    </w:p>
    <w:p>
      <w:pPr>
        <w:pStyle w:val="ListBullet"/>
        <w:spacing w:before="0" w:after="60" w:line="283" w:lineRule="auto"/>
        <w:ind w:left="369" w:hanging="170"/>
      </w:pPr>
      <w:r>
        <w:rPr>
          <w:rFonts w:ascii="Microsoft YaHei" w:hAnsi="Microsoft YaHei" w:eastAsia="Microsoft YaHei"/>
          <w:b w:val="0"/>
          <w:i w:val="0"/>
          <w:color w:val="000000"/>
          <w:sz w:val="21"/>
        </w:rPr>
        <w:t>保留当前所有权重和结果，不覆盖现有实验目录。</w:t>
      </w:r>
    </w:p>
    <w:p>
      <w:pPr>
        <w:pStyle w:val="ListBullet"/>
        <w:spacing w:before="0" w:after="60" w:line="283" w:lineRule="auto"/>
        <w:ind w:left="369" w:hanging="170"/>
      </w:pPr>
      <w:r>
        <w:rPr>
          <w:rFonts w:ascii="Microsoft YaHei" w:hAnsi="Microsoft YaHei" w:eastAsia="Microsoft YaHei"/>
          <w:b w:val="0"/>
          <w:i w:val="0"/>
          <w:color w:val="000000"/>
          <w:sz w:val="21"/>
        </w:rPr>
        <w:t>对 743 对强近重复候选进行人工确认，并建立场景、视频或来源组 ID。</w:t>
      </w:r>
    </w:p>
    <w:p>
      <w:pPr>
        <w:pStyle w:val="ListBullet"/>
        <w:spacing w:before="0" w:after="60" w:line="283" w:lineRule="auto"/>
        <w:ind w:left="369" w:hanging="170"/>
      </w:pPr>
      <w:r>
        <w:rPr>
          <w:rFonts w:ascii="Microsoft YaHei" w:hAnsi="Microsoft YaHei" w:eastAsia="Microsoft YaHei"/>
          <w:b w:val="0"/>
          <w:i w:val="0"/>
          <w:color w:val="000000"/>
          <w:sz w:val="21"/>
        </w:rPr>
        <w:t>按场景或视频分组重新划分 train、val、test，禁止同一序列跨 split。</w:t>
      </w:r>
    </w:p>
    <w:p>
      <w:pPr>
        <w:pStyle w:val="ListBullet"/>
        <w:spacing w:before="0" w:after="60" w:line="283" w:lineRule="auto"/>
        <w:ind w:left="369" w:hanging="170"/>
      </w:pPr>
      <w:r>
        <w:rPr>
          <w:rFonts w:ascii="Microsoft YaHei" w:hAnsi="Microsoft YaHei" w:eastAsia="Microsoft YaHei"/>
          <w:b w:val="0"/>
          <w:i w:val="0"/>
          <w:color w:val="000000"/>
          <w:sz w:val="21"/>
        </w:rPr>
        <w:t>逐一审查越界框、零面积框、局部框和整体框，明确统一标注规则。</w:t>
      </w:r>
    </w:p>
    <w:p>
      <w:pPr>
        <w:pStyle w:val="ListBullet"/>
        <w:spacing w:before="0" w:after="60" w:line="283" w:lineRule="auto"/>
        <w:ind w:left="369" w:hanging="170"/>
      </w:pPr>
      <w:r>
        <w:rPr>
          <w:rFonts w:ascii="Microsoft YaHei" w:hAnsi="Microsoft YaHei" w:eastAsia="Microsoft YaHei"/>
          <w:b w:val="0"/>
          <w:i w:val="0"/>
          <w:color w:val="000000"/>
          <w:sz w:val="21"/>
        </w:rPr>
        <w:t>固定新的 manifest、排除清单和 SHA256，形成新的数据版本。</w:t>
      </w:r>
    </w:p>
    <w:p>
      <w:pPr>
        <w:pStyle w:val="Heading2"/>
        <w:spacing w:before="120" w:after="100" w:line="264" w:lineRule="auto"/>
      </w:pPr>
      <w:r>
        <w:rPr>
          <w:rFonts w:ascii="Microsoft YaHei" w:hAnsi="Microsoft YaHei" w:eastAsia="Microsoft YaHei"/>
          <w:b/>
          <w:i w:val="0"/>
          <w:color w:val="000000"/>
          <w:sz w:val="24"/>
        </w:rPr>
        <w:t>第二阶段 建立可归因的基线</w:t>
      </w:r>
    </w:p>
    <w:p>
      <w:pPr>
        <w:pStyle w:val="ListBullet"/>
        <w:spacing w:before="0" w:after="60" w:line="283" w:lineRule="auto"/>
        <w:ind w:left="369" w:hanging="170"/>
      </w:pPr>
      <w:r>
        <w:rPr>
          <w:rFonts w:ascii="Microsoft YaHei" w:hAnsi="Microsoft YaHei" w:eastAsia="Microsoft YaHei"/>
          <w:b w:val="0"/>
          <w:i w:val="0"/>
          <w:color w:val="000000"/>
          <w:sz w:val="21"/>
        </w:rPr>
        <w:t>在清洗后的数据上用相同 seed、初始化、优化器、AMP 和训练预算重训 baseline 与 P2。</w:t>
      </w:r>
    </w:p>
    <w:p>
      <w:pPr>
        <w:pStyle w:val="ListBullet"/>
        <w:spacing w:before="0" w:after="60" w:line="283" w:lineRule="auto"/>
        <w:ind w:left="369" w:hanging="170"/>
      </w:pPr>
      <w:r>
        <w:rPr>
          <w:rFonts w:ascii="Microsoft YaHei" w:hAnsi="Microsoft YaHei" w:eastAsia="Microsoft YaHei"/>
          <w:b w:val="0"/>
          <w:i w:val="0"/>
          <w:color w:val="000000"/>
          <w:sz w:val="21"/>
        </w:rPr>
        <w:t>先比较 640 与 960 输入的单因素变化，不同时改变模块、loss、epoch 和增强。</w:t>
      </w:r>
    </w:p>
    <w:p>
      <w:pPr>
        <w:pStyle w:val="ListBullet"/>
        <w:spacing w:before="0" w:after="60" w:line="283" w:lineRule="auto"/>
        <w:ind w:left="369" w:hanging="170"/>
      </w:pPr>
      <w:r>
        <w:rPr>
          <w:rFonts w:ascii="Microsoft YaHei" w:hAnsi="Microsoft YaHei" w:eastAsia="Microsoft YaHei"/>
          <w:b w:val="0"/>
          <w:i w:val="0"/>
          <w:color w:val="000000"/>
          <w:sz w:val="21"/>
        </w:rPr>
        <w:t>报告 AP50、AP75、AP-small、AP-medium、AP-large、低 FPR smoke recall 和 FP/image。</w:t>
      </w:r>
    </w:p>
    <w:p>
      <w:pPr>
        <w:pStyle w:val="ListBullet"/>
        <w:spacing w:before="0" w:after="60" w:line="283" w:lineRule="auto"/>
        <w:ind w:left="369" w:hanging="170"/>
      </w:pPr>
      <w:r>
        <w:rPr>
          <w:rFonts w:ascii="Microsoft YaHei" w:hAnsi="Microsoft YaHei" w:eastAsia="Microsoft YaHei"/>
          <w:b w:val="0"/>
          <w:i w:val="0"/>
          <w:color w:val="000000"/>
          <w:sz w:val="21"/>
        </w:rPr>
        <w:t>只有当 P2 在分组测试上稳定优于 baseline，才继续讨论 P2 后续模块。</w:t>
      </w:r>
    </w:p>
    <w:p>
      <w:pPr>
        <w:pStyle w:val="Heading2"/>
        <w:spacing w:before="120" w:after="100" w:line="264" w:lineRule="auto"/>
      </w:pPr>
      <w:r>
        <w:rPr>
          <w:rFonts w:ascii="Microsoft YaHei" w:hAnsi="Microsoft YaHei" w:eastAsia="Microsoft YaHei"/>
          <w:b/>
          <w:i w:val="0"/>
          <w:color w:val="000000"/>
          <w:sz w:val="24"/>
        </w:rPr>
        <w:t>第三阶段 决定是否继续模块</w:t>
      </w:r>
    </w:p>
    <w:p>
      <w:pPr>
        <w:pStyle w:val="ListBullet"/>
        <w:spacing w:before="0" w:after="60" w:line="283" w:lineRule="auto"/>
        <w:ind w:left="369" w:hanging="170"/>
      </w:pPr>
      <w:r>
        <w:rPr>
          <w:rFonts w:ascii="Microsoft YaHei" w:hAnsi="Microsoft YaHei" w:eastAsia="Microsoft YaHei"/>
          <w:b w:val="0"/>
          <w:i w:val="0"/>
          <w:color w:val="000000"/>
          <w:sz w:val="21"/>
        </w:rPr>
        <w:t>ACR 暂停 seed1、seed2 和完整消融，先检查上下文分支梯度、激活尺度和输出投影更新量。</w:t>
      </w:r>
    </w:p>
    <w:p>
      <w:pPr>
        <w:pStyle w:val="ListBullet"/>
        <w:spacing w:before="0" w:after="60" w:line="283" w:lineRule="auto"/>
        <w:ind w:left="369" w:hanging="170"/>
      </w:pPr>
      <w:r>
        <w:rPr>
          <w:rFonts w:ascii="Microsoft YaHei" w:hAnsi="Microsoft YaHei" w:eastAsia="Microsoft YaHei"/>
          <w:b w:val="0"/>
          <w:i w:val="0"/>
          <w:color w:val="000000"/>
          <w:sz w:val="21"/>
        </w:rPr>
        <w:t>DCBR 保留为候选，补齐 seed1 后再判断是否存在稳定收益，不能只保留有利 seed。</w:t>
      </w:r>
    </w:p>
    <w:p>
      <w:pPr>
        <w:pStyle w:val="ListBullet"/>
        <w:spacing w:before="0" w:after="60" w:line="283" w:lineRule="auto"/>
        <w:ind w:left="369" w:hanging="170"/>
      </w:pPr>
      <w:r>
        <w:rPr>
          <w:rFonts w:ascii="Microsoft YaHei" w:hAnsi="Microsoft YaHei" w:eastAsia="Microsoft YaHei"/>
          <w:b w:val="0"/>
          <w:i w:val="0"/>
          <w:color w:val="000000"/>
          <w:sz w:val="21"/>
        </w:rPr>
        <w:t>若错误仍以整体框和重复框为主，优先研究标注定义、框合并和训练目标，不再堆叠注意力模块。</w:t>
      </w:r>
    </w:p>
    <w:p>
      <w:pPr>
        <w:pStyle w:val="Heading2"/>
        <w:spacing w:before="120" w:after="100" w:line="264" w:lineRule="auto"/>
      </w:pPr>
      <w:r>
        <w:rPr>
          <w:rFonts w:ascii="Microsoft YaHei" w:hAnsi="Microsoft YaHei" w:eastAsia="Microsoft YaHei"/>
          <w:b/>
          <w:i w:val="0"/>
          <w:color w:val="000000"/>
          <w:sz w:val="24"/>
        </w:rPr>
        <w:t>验收标准</w:t>
      </w:r>
    </w:p>
    <w:tbl>
      <w:tblPr>
        <w:tblW w:type="dxa" w:w="9720"/>
        <w:jc w:val="center"/>
        <w:tblLayout w:type="fixed"/>
        <w:tblLook w:firstColumn="1" w:firstRow="1" w:lastColumn="0" w:lastRow="0" w:noHBand="0" w:noVBand="1" w:val="04A0"/>
        <w:tblInd w:w="110" w:type="dxa"/>
      </w:tblPr>
      <w:tblGrid>
        <w:gridCol w:w="2088"/>
        <w:gridCol w:w="3240"/>
        <w:gridCol w:w="4392"/>
      </w:tblGrid>
      <w:tr>
        <w:trPr>
          <w:tblHeader w:val="true"/>
        </w:trPr>
        <w:tc>
          <w:tcPr>
            <w:tcW w:type="dxa" w:w="208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项目</w:t>
            </w:r>
          </w:p>
        </w:tc>
        <w:tc>
          <w:tcPr>
            <w:tcW w:type="dxa" w:w="32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最低要求</w:t>
            </w:r>
          </w:p>
        </w:tc>
        <w:tc>
          <w:tcPr>
            <w:tcW w:type="dxa" w:w="439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2" w:lineRule="auto"/>
              <w:jc w:val="center"/>
            </w:pPr>
            <w:r>
              <w:rPr>
                <w:rFonts w:ascii="Microsoft YaHei" w:hAnsi="Microsoft YaHei" w:eastAsia="Microsoft YaHei"/>
                <w:b/>
                <w:i w:val="0"/>
                <w:color w:val="FFFFFF"/>
                <w:sz w:val="17"/>
              </w:rPr>
              <w:t>说明</w:t>
            </w:r>
          </w:p>
        </w:tc>
      </w:tr>
      <w:tr>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数据清单</w:t>
            </w:r>
          </w:p>
        </w:tc>
        <w:tc>
          <w:tcPr>
            <w:tcW w:type="dxa" w:w="32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train、val、test 无同场景跨 split</w:t>
            </w:r>
          </w:p>
        </w:tc>
        <w:tc>
          <w:tcPr>
            <w:tcW w:type="dxa" w:w="43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至少完成候选近重复人工确认</w:t>
            </w:r>
          </w:p>
        </w:tc>
      </w:tr>
      <w:tr>
        <w:tc>
          <w:tcPr>
            <w:tcW w:type="dxa" w:w="208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标签质量</w:t>
            </w:r>
          </w:p>
        </w:tc>
        <w:tc>
          <w:tcPr>
            <w:tcW w:type="dxa" w:w="32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非法框有统一处理规则</w:t>
            </w:r>
          </w:p>
        </w:tc>
        <w:tc>
          <w:tcPr>
            <w:tcW w:type="dxa" w:w="43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保留排除清单和原因</w:t>
            </w:r>
          </w:p>
        </w:tc>
      </w:tr>
      <w:tr>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可归因性</w:t>
            </w:r>
          </w:p>
        </w:tc>
        <w:tc>
          <w:tcPr>
            <w:tcW w:type="dxa" w:w="32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baseline 与候选只改变一个因素</w:t>
            </w:r>
          </w:p>
        </w:tc>
        <w:tc>
          <w:tcPr>
            <w:tcW w:type="dxa" w:w="43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统一初始化和训练预算</w:t>
            </w:r>
          </w:p>
        </w:tc>
      </w:tr>
      <w:tr>
        <w:tc>
          <w:tcPr>
            <w:tcW w:type="dxa" w:w="208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检测质量</w:t>
            </w:r>
          </w:p>
        </w:tc>
        <w:tc>
          <w:tcPr>
            <w:tcW w:type="dxa" w:w="32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同时报告 AP75 和 AP-small</w:t>
            </w:r>
          </w:p>
        </w:tc>
        <w:tc>
          <w:tcPr>
            <w:tcW w:type="dxa" w:w="43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不能只看 mAP50</w:t>
            </w:r>
          </w:p>
        </w:tc>
      </w:tr>
      <w:tr>
        <w:tc>
          <w:tcPr>
            <w:tcW w:type="dxa" w:w="2088"/>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低误报能力</w:t>
            </w:r>
          </w:p>
        </w:tc>
        <w:tc>
          <w:tcPr>
            <w:tcW w:type="dxa" w:w="3240"/>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报告每类 1% FPR 下召回</w:t>
            </w:r>
          </w:p>
        </w:tc>
        <w:tc>
          <w:tcPr>
            <w:tcW w:type="dxa" w:w="439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重点关注 smoke recall</w:t>
            </w:r>
          </w:p>
        </w:tc>
      </w:tr>
      <w:tr>
        <w:tc>
          <w:tcPr>
            <w:tcW w:type="dxa" w:w="2088"/>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left"/>
            </w:pPr>
            <w:r>
              <w:rPr>
                <w:rFonts w:ascii="Microsoft YaHei" w:hAnsi="Microsoft YaHei" w:eastAsia="Microsoft YaHei"/>
                <w:b w:val="0"/>
                <w:i w:val="0"/>
                <w:color w:val="000000"/>
                <w:sz w:val="17"/>
              </w:rPr>
              <w:t>部署价值</w:t>
            </w:r>
          </w:p>
        </w:tc>
        <w:tc>
          <w:tcPr>
            <w:tcW w:type="dxa" w:w="3240"/>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报告真实设备 latency、p95 和显存</w:t>
            </w:r>
          </w:p>
        </w:tc>
        <w:tc>
          <w:tcPr>
            <w:tcW w:type="dxa" w:w="4392"/>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before="0" w:after="0" w:line="259" w:lineRule="auto"/>
              <w:jc w:val="center"/>
            </w:pPr>
            <w:r>
              <w:rPr>
                <w:rFonts w:ascii="Microsoft YaHei" w:hAnsi="Microsoft YaHei" w:eastAsia="Microsoft YaHei"/>
                <w:b w:val="0"/>
                <w:i w:val="0"/>
                <w:color w:val="000000"/>
                <w:sz w:val="17"/>
              </w:rPr>
              <w:t>训练时间不能替代推理效率</w:t>
            </w:r>
          </w:p>
        </w:tc>
      </w:tr>
    </w:tbl>
    <w:p>
      <w:pPr>
        <w:spacing w:after="20"/>
      </w:pPr>
    </w:p>
    <w:p>
      <w:pPr>
        <w:pStyle w:val="Heading1"/>
        <w:spacing w:before="200" w:after="100" w:line="264" w:lineRule="auto"/>
      </w:pPr>
      <w:r>
        <w:rPr>
          <w:rFonts w:ascii="Microsoft YaHei" w:hAnsi="Microsoft YaHei" w:eastAsia="Microsoft YaHei"/>
          <w:b/>
          <w:i w:val="0"/>
          <w:color w:val="000000"/>
          <w:sz w:val="30"/>
        </w:rPr>
        <w:t>最终结论</w:t>
      </w:r>
    </w:p>
    <w:p>
      <w:pPr>
        <w:spacing w:before="0" w:after="120" w:line="300" w:lineRule="auto"/>
      </w:pPr>
      <w:r>
        <w:rPr>
          <w:rFonts w:ascii="Microsoft YaHei" w:hAnsi="Microsoft YaHei" w:eastAsia="Microsoft YaHei"/>
          <w:b w:val="0"/>
          <w:i w:val="0"/>
          <w:color w:val="000000"/>
          <w:sz w:val="21"/>
        </w:rPr>
        <w:t>当前结果不足以支持继续无目的地增加网络模块。数据集中的小目标、空图、来源差异、近重复风险和标注异常，已经足以影响训练稳定性和评价可信度；模型误差又主要集中在定位、重复和背景误报，恰好不是 ACR 或 DCBR 当前设计直接解决的问题。</w:t>
      </w:r>
    </w:p>
    <w:p>
      <w:pPr>
        <w:spacing w:before="0" w:after="120" w:line="300" w:lineRule="auto"/>
      </w:pPr>
      <w:r>
        <w:rPr>
          <w:rFonts w:ascii="Microsoft YaHei" w:hAnsi="Microsoft YaHei" w:eastAsia="Microsoft YaHei"/>
          <w:b w:val="0"/>
          <w:i w:val="0"/>
          <w:color w:val="000000"/>
          <w:sz w:val="21"/>
        </w:rPr>
        <w:t>下一步应先完成数据版本和分组评估协议，再用严格可比的 baseline 与 P2 重新建立基准。如果清洗后的结果仍然显示小火焰和整体框问题，再单独设计针对输入分辨率、采样策略或标注定义的实验。</w:t>
      </w:r>
    </w:p>
    <w:p>
      <w:pPr>
        <w:pStyle w:val="Heading1"/>
        <w:spacing w:before="200" w:after="100" w:line="264" w:lineRule="auto"/>
      </w:pPr>
      <w:r>
        <w:rPr>
          <w:rFonts w:ascii="Microsoft YaHei" w:hAnsi="Microsoft YaHei" w:eastAsia="Microsoft YaHei"/>
          <w:b/>
          <w:i w:val="0"/>
          <w:color w:val="000000"/>
          <w:sz w:val="30"/>
        </w:rPr>
        <w:t>参考产物</w:t>
      </w:r>
    </w:p>
    <w:p>
      <w:pPr>
        <w:pStyle w:val="ListBullet"/>
        <w:spacing w:before="0" w:after="60" w:line="283" w:lineRule="auto"/>
        <w:ind w:left="369" w:hanging="170"/>
      </w:pPr>
      <w:r>
        <w:rPr>
          <w:rFonts w:ascii="Microsoft YaHei" w:hAnsi="Microsoft YaHei" w:eastAsia="Microsoft YaHei"/>
          <w:b w:val="0"/>
          <w:i w:val="0"/>
          <w:color w:val="000000"/>
          <w:sz w:val="21"/>
        </w:rPr>
        <w:t>远程诊断报告：/home/cmj/Documents/FireSmoke/Fire-YOLOv11/artifacts/analysis/review-20260920-ce4a405/REPORT.md</w:t>
      </w:r>
    </w:p>
    <w:p>
      <w:pPr>
        <w:pStyle w:val="ListBullet"/>
        <w:spacing w:before="0" w:after="60" w:line="283" w:lineRule="auto"/>
        <w:ind w:left="369" w:hanging="170"/>
      </w:pPr>
      <w:r>
        <w:rPr>
          <w:rFonts w:ascii="Microsoft YaHei" w:hAnsi="Microsoft YaHei" w:eastAsia="Microsoft YaHei"/>
          <w:b w:val="0"/>
          <w:i w:val="0"/>
          <w:color w:val="000000"/>
          <w:sz w:val="21"/>
        </w:rPr>
        <w:t>数据元数据：/home/cmj/Documents/FireSmoke/Fire-YOLOv11/artifacts/data/dfire/metadata.json</w:t>
      </w:r>
    </w:p>
    <w:p>
      <w:pPr>
        <w:pStyle w:val="ListBullet"/>
        <w:spacing w:before="0" w:after="60" w:line="283" w:lineRule="auto"/>
        <w:ind w:left="369" w:hanging="170"/>
      </w:pPr>
      <w:r>
        <w:rPr>
          <w:rFonts w:ascii="Microsoft YaHei" w:hAnsi="Microsoft YaHei" w:eastAsia="Microsoft YaHei"/>
          <w:b w:val="0"/>
          <w:i w:val="0"/>
          <w:color w:val="000000"/>
          <w:sz w:val="21"/>
        </w:rPr>
        <w:t>训练结果目录：/home/cmj/Documents/FireSmoke/Fire-YOLOv11/experiments/yolo11n/</w:t>
      </w:r>
    </w:p>
    <w:p>
      <w:pPr>
        <w:pStyle w:val="ListBullet"/>
        <w:spacing w:before="0" w:after="60" w:line="283" w:lineRule="auto"/>
        <w:ind w:left="369" w:hanging="170"/>
      </w:pPr>
      <w:r>
        <w:rPr>
          <w:rFonts w:ascii="Microsoft YaHei" w:hAnsi="Microsoft YaHei" w:eastAsia="Microsoft YaHei"/>
          <w:b w:val="0"/>
          <w:i w:val="0"/>
          <w:color w:val="000000"/>
          <w:sz w:val="21"/>
        </w:rPr>
        <w:t>分析结果：summary.json、descriptive-errors.json、acr-sensitivity.json、module-probes.json</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666666"/>
        <w:sz w:val="17"/>
      </w:rPr>
      <w:t xml:space="preserve">第 </w:t>
      <w:fldChar w:fldCharType="begin"/>
      <w:instrText xml:space="preserve">PAGE</w:instrText>
      <w:fldChar w:fldCharType="end"/>
    </w:r>
    <w:r>
      <w:rPr>
        <w:rFonts w:ascii="Microsoft YaHei" w:hAnsi="Microsoft YaHei" w:eastAsia="Microsoft YaHei"/>
        <w:b w:val="0"/>
        <w:i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i w:val="0"/>
        <w:color w:val="666666"/>
        <w:sz w:val="17"/>
      </w:rPr>
      <w:t>YOLO Fire 训练效果检测报告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火灾烟雾检测训练效果差检测报告</dc:title>
  <dc:subject>D Fire 数据集和 YOLO11n 训练结果诊断</dc:subject>
  <dc:creator>Codex</dc:creator>
  <cp:keywords/>
  <dc:description>基于远程训练仓库的只读诊断结果</dc:description>
  <cp:lastModifiedBy/>
  <cp:revision>1</cp:revision>
  <dcterms:created xsi:type="dcterms:W3CDTF">2013-12-23T23:15:00Z</dcterms:created>
  <dcterms:modified xsi:type="dcterms:W3CDTF">2013-12-23T23:15:00Z</dcterms:modified>
  <cp:category/>
</cp:coreProperties>
</file>