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火灾烟雾检测论文长期研究规划</w:t>
      </w:r>
    </w:p>
    <w:p>
      <w:r>
        <w:t>目标为中科院大类二区期刊</w:t>
      </w:r>
    </w:p>
    <w:p>
      <w:r>
        <w:t>制定日期：2026 年 9 月 22 日。计划周期：2026 年 9 月 22 日至 2027 年 3 月 8 日，共 24 周。该周期以完成可投稿稿件为目标，审稿和录用时间另计。</w:t>
      </w:r>
    </w:p>
    <w:p>
      <w:r>
        <w:t>建议将研究主线定为“面向未见场景的低误报轻量火灾烟雾检测”。核心问题是：在控制背景误报和推理开销的条件下，怎样保留烟雾召回与小火焰检测能力？现有 P2、SRDG、DCBR、ACR 结果可用于提出问题、建立对照和报告负结果。后续方法应由这些失败模式驱动。</w:t>
      </w:r>
    </w:p>
    <w:p>
      <w:r>
        <w:t>近期先完成数据和公平基线审计，再研究一个训练期改进方法。清洗、跨域评估和增加 P2 检测头都有既有研究；本项目需要证明具体方法相对现有困难负样本、排序损失和更大输入的额外价值。[1–8]</w:t>
      </w:r>
    </w:p>
    <w:p>
      <w:r>
        <w:t>本轮工作是研究设计。新方法、数据版本和实验结果均未产生。已确认的硬件基础是一张 RTX 3090 24 GB；人员投入暂按每周 15–20 小时安排，额外设备和协作人员尚未计入。</w:t>
      </w:r>
    </w:p>
    <w:p>
      <w:pPr>
        <w:pStyle w:val="Heading1"/>
      </w:pPr>
      <w:r>
        <w:t>1 当前证据和需要修正的判断</w:t>
      </w:r>
    </w:p>
    <w:p>
      <w:r>
        <w:t xml:space="preserve">2026 年 9 月 22 日已核验用户指定的 </w:t>
      </w:r>
      <w:hyperlink r:id="rId10">
        <w:r>
          <w:rPr>
            <w:rFonts w:ascii="Calibri" w:hAnsi="Calibri" w:eastAsia="Microsoft YaHei"/>
            <w:color w:val="17598A"/>
          </w:rPr>
          <w:t>GitHub 最新仓库</w:t>
        </w:r>
      </w:hyperlink>
      <w:r>
        <w:t>，main 为 ce4a405，提交日期为 9 月 20 日。下表综合该版本训练日志与 9 月 20 日远程诊断；SSH 当天连接超时，未核实训练机上尚未推送的运行。百分数差值均使用“百分点”。日志 AP 与诊断中的 COCO 尺寸分层采用各自明确的评估口径，正式结果应统一重算。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384"/>
        <w:gridCol w:w="3168"/>
        <w:gridCol w:w="3312"/>
      </w:tblGrid>
      <w:tr>
        <w:trPr>
          <w:cantSplit/>
          <w:tblHeader/>
        </w:trPr>
        <w:tc>
          <w:tcPr>
            <w:tcW w:type="dxa" w:w="338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已有证据</w:t>
            </w:r>
          </w:p>
        </w:tc>
        <w:tc>
          <w:tcPr>
            <w:tcW w:type="dxa" w:w="3168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能支持的判断</w:t>
            </w:r>
          </w:p>
        </w:tc>
        <w:tc>
          <w:tcPr>
            <w:tcW w:type="dxa" w:w="3312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不能据此下的结论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P2 三种子验证 mAP50–95 为 47.900% ± 0.422%</w:t>
            </w:r>
          </w:p>
        </w:tc>
        <w:tc>
          <w:tcPr>
            <w:tcW w:type="dxa" w:w="316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存在不可忽略的训练随机波动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单次提高 0.1 个百分点就是稳定改进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DCBR 相对同 seed P2 为 −0.224、+0.468 个百分点</w:t>
            </w:r>
          </w:p>
        </w:tc>
        <w:tc>
          <w:tcPr>
            <w:tcW w:type="dxa" w:w="316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两次结果方向相反，均值仅 +0.122</w:t>
            </w:r>
          </w:p>
        </w:tc>
        <w:tc>
          <w:tcPr>
            <w:tcW w:type="dxa" w:w="331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DCBR 已证实有效或无效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ACR seed0 为 47.854%，低于 P2 seed0 0.530 个百分点</w:t>
            </w:r>
          </w:p>
        </w:tc>
        <w:tc>
          <w:tcPr>
            <w:tcW w:type="dxa" w:w="316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当前版本优先级应下降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所有上下文方法都无效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P2 火焰 AP-small 23.656%，AP-large 57.528%</w:t>
            </w:r>
          </w:p>
        </w:tc>
        <w:tc>
          <w:tcPr>
            <w:tcW w:type="dxa" w:w="316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小目标和尺度差异值得专门研究</w:t>
            </w:r>
          </w:p>
        </w:tc>
        <w:tc>
          <w:tcPr>
            <w:tcW w:type="dxa" w:w="331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整体结果差全由数据集导致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固定 conf 0.25 时，P2 定位 FP 280、重复 FP 86、类别混淆 FP 9</w:t>
            </w:r>
          </w:p>
        </w:tc>
        <w:tc>
          <w:tcPr>
            <w:tcW w:type="dxa" w:w="316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需要研究定位、重复和分数排序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只改分类模块即可解决问题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每类负图经验 FPR ≤ 1% 的验证工作点，smoke 召回为 P2 70.225%、DCBR 62.752%、ACR 66.667%</w:t>
            </w:r>
          </w:p>
        </w:tc>
        <w:tc>
          <w:tcPr>
            <w:tcW w:type="dxa" w:w="316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总 AP 与低误报预警表现需要分别评价</w:t>
            </w:r>
          </w:p>
        </w:tc>
        <w:tc>
          <w:tcPr>
            <w:tcW w:type="dxa" w:w="331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测试集或实际部署也必然达到 1% FPR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最新仓库的 ACR seed0 已完成 100 轮；其 CSV 第 73 和 74 轮记录的 AP50–95 均为 47.854%，不同指标应以实际所选权重对应记录为准。部分 ACR 设计文档仍写“尚未训练”，需要更新状态。历史 baseline 使用完整预训练模型微调、optimizer=auto、AMP=true；协议 P2 使用共享层迁移、随机检测头、SGD、AMP=false。仓库内尚未见同协议 baseline 归档，两者分数差不能直接归因于 P2。先核验另一工作站的同协议结果；新数据版本的正式对照仍须重训。</w:t>
      </w:r>
    </w:p>
    <w:p>
      <w:r>
        <w:t>前一份诊断报告有两点需要收紧：约 45% 的空图是数据分布特征，不等于数据质量差；是否损伤召回要用固定训练步数的采样实验验证。跨划分近重复会威胁评估独立性，通常使分数偏乐观，不能直接解释为低分原因。标注异常可能影响定位，但现有异常数量尚不能量化其贡献。</w:t>
      </w:r>
    </w:p>
    <w:p>
      <w:r>
        <w:t>743 对低 dHash 距离图片是候选对，不是 743 个已确认泄漏场景，也不是全量候选的上界。原始数据、框合法性筛选子集和未来分组数据版本的计数应分别报告。mAP50 约 80%、mAP50–95 约 48% 也不能与别人在不同划分上报告的 95% 直接比较。</w:t>
      </w:r>
    </w:p>
    <w:p>
      <w:pPr>
        <w:pStyle w:val="Heading1"/>
      </w:pPr>
      <w:r>
        <w:t>2 论文问题和创新路线</w:t>
      </w:r>
    </w:p>
    <w:p>
      <w:r>
        <w:t>论文暂定中文题目为“面向未见场景的低误报轻量火灾烟雾检测”。英文工作题目可用“Lightweight Fire and Smoke Detection with False Alarm Control in Unseen Scenes”。最终标题由结果支持的贡献决定；在没有连续视频实验前，不使用“早期预警”作为已验证结论。</w:t>
      </w:r>
    </w:p>
    <w:p>
      <w:pPr>
        <w:pStyle w:val="Heading2"/>
      </w:pPr>
      <w:r>
        <w:t>可检验的研究假设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384"/>
        <w:gridCol w:w="3888"/>
        <w:gridCol w:w="2592"/>
      </w:tblGrid>
      <w:tr>
        <w:trPr>
          <w:cantSplit/>
          <w:tblHeader/>
        </w:trPr>
        <w:tc>
          <w:tcPr>
            <w:tcW w:type="dxa" w:w="338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假设</w:t>
            </w:r>
          </w:p>
        </w:tc>
        <w:tc>
          <w:tcPr>
            <w:tcW w:type="dxa" w:w="3888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验证方式</w:t>
            </w:r>
          </w:p>
        </w:tc>
        <w:tc>
          <w:tcPr>
            <w:tcW w:type="dxa" w:w="2592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如果证据不支持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H1 普通困难背景抑制可能压低烟雾和小火焰正样本分数</w:t>
            </w:r>
          </w:p>
        </w:tc>
        <w:tc>
          <w:tcPr>
            <w:tcW w:type="dxa" w:w="38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比较自然采样、普通 top-K 背景损失、正负分数分布与梯度</w:t>
            </w:r>
          </w:p>
        </w:tc>
        <w:tc>
          <w:tcPr>
            <w:tcW w:type="dxa" w:w="25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停止将“背景过度抑制”作为方法动机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H2 有针对性的高分负样本排序与正样本保护能改善低误报召回</w:t>
            </w:r>
          </w:p>
        </w:tc>
        <w:tc>
          <w:tcPr>
            <w:tcW w:type="dxa" w:w="388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完整二因素消融，比较 Focal 和 Rank &amp; Sort 等对照</w:t>
            </w:r>
          </w:p>
        </w:tc>
        <w:tc>
          <w:tcPr>
            <w:tcW w:type="dxa" w:w="25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放弃该组合，保留负结果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H3 改进能迁移到新的场景或数据来源</w:t>
            </w:r>
          </w:p>
        </w:tc>
        <w:tc>
          <w:tcPr>
            <w:tcW w:type="dxa" w:w="38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分组独立测试、双向跨数据集和第三来源验证</w:t>
            </w:r>
          </w:p>
        </w:tc>
        <w:tc>
          <w:tcPr>
            <w:tcW w:type="dxa" w:w="25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收窄为同域结果，不宣传跨域泛化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H4 训练期改进能维持父模型的推理开销</w:t>
            </w:r>
          </w:p>
        </w:tc>
        <w:tc>
          <w:tcPr>
            <w:tcW w:type="dxa" w:w="388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检查推理图、参数量、端到端延迟与导出结果</w:t>
            </w:r>
          </w:p>
        </w:tc>
        <w:tc>
          <w:tcPr>
            <w:tcW w:type="dxa" w:w="25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按实际精度和效率代价重新定位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主要终点预先设为源域阈值冻结后的 smoke 图像召回与实际负图 FPR 的联合表现。整体 AP50–95 和 fire AP-small 是关键约束及次要终点。若不能在误报可比时提高召回，就不能声称改善低误报能力。</w:t>
      </w:r>
    </w:p>
    <w:p>
      <w:r>
        <w:t>建议争取三类证据：一个能说明机制的训练方法；相对充分对照的稳定收益；独立场景中的实际价值。数据审计与可复现清单支撑可信度，不能单独充当全新的算法贡献。方法不必凑成三个模块，已有模块的名称也不决定论文价值。</w:t>
      </w:r>
    </w:p>
    <w:p>
      <w:pPr>
        <w:pStyle w:val="Heading2"/>
      </w:pPr>
      <w:r>
        <w:t>最接近的工作需要怎样比较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40"/>
        <w:gridCol w:w="2880"/>
        <w:gridCol w:w="3744"/>
      </w:tblGrid>
      <w:tr>
        <w:trPr>
          <w:cantSplit/>
          <w:tblHeader/>
        </w:trPr>
        <w:tc>
          <w:tcPr>
            <w:tcW w:type="dxa" w:w="324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已有工作</w:t>
            </w:r>
          </w:p>
        </w:tc>
        <w:tc>
          <w:tcPr>
            <w:tcW w:type="dxa" w:w="288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已经覆盖的内容</w:t>
            </w:r>
          </w:p>
        </w:tc>
        <w:tc>
          <w:tcPr>
            <w:tcW w:type="dxa" w:w="374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本项目必须补足的差异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MS-FSDB 多场景基准 [2]</w:t>
            </w:r>
          </w:p>
        </w:tc>
        <w:tc>
          <w:tcPr>
            <w:tcW w:type="dxa" w:w="288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数据规范、多场景和统一评估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具体低误报训练方法及机制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Drones 2026 跨数据集研究 [3]</w:t>
            </w:r>
          </w:p>
        </w:tc>
        <w:tc>
          <w:tcPr>
            <w:tcW w:type="dxa" w:w="288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污染审计、迁移矩阵、部署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方法贡献，不能把跨域评估本身称首次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SSmokeDet [4]</w:t>
            </w:r>
          </w:p>
        </w:tc>
        <w:tc>
          <w:tcPr>
            <w:tcW w:type="dxa" w:w="288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小尺度烟雾的骨干和检测头设计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与训练目标有关的收益及计算预算对照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Generalized Focal Loss 与 VarifocalNet [5–6]</w:t>
            </w:r>
          </w:p>
        </w:tc>
        <w:tc>
          <w:tcPr>
            <w:tcW w:type="dxa" w:w="288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质量感知分类和分数学习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避免把已有质量加权直接改名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Rank &amp; Sort 和 partial AUC 研究 [7–8]</w:t>
            </w:r>
          </w:p>
        </w:tc>
        <w:tc>
          <w:tcPr>
            <w:tcW w:type="dxa" w:w="288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排序学习和低误报区间优化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类别尺度保护是否提供独立、可重复的作用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前两周建立 20–30 篇文献对照表，至少精读 8 篇最接近的论文。字段包括数据来源、划分、骨干、输入大小、损失、误报指标、种子数、推理耗时、代码可用性和局限。以上是文献起点，不代表已完成全面新颖性检索。</w:t>
      </w:r>
    </w:p>
    <w:p>
      <w:pPr>
        <w:pStyle w:val="Heading1"/>
      </w:pPr>
      <w:r>
        <w:t>3 数据审计和冻结协议</w:t>
      </w:r>
    </w:p>
    <w:p>
      <w:pPr>
        <w:pStyle w:val="Heading2"/>
      </w:pPr>
      <w:r>
        <w:t>保留参考划分并建立分组研究版本</w:t>
      </w:r>
    </w:p>
    <w:p>
      <w:r>
        <w:t>官方参考协议 O 保留原始划分，记录框合法性检查实际排除了哪些图片。论文使用“annotation-valid subset”时给出清单，不把它写成官方全量或已完全去重的数据集。历史结果只属于其对应的数据版本。</w:t>
      </w:r>
    </w:p>
    <w:p>
      <w:r>
        <w:t>主研究协议 G 建议保留原始 test 的身份，从原 train 和 val 池中移出与 test 确认同视频、同事件或同场景的样本组，放入隔离清单。剩余开发池按组划分约 80% train、10% selection、10% calibration。比例是起点；按独立组数、类别和负图数量检查可行性后一次冻结。</w:t>
      </w:r>
    </w:p>
    <w:p>
      <w:r>
        <w:t>selection 用于 checkpoint 与超参数选择；calibration 用于最终阈值拟合；test 用于方法冻结后的结果报告。开发中需要比较低误报能力时，在 selection 内做按组交叉拟合阈值，避免反复借用最终 calibration 和 test。固定数据划分种子与模型训练种子是两件事。</w:t>
      </w:r>
    </w:p>
    <w:p>
      <w:r>
        <w:t>不要把已多次查看结果的测试图重新分到训练后，再声称获得全新盲测。标签修订应在查看模型预测前按统一规则完成；测试集错误的修订与原始标签结果应有版本记录。无法恢复完整场景身份时，应明确“已审查的近重复组”，并用独立外部数据补强结论。</w:t>
      </w:r>
    </w:p>
    <w:p>
      <w:pPr>
        <w:pStyle w:val="Heading2"/>
      </w:pPr>
      <w:r>
        <w:t>审计任务和产物</w:t>
      </w:r>
    </w:p>
    <w:p>
      <w:pPr>
        <w:ind w:left="317" w:hanging="317"/>
      </w:pPr>
      <w:r>
        <w:t>1. 对每张图记录来源、原 split、文件 SHA256、像素哈希、尺寸、标签版本、类别、框面积、组 ID 与组 ID 证据。类别显式映射为 fire 和 smoke；D-Fire 原始类别顺序与标准化顺序不同。</w:t>
      </w:r>
    </w:p>
    <w:p>
      <w:pPr>
        <w:ind w:left="317" w:hanging="317"/>
      </w:pPr>
      <w:r>
        <w:t>2. 先复核既有 743 对强候选，再用感知哈希和相似图检索扩充跨 split、跨数据集候选。处理缩放、裁剪和重复压缩；低纹理相似图要人工确认后才能合并场景组。</w:t>
      </w:r>
    </w:p>
    <w:p>
      <w:pPr>
        <w:ind w:left="317" w:hanging="317"/>
      </w:pPr>
      <w:r>
        <w:t>3. 全量检查非法类别、缺失标签、零面积、超边界和图像损坏。超边界框采用复核后修正或明确排除，不能默认整图无目标，也不能静默截断。</w:t>
      </w:r>
    </w:p>
    <w:p>
      <w:pPr>
        <w:ind w:left="317" w:hanging="317"/>
      </w:pPr>
      <w:r>
        <w:t>4. 开发集人工审查目标为 600 张互不重复图片：200 张空图、200 张小火焰图、200 张烟雾图，按来源分层。另审查全部异常项。该工作估计错误类型，不代表已经精确测得全库错误率。</w:t>
      </w:r>
    </w:p>
    <w:p>
      <w:pPr>
        <w:ind w:left="317" w:hanging="317"/>
      </w:pPr>
      <w:r>
        <w:t>5. 统一连续火焰、分离火源、烟羽边界、遮挡目标和模糊区域的标注规则。有条件时让第二人复核至少 10% 和所有争议项；记录分歧与裁决。</w:t>
      </w:r>
    </w:p>
    <w:p>
      <w:pPr>
        <w:ind w:left="317" w:hanging="317"/>
      </w:pPr>
      <w:r>
        <w:t>6. 输出 manifest、候选对、确认组、修订与排除清单、数据说明和各文件哈希。正式实验使用不可变版本，原数据留存。</w:t>
      </w:r>
    </w:p>
    <w:p>
      <w:pPr>
        <w:pStyle w:val="Heading2"/>
      </w:pPr>
      <w:r>
        <w:t>外部数据选择</w:t>
      </w:r>
    </w:p>
    <w:p>
      <w:r>
        <w:t>第二数据集优先采用代码已预留的 FASDD_CV；其资源存在 CV、UAV、RS 等不同子集，不能混称同一评估对象。[9] 第三来源优先审查 MS-FSDB；若与前两库大量重叠，则使用有可靠摄像头或事件身份的视频来源。PYRONEAR-2025 可作为烟雾方向候选，但只能支持其有标注的任务，不能补算 fire 指标。[2,10]</w:t>
      </w:r>
    </w:p>
    <w:p>
      <w:r>
        <w:t>在任何跨库训练前完成全局组审计，避免甲库测试图被乙库训练过程使用后又进入双向对比。第三来源只做最终外部验证；若用来选择方法，则它已是开发域，必须另留独立测试来源。</w:t>
      </w:r>
    </w:p>
    <w:p>
      <w:pPr>
        <w:pStyle w:val="Heading2"/>
      </w:pPr>
      <w:r>
        <w:t>与最新仓库对应的工程任务</w:t>
      </w:r>
    </w:p>
    <w:p>
      <w:r>
        <w:t>首先扩展 firesmoke/data.py 的组身份和清单校验，保留候选审查与修订证据。其次扩展 firesmoke/cli.py 和 evaluation.py，使 selection 与 calibration 能映射到独立、可验证的清单；当前评估入口仅接受 val/test，不能只改目录名。把远程尺寸分层和错误分析脚本纳入可复现版本，并补齐检测 AP 的配对场景 bootstrap。现有 benchmark 只测 FP32 fused 前向，另实现包含预处理、后处理的端到端测量。完成这些底座后再在独立新协议中接入候选损失，旧配对训练入口和历史协议保留。</w:t>
      </w:r>
    </w:p>
    <w:p>
      <w:pPr>
        <w:pStyle w:val="Heading1"/>
      </w:pPr>
      <w:r>
        <w:t>4 优先实验和开发预算</w:t>
      </w:r>
    </w:p>
    <w:p>
      <w:r>
        <w:t>正式大规模实验之前，先完成无长训练的检查：16–32 张图的小样本拟合、GT 可视化、类别映射往返、同一权重的固定推理复现、共享层初始化一致性以及错误计数复核。测试集不参与这些检查。</w:t>
      </w:r>
    </w:p>
    <w:p>
      <w:r>
        <w:t>R 表示后续选定的参考结构，来自同协议 YOLO11n baseline 与 P2 的比较，输入先固定 640。选择 R 时综合小目标、低误报和效率，不能只取某个 seed 的最高 AP。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92"/>
        <w:gridCol w:w="4176"/>
        <w:gridCol w:w="3816"/>
        <w:gridCol w:w="1080"/>
      </w:tblGrid>
      <w:tr>
        <w:trPr>
          <w:cantSplit/>
          <w:tblHeader/>
        </w:trPr>
        <w:tc>
          <w:tcPr>
            <w:tcW w:type="dxa" w:w="792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176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变量与对照</w:t>
            </w:r>
          </w:p>
        </w:tc>
        <w:tc>
          <w:tcPr>
            <w:tcW w:type="dxa" w:w="3816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需要回答的问题</w:t>
            </w:r>
          </w:p>
        </w:tc>
        <w:tc>
          <w:tcPr>
            <w:tcW w:type="dxa" w:w="108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预计完整训练数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D01</w:t>
            </w:r>
          </w:p>
        </w:tc>
        <w:tc>
          <w:tcPr>
            <w:tcW w:type="dxa" w:w="417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baseline 与 P2，各自 100 与 200 epoch，seed0</w:t>
            </w:r>
          </w:p>
        </w:tc>
        <w:tc>
          <w:tcPr>
            <w:tcW w:type="dxa" w:w="381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100 轮是否充分，P2 是否值得额外计算</w:t>
            </w:r>
          </w:p>
        </w:tc>
        <w:tc>
          <w:tcPr>
            <w:tcW w:type="dxa" w:w="108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D02</w:t>
            </w:r>
          </w:p>
        </w:tc>
        <w:tc>
          <w:tcPr>
            <w:tcW w:type="dxa" w:w="417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baseline 与 P2 的 960 输入，对比各自 640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收益能否用更大输入解释</w:t>
            </w:r>
          </w:p>
        </w:tc>
        <w:tc>
          <w:tcPr>
            <w:tcW w:type="dxa" w:w="108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D03</w:t>
            </w:r>
          </w:p>
        </w:tc>
        <w:tc>
          <w:tcPr>
            <w:tcW w:type="dxa" w:w="417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的背景采样占比 25% 和 50%，对比自然比例</w:t>
            </w:r>
          </w:p>
        </w:tc>
        <w:tc>
          <w:tcPr>
            <w:tcW w:type="dxa" w:w="381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空图占比是否真的导致召回下降</w:t>
            </w:r>
          </w:p>
        </w:tc>
        <w:tc>
          <w:tcPr>
            <w:tcW w:type="dxa" w:w="108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D04</w:t>
            </w:r>
          </w:p>
        </w:tc>
        <w:tc>
          <w:tcPr>
            <w:tcW w:type="dxa" w:w="417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加普通背景损失、A、C、A+C，对比 R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候选机制是否值得三种子验证</w:t>
            </w:r>
          </w:p>
        </w:tc>
        <w:tc>
          <w:tcPr>
            <w:tcW w:type="dxa" w:w="108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开发首轮上限为 12 次完整训练。D01 的 200 轮须使用预先设定的 200 轮学习率计划，不能只拿 100 轮末尾临时延长；最终为全部方法统一冻结训练预算 T。D02–D04 使用同一 T。若 D01 显示明显不收敛，先查学习率、增强和标签，再决定统一调整。</w:t>
      </w:r>
    </w:p>
    <w:p>
      <w:r>
        <w:t>D02 固定有效 batch 和优化器步数，记录梯度累积、BatchNorm 批大小及显存限制。若 960 需要不同 batch，增加相同 batch 的 640 对照，计入扩展预算；不能把多因素变化称为纯分辨率收益。960 的理论像素数是 640 的 2.25 倍，实际耗时要测量。</w:t>
      </w:r>
    </w:p>
    <w:p>
      <w:r>
        <w:t>D03 保持每轮抽样数和总优化步数一致，只改变抽样概率，不删除空图，也不改变验证集先验。记录实际空图暴露量；mosaic 和裁剪会改变增强后的空图比例。25% 和 50% 是预登记探查点，不是已知最优值。</w:t>
      </w:r>
    </w:p>
    <w:p>
      <w:r>
        <w:t>开发最多再允许 6 次候选超参数训练，优先只检查损失权重，不同时搜索网络、增强、采样、分辨率和后处理。使用相同 selection 与相同搜索预算比较方法，并保留所有失败配置。</w:t>
      </w:r>
    </w:p>
    <w:p>
      <w:pPr>
        <w:pStyle w:val="Heading2"/>
      </w:pPr>
      <w:r>
        <w:t>现有模块的后续处理</w:t>
      </w:r>
    </w:p>
    <w:p>
      <w:r>
        <w:t>ACR 暂停扩大训练，先做短时梯度、激活和输出投影检查。当前分支关闭后的 AP 几乎不变，只说明这个权重中的推理贡献弱。DCBR 保留为历史候选；仅当新协议开发集显示与主问题有关的收益时，再补齐种子。SRDG 同样保留归档，不排入当前核心矩阵。</w:t>
      </w:r>
    </w:p>
    <w:p>
      <w:r>
        <w:t>P2 seed0 最佳值出现在第 100 轮，值得检查预算是否截断了收敛过程，但单个边界最佳值不足以证明“训练轮数太少”。所有模块沿用清楚的数据、初始化和代码指纹，不能与旧结果混成正式主表。</w:t>
      </w:r>
    </w:p>
    <w:p>
      <w:pPr>
        <w:pStyle w:val="Heading1"/>
      </w:pPr>
      <w:r>
        <w:t>5 候选训练方法的具体设计</w:t>
      </w:r>
    </w:p>
    <w:p>
      <w:r>
        <w:t>推荐优先实现一个不新增推理分支的训练候选，研究高分背景与真实目标之间的分数排序。这个方向与已有排序损失接近，新颖性必须经过文献和消融检验；目前不命名为已完成的新算法，也不预设收益。</w:t>
      </w:r>
    </w:p>
    <w:p>
      <w:pPr>
        <w:pStyle w:val="Heading2"/>
      </w:pPr>
      <w:r>
        <w:t>A 高分背景与正样本的排序约束</w:t>
      </w:r>
    </w:p>
    <w:p>
      <w:r>
        <w:t>保留原检测损失、匹配规则、框回归与 DFL。每个类别从开发训练批次的已核实负图中提取高分负响应，同时从 GT 匹配位置提取正响应，对“负分数高于正分数减去间隔”的配对增加平滑惩罚。按图和类别归一化，避免拥有更多特征点的 P2 因负样本数量增加而受到更重处罚。</w:t>
      </w:r>
    </w:p>
    <w:p>
      <w:r>
        <w:t>第一版只在已核实为空图的负图池启用额外困难负样本，普通检测损失继续覆盖全部训练图。含目标图中的可靠背景区域作为后续单独扩展；烟羽边缘、可能漏标区域和未知区域不加入额外强负监督。所有相关对照使用相同的负图池，避免把额外标注信息当成损失创新。</w:t>
      </w:r>
    </w:p>
    <w:p>
      <w:r>
        <w:t>初始设置可用每图每类 top-K=32、logit 间隔 0.5、附加损失权重 0.1；权重候选仅为 0.05、0.1、0.2。它们是开发起点，不是定论。无某类正负配对时该类附加项为零，不跨越数据 split 借样本。需要记录梯度尺度、配对数量和额外训练耗时。</w:t>
      </w:r>
    </w:p>
    <w:p>
      <w:r>
        <w:t>该代理目标不等于直接最小化图像级 1% FPR，也不提供概率保证。图像是否报警由最高预测分数等推理规则决定；必须验证这种训练代理是否确实改善最终工作点。</w:t>
      </w:r>
    </w:p>
    <w:p>
      <w:pPr>
        <w:pStyle w:val="Heading2"/>
      </w:pPr>
      <w:r>
        <w:t>C 类别与尺度条件下的正样本保护</w:t>
      </w:r>
    </w:p>
    <w:p>
      <w:r>
        <w:t>按 fire、smoke 和缩放后的目标尺度统计正样本训练暴露量，对代表不足的类别尺度组增加有限的正分类权重。权重从训练数据统计产生、均值归一化并设置上限，初始上限可为 2；不根据测试误差调整。第一版不改变框回归损失，以便隔离分类排序的作用。</w:t>
      </w:r>
    </w:p>
    <w:p>
      <w:r>
        <w:t>必须检查收益是否只是更大梯度、普通类别平衡或正样本重采样造成。C 单独、A 单独、A+C 与 R 构成完整二因素消融；另外加入普通 top-K 背景惩罚、Focal Loss 和 Rank &amp; Sort 对照。[7] 如果传统方法已提供相同收益，应如实承认并修改研究问题。</w:t>
      </w:r>
    </w:p>
    <w:p>
      <w:pPr>
        <w:pStyle w:val="Heading2"/>
      </w:pPr>
      <w:r>
        <w:t>机制证据和停止条件</w:t>
      </w:r>
    </w:p>
    <w:p>
      <w:r>
        <w:t>保存按类别尺度分组的正负分数分布、选中负样本实例、梯度贡献、定位误差和重复框变化。至少检查收益来自抬高正确目标分数、压低误报，还是简单增加全部预测分数。只展示热力图不足以证明机制。</w:t>
      </w:r>
    </w:p>
    <w:p>
      <w:r>
        <w:t>第 8 周前若 A+C 不能相对普通困难负样本或排序损失表现出可解释的优势，停止扩大这一方法。若主要问题始终是框定位，则转向单独的框质量或尺度监督实验，并与 GFL、Varifocal 类方案对比；不把替换成熟损失直接当新贡献。[5–6] 备选路线占用重新登记的预算，不与原路线同时扩张。</w:t>
      </w:r>
    </w:p>
    <w:p>
      <w:pPr>
        <w:pStyle w:val="Heading1"/>
      </w:pPr>
      <w:r>
        <w:t>6 正式实验矩阵</w:t>
      </w:r>
    </w:p>
    <w:p>
      <w:r>
        <w:t>进入此阶段的前提是数据版本、父结构 R、训练轮数 T、损失超参数、checkpoint 选择规则和评估脚本已经冻结。三个训练种子固定为 0、1、2，数据划分不随训练种子改变。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92"/>
        <w:gridCol w:w="4320"/>
        <w:gridCol w:w="3744"/>
        <w:gridCol w:w="1008"/>
      </w:tblGrid>
      <w:tr>
        <w:trPr>
          <w:cantSplit/>
          <w:tblHeader/>
        </w:trPr>
        <w:tc>
          <w:tcPr>
            <w:tcW w:type="dxa" w:w="792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432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D-Fire 分组协议 G 的方法</w:t>
            </w:r>
          </w:p>
        </w:tc>
        <w:tc>
          <w:tcPr>
            <w:tcW w:type="dxa" w:w="374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008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种子数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M01</w:t>
            </w:r>
          </w:p>
        </w:tc>
        <w:tc>
          <w:tcPr>
            <w:tcW w:type="dxa" w:w="432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YOLO11n baseline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原始结构参照</w:t>
            </w:r>
          </w:p>
        </w:tc>
        <w:tc>
          <w:tcPr>
            <w:tcW w:type="dxa" w:w="100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M02</w:t>
            </w:r>
          </w:p>
        </w:tc>
        <w:tc>
          <w:tcPr>
            <w:tcW w:type="dxa" w:w="432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YOLO11n P2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结构和计算开销参照</w:t>
            </w:r>
          </w:p>
        </w:tc>
        <w:tc>
          <w:tcPr>
            <w:tcW w:type="dxa" w:w="100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M03</w:t>
            </w:r>
          </w:p>
        </w:tc>
        <w:tc>
          <w:tcPr>
            <w:tcW w:type="dxa" w:w="432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加普通 top-K 背景惩罚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困难负样本直接对照</w:t>
            </w:r>
          </w:p>
        </w:tc>
        <w:tc>
          <w:tcPr>
            <w:tcW w:type="dxa" w:w="100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M04</w:t>
            </w:r>
          </w:p>
        </w:tc>
        <w:tc>
          <w:tcPr>
            <w:tcW w:type="dxa" w:w="432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加适配后的 Focal Loss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常用不平衡损失对照</w:t>
            </w:r>
          </w:p>
        </w:tc>
        <w:tc>
          <w:tcPr>
            <w:tcW w:type="dxa" w:w="100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M05</w:t>
            </w:r>
          </w:p>
        </w:tc>
        <w:tc>
          <w:tcPr>
            <w:tcW w:type="dxa" w:w="432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加适配后的 Rank &amp; Sort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最近机制对照</w:t>
            </w:r>
          </w:p>
        </w:tc>
        <w:tc>
          <w:tcPr>
            <w:tcW w:type="dxa" w:w="100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M06</w:t>
            </w:r>
          </w:p>
        </w:tc>
        <w:tc>
          <w:tcPr>
            <w:tcW w:type="dxa" w:w="432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 A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排序约束的独立作用</w:t>
            </w:r>
          </w:p>
        </w:tc>
        <w:tc>
          <w:tcPr>
            <w:tcW w:type="dxa" w:w="100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M07</w:t>
            </w:r>
          </w:p>
        </w:tc>
        <w:tc>
          <w:tcPr>
            <w:tcW w:type="dxa" w:w="432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 C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正样本保护的独立作用</w:t>
            </w:r>
          </w:p>
        </w:tc>
        <w:tc>
          <w:tcPr>
            <w:tcW w:type="dxa" w:w="100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M08</w:t>
            </w:r>
          </w:p>
        </w:tc>
        <w:tc>
          <w:tcPr>
            <w:tcW w:type="dxa" w:w="432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R 加 A 和 C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完整候选方法</w:t>
            </w:r>
          </w:p>
        </w:tc>
        <w:tc>
          <w:tcPr>
            <w:tcW w:type="dxa" w:w="100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M09</w:t>
            </w:r>
          </w:p>
        </w:tc>
        <w:tc>
          <w:tcPr>
            <w:tcW w:type="dxa" w:w="432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YOLOv8n 或第 2 周锁定的同预算外部检测器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外部结构参照</w:t>
            </w:r>
          </w:p>
        </w:tc>
        <w:tc>
          <w:tcPr>
            <w:tcW w:type="dxa" w:w="100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D-Fire 核心共 9 × 3 = 27 次训练。FASDD_CV 使用 R、普通背景惩罚、Rank &amp; Sort、完整方法四个共同方法，各 3 个种子，共 12 次训练。双数据集核心共 39 次。开发运行仅在最终数据、代码、初始化、预算和配置指纹完全一致时复用；重复目录不算独立种子。</w:t>
      </w:r>
    </w:p>
    <w:p>
      <w:r>
        <w:t>四个共同方法都执行“D-Fire 训练至 D-Fire 与 FASDD 测试”和“FASDD 训练至 FASDD 与 D-Fire 测试”，形成双向 2 × 2 矩阵。目标域不参与源模型训练、阈值拟合或方法选择。所有权重按各自源域 selection 的统一规则选择。</w:t>
      </w:r>
    </w:p>
    <w:p>
      <w:r>
        <w:t>追加优先级为：独立第三来源上 R 和完整方法的评估；另一骨干上的方法迁移；一个非 YOLO 检测器；640 与 960 的三种子上界比较；官方参考划分补充实验。第三来源的纯评估不增加训练。非 YOLO 对照通常另加 3 次，另一骨干的完整方法通常另加 3 次；均需按实际复用情况核算。</w:t>
      </w:r>
    </w:p>
    <w:p>
      <w:r>
        <w:t>外部检测器保留其合理的作者训练配方，报告初始化、预算和调参范围。机制消融严格同协议，跨架构比较同时报告合理配方和资源开销，不为了形式上“所有参数一样”而使某个对照欠拟合。相同 n 后缀不代表相同 FLOPs 或延迟。</w:t>
      </w:r>
    </w:p>
    <w:p>
      <w:pPr>
        <w:pStyle w:val="Heading2"/>
      </w:pPr>
      <w:r>
        <w:t>内部继续标准</w:t>
      </w:r>
    </w:p>
    <w:p>
      <w:r>
        <w:t>预先登记的工程目标可设为：相对 R，开发集交叉拟合工作点的 smoke 召回平均增加至少 3 个百分点，实际 FPR 增加不超过 0.5 个百分点，且 AP50–95 下降不超过 0.3 个百分点；fire AP-small 争取增加 2 个百分点。它们是研究管理阈值，不是期刊录用标准，也不能替代置信区间或被事后改变。</w:t>
      </w:r>
    </w:p>
    <w:p>
      <w:r>
        <w:t>三种子方向不一致、效果小于训练波动或相对 M05 没有独立作用时，不强行进入全部扩展。最终论文同时报告平均值、每 seed 值、置信区间、误报和效率，让结论与证据一致。</w:t>
      </w:r>
    </w:p>
    <w:p>
      <w:pPr>
        <w:pStyle w:val="Heading1"/>
      </w:pPr>
      <w:r>
        <w:t>7 评价指标和统计口径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24"/>
        <w:gridCol w:w="3816"/>
        <w:gridCol w:w="4824"/>
      </w:tblGrid>
      <w:tr>
        <w:trPr>
          <w:cantSplit/>
          <w:tblHeader/>
        </w:trPr>
        <w:tc>
          <w:tcPr>
            <w:tcW w:type="dxa" w:w="122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816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必须报告的指标</w:t>
            </w:r>
          </w:p>
        </w:tc>
        <w:tc>
          <w:tcPr>
            <w:tcW w:type="dxa" w:w="482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检测</w:t>
            </w:r>
          </w:p>
        </w:tc>
        <w:tc>
          <w:tcPr>
            <w:tcW w:type="dxa" w:w="381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AP50、AP75、AP50–95、分类别 AP</w:t>
            </w:r>
          </w:p>
        </w:tc>
        <w:tc>
          <w:tcPr>
            <w:tcW w:type="dxa" w:w="48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同一评估器、匹配和后处理设置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尺度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COCO AP-small、medium、large</w:t>
            </w:r>
          </w:p>
        </w:tc>
        <w:tc>
          <w:tcPr>
            <w:tcW w:type="dxa" w:w="48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GT 面积在原图坐标统计；另报缩放后短边分层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图像报警</w:t>
            </w:r>
          </w:p>
        </w:tc>
        <w:tc>
          <w:tcPr>
            <w:tcW w:type="dxa" w:w="381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fire 与 smoke 召回、各类负图 FPR、联合报警率</w:t>
            </w:r>
          </w:p>
        </w:tc>
        <w:tc>
          <w:tcPr>
            <w:tcW w:type="dxa" w:w="48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源域 calibration 拟合阈值后冻结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错误数量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背景 FP/image、全部图片 FP/image、定位与重复错误</w:t>
            </w:r>
          </w:p>
        </w:tc>
        <w:tc>
          <w:tcPr>
            <w:tcW w:type="dxa" w:w="48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明确分母与固定工作点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概率质量</w:t>
            </w:r>
          </w:p>
        </w:tc>
        <w:tc>
          <w:tcPr>
            <w:tcW w:type="dxa" w:w="381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Brier、ECE 和可靠性曲线</w:t>
            </w:r>
          </w:p>
        </w:tc>
        <w:tc>
          <w:tcPr>
            <w:tcW w:type="dxa" w:w="48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若做校准，评估必须在未拟合数据上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性能开销</w:t>
            </w:r>
          </w:p>
        </w:tc>
        <w:tc>
          <w:tcPr>
            <w:tcW w:type="dxa" w:w="381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参数量、FLOPs、峰值显存、端到端 p50 与 p95 延迟</w:t>
            </w:r>
          </w:p>
        </w:tc>
        <w:tc>
          <w:tcPr>
            <w:tcW w:type="dxa" w:w="48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batch1、固定设备精度，包含预处理和后处理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每类 FPR 的负图是“不含该类”的图像，可能包含另一类别；两类都没有的纯背景图是更小子集。两个类别各自 1% FPR 不等于联合报警率 1%。图像级召回只反映该类是否被报警，不能替代目标框的定位召回。</w:t>
      </w:r>
    </w:p>
    <w:p>
      <w:r>
        <w:t>源域 calibration 上选择满足经验每类 FPR ≤ 1% 的阈值，然后冻结到同域 test 和跨域 test。测试时报告实际 FPR 与召回；跨域 FPR 超过预算就是结果的一部分。另给阈值扫描曲线帮助解释排序能力，但不把在目标测试集上重新调出的阈值当作可部署结果。</w:t>
      </w:r>
    </w:p>
    <w:p>
      <w:r>
        <w:t>当前 validation 中纯背景图约 790 张，1% 对应约 8 张报警图，低误报结论的抽样误差不可忽略。不能在这种样本量上宣传极低误报保证。0.1% FPR 只在独立负图和独立场景足够时作为探索性结果，附区间和样本数。</w:t>
      </w:r>
    </w:p>
    <w:p>
      <w:r>
        <w:t>统计单位优先为视频、事件或场景组。对相同组做配对 bootstrap，重新计算两个方法的指标及差值，建议 2,000 次；每个训练种子分别保存结果。跨种子平均和场景抽样不确定性要区分，不能把三个 seed × 所有图片当独立样本。组 ID 不完整时明确降为图像级区间，并说明无法消除帧相关性。</w:t>
      </w:r>
    </w:p>
    <w:p>
      <w:r>
        <w:t>对主要终点预先登记比较与差值定义。完整 bootstrap 差值区间跨过零时，表述为证据尚不充分。3 个 seed 用于基本稳健性；若关键差异接近波动或符号不稳，优先把关键方法扩至 5 个 seed，优先级高于增加新模块。</w:t>
      </w:r>
    </w:p>
    <w:p>
      <w:pPr>
        <w:pStyle w:val="Heading2"/>
      </w:pPr>
      <w:r>
        <w:t>连续视频只在有真实数据时扩展</w:t>
      </w:r>
    </w:p>
    <w:p>
      <w:r>
        <w:t>若论文要强调“预警”，需增加有真实时间戳和独立事件的连续视频，按摄像头和事件隔离开发与测试。建议先做 20–50 个阳性事件和至少 20 小时困难无火背景的可行性试验，报告漏报事件、首次可见烟雾至报警的时间以及事件合并后的误报次数每小时。这些是采集预算，不是充分样本量保证。</w:t>
      </w:r>
    </w:p>
    <w:p>
      <w:r>
        <w:t>阳性事件必须包含漏报，不能只在成功报警事件上报平均延迟。持续时间判据、重复报警合并窗口、抽帧频率都在开发集固定。若只有图片，本轮论文聚焦检测和图像报警，不将 FP/image 换算为每小时误报。</w:t>
      </w:r>
    </w:p>
    <w:p>
      <w:pPr>
        <w:pStyle w:val="Heading1"/>
      </w:pPr>
      <w:r>
        <w:t>8 从现在起的二十四周安排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96"/>
        <w:gridCol w:w="2088"/>
        <w:gridCol w:w="3240"/>
        <w:gridCol w:w="3240"/>
      </w:tblGrid>
      <w:tr>
        <w:trPr>
          <w:cantSplit/>
          <w:tblHeader/>
        </w:trPr>
        <w:tc>
          <w:tcPr>
            <w:tcW w:type="dxa" w:w="1296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088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4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240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阶段交付和决策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1–2 周</w:t>
            </w:r>
          </w:p>
        </w:tc>
        <w:tc>
          <w:tcPr>
            <w:tcW w:type="dxa" w:w="20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2026/09/22–10/05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数据审计、同协议 baseline 核验、文献比对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分组清单、异常清单、8 篇精读；确认主问题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3–4 周</w:t>
            </w:r>
          </w:p>
        </w:tc>
        <w:tc>
          <w:tcPr>
            <w:tcW w:type="dxa" w:w="208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10/06–10/19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冻结数据和评估；D01 收敛及 baseline/P2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决定 T 和 R；核验评价管线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5–8 周</w:t>
            </w:r>
          </w:p>
        </w:tc>
        <w:tc>
          <w:tcPr>
            <w:tcW w:type="dxa" w:w="20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10/20–11/16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D02–D04、候选实现、机制检查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仅保留有证据的方向；首次新颖性评审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9–12 周</w:t>
            </w:r>
          </w:p>
        </w:tc>
        <w:tc>
          <w:tcPr>
            <w:tcW w:type="dxa" w:w="208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11/17–12/14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D-Fire 正式三种子、完整消融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主表、机制图、稳定性和失败案例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13–16 周</w:t>
            </w:r>
          </w:p>
        </w:tc>
        <w:tc>
          <w:tcPr>
            <w:tcW w:type="dxa" w:w="20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12/15–2027/01/11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FASDD 正式训练、冻结方法后双向测试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跨域矩阵、第三来源测试、区间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17–20 周</w:t>
            </w:r>
          </w:p>
        </w:tc>
        <w:tc>
          <w:tcPr>
            <w:tcW w:type="dxa" w:w="208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01/12–02/08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效率、必要扩展、全文初稿</w:t>
            </w:r>
          </w:p>
        </w:tc>
        <w:tc>
          <w:tcPr>
            <w:tcW w:type="dxa" w:w="3240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完整稿、结果复核、导师预审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 21–24 周</w:t>
            </w:r>
          </w:p>
        </w:tc>
        <w:tc>
          <w:tcPr>
            <w:tcW w:type="dxa" w:w="208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02/09–03/08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根据预审补证、代码与材料整理、期刊核验</w:t>
            </w:r>
          </w:p>
        </w:tc>
        <w:tc>
          <w:tcPr>
            <w:tcW w:type="dxa" w:w="3240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可投稿稿件及投稿附件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24 周是资源假设下的目标，春节安排、数据许可和人工标注可影响排期。第 4、8、12、16 周进行实质性继续或调整决策。不要把审稿结束或录用日期写入可控进度承诺。</w:t>
      </w:r>
    </w:p>
    <w:p>
      <w:pPr>
        <w:pStyle w:val="Heading2"/>
      </w:pPr>
      <w:r>
        <w:t>接下来两周的具体日程</w:t>
      </w:r>
    </w:p>
    <w:p>
      <w:pPr>
        <w:ind w:left="317" w:hanging="317"/>
      </w:pPr>
      <w:r>
        <w:t>1. 第 1–2 天：恢复远程访问并快照当前结果；找回另一工作站 baseline 的 run.json、权重哈希与配置；核实学校分区版本、预警名单、版面费预算和毕业时间节点。</w:t>
      </w:r>
    </w:p>
    <w:p>
      <w:pPr>
        <w:ind w:left="317" w:hanging="317"/>
      </w:pPr>
      <w:r>
        <w:t>2. 第 3–5 天：整理全部标签异常与 743 对候选，生成可审阅联系图；开始 600 张分层抽样核查，写清框标注规则，完成第一批场景组。</w:t>
      </w:r>
    </w:p>
    <w:p>
      <w:pPr>
        <w:ind w:left="317" w:hanging="317"/>
      </w:pPr>
      <w:r>
        <w:t>3. 第 6–8 天：完成跨库候选检索与外部数据可用性调查；提出分组 G 清单，统计每类、每来源、每尺度和独立组数量。</w:t>
      </w:r>
    </w:p>
    <w:p>
      <w:pPr>
        <w:ind w:left="317" w:hanging="317"/>
      </w:pPr>
      <w:r>
        <w:t>4. 第 9–10 天：完成小样本拟合、类别映射、坐标和评估一致性检查；冻结首个可用数据版本和核心指标，不急于实现新损失。</w:t>
      </w:r>
    </w:p>
    <w:p>
      <w:pPr>
        <w:ind w:left="317" w:hanging="317"/>
      </w:pPr>
      <w:r>
        <w:t>5. 第 11–14 天：开始 D01 的 baseline/P2 收敛实验；形成每次运行的计划、结果和异常记录；与导师讨论研究问题和文献差异。</w:t>
      </w:r>
    </w:p>
    <w:p>
      <w:r>
        <w:t>如果人工审计超过两周，先完成代表性样本和高风险候选来验证方向，正式实验等待冻结数据后开始。不要把未经确认的候选删除后直接训练，以免引入新的选择偏差。</w:t>
      </w:r>
    </w:p>
    <w:p>
      <w:pPr>
        <w:pStyle w:val="Heading2"/>
      </w:pPr>
      <w:r>
        <w:t>每周工作方式</w:t>
      </w:r>
    </w:p>
    <w:p>
      <w:r>
        <w:t>每周固定一次结果审阅，记录这一周回答了什么问题、失败原因、消耗的 GPU 小时和下一项最有价值的实验。任何新增实验先写假设、唯一变量、评价终点、继续标准和预算。论文从第 2 周开始维护相关工作与实验协议，第 8 周开始维护方法与消融章节。</w:t>
      </w:r>
    </w:p>
    <w:p>
      <w:pPr>
        <w:pStyle w:val="Heading1"/>
      </w:pPr>
      <w:r>
        <w:t>9 算力预算和人员分工</w:t>
      </w:r>
    </w:p>
    <w:p>
      <w:r>
        <w:t>已核验 CSV 的累计时间显示，旧 P2 的 100 轮约为 3.16–3.30 小时，SRDG 约 3.36 小时，DCBR 约 3.77–3.90 小时，最新 ACR seed0 约 4.69 小时；旧 baseline 约 1.73–1.75 小时。它们来自旧配置，只能作排队估算，不能代表新数据、200 轮、960 输入或 FASDD 的实际速度。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28"/>
        <w:gridCol w:w="2664"/>
        <w:gridCol w:w="5472"/>
      </w:tblGrid>
      <w:tr>
        <w:trPr>
          <w:cantSplit/>
          <w:tblHeader/>
        </w:trPr>
        <w:tc>
          <w:tcPr>
            <w:tcW w:type="dxa" w:w="1728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266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预算</w:t>
            </w:r>
          </w:p>
        </w:tc>
        <w:tc>
          <w:tcPr>
            <w:tcW w:type="dxa" w:w="5472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如何控制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首轮开发</w:t>
            </w:r>
          </w:p>
        </w:tc>
        <w:tc>
          <w:tcPr>
            <w:tcW w:type="dxa" w:w="266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最多 12 次完整训练</w:t>
            </w:r>
          </w:p>
        </w:tc>
        <w:tc>
          <w:tcPr>
            <w:tcW w:type="dxa" w:w="547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每个运行绑定一个问题；可终止确定失败的开发配置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超参数开发</w:t>
            </w:r>
          </w:p>
        </w:tc>
        <w:tc>
          <w:tcPr>
            <w:tcW w:type="dxa" w:w="266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最多追加 6 次</w:t>
            </w:r>
          </w:p>
        </w:tc>
        <w:tc>
          <w:tcPr>
            <w:tcW w:type="dxa" w:w="547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优先一维损失权重搜索；保留全部结果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核心正式实验</w:t>
            </w:r>
          </w:p>
        </w:tc>
        <w:tc>
          <w:tcPr>
            <w:tcW w:type="dxa" w:w="266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39 次训练</w:t>
            </w:r>
          </w:p>
        </w:tc>
        <w:tc>
          <w:tcPr>
            <w:tcW w:type="dxa" w:w="547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27 次 D-Fire，12 次 FASDD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可选扩展</w:t>
            </w:r>
          </w:p>
        </w:tc>
        <w:tc>
          <w:tcPr>
            <w:tcW w:type="dxa" w:w="266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初步预留 6–12 次</w:t>
            </w:r>
          </w:p>
        </w:tc>
        <w:tc>
          <w:tcPr>
            <w:tcW w:type="dxa" w:w="5472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第二骨干、非 YOLO、分辨率和关键方法扩种子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数据与图表</w:t>
            </w:r>
          </w:p>
        </w:tc>
        <w:tc>
          <w:tcPr>
            <w:tcW w:type="dxa" w:w="266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GPU 占用较少，人工时间为主</w:t>
            </w:r>
          </w:p>
        </w:tc>
        <w:tc>
          <w:tcPr>
            <w:tcW w:type="dxa" w:w="5472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优先解决组身份和标注定义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初始可预留约 200–450 GPU 小时作为排程占位，并在 FASDD 的 10 轮试跑后重估。如果最终统一使用 200 轮、较大外部模型或高分辨率，预算可能进一步增加。估算采用“各配置实测每轮耗时 × 轮数 × 种子数”，另加约 20% 排错和评估余量；不把旧 baseline 的时间直接套用到全部实验。</w:t>
      </w:r>
    </w:p>
    <w:p>
      <w:r>
        <w:t>39 次核心训练中，D-Fire 27 次若暂按旧 P2 的 3.2 小时计算约 86.4 小时；其余预算主要受 FASDD 规模、排序损失开销和正式轮数影响。100→200 轮的成本接近翻倍但需实测。单张 3090 足以支持分阶段研究，现阶段主要缺口是可信数据和可归因实验。</w:t>
      </w:r>
    </w:p>
    <w:p>
      <w:r>
        <w:t>研究者负责标注语义、争议样本裁决、场景证据收集和每周科研判断；导师参与创新性和投稿定位评审。代码助手可负责清单生成、实验实现、运行核验、指标与图表，但不能替代人工标注确认，也不能把推测写成真值。</w:t>
      </w:r>
    </w:p>
    <w:p>
      <w:r>
        <w:t>每次运行至少留存 commit、数据与标签哈希、预训练权重哈希、初始化迁移清单、完整配置、环境、seed、best 选择记录和时间。最终选定模型保存逐图预测，便于之后重算指标。先测单个运行产物大小再估算存储，不覆盖现有实验目录。</w:t>
      </w:r>
    </w:p>
    <w:p>
      <w:pPr>
        <w:pStyle w:val="Heading2"/>
      </w:pPr>
      <w:r>
        <w:t>失败时如何调整</w:t>
      </w:r>
    </w:p>
    <w:p>
      <w:r>
        <w:t>第 4 周仍无法获得可信分组时，改用具有可靠组身份的来源开展核心实验，原 D-Fire 作为参考结果。第 8 周方法缺乏新意或优于传统对照的证据时，停止扩大种子与数据集，重新审视排序和定位瓶颈。第 12 周仅有微小不稳定增益时，优先扩关键种子或收窄主张。第 16 周跨域失败时，报告失败及适用边界，不再把外部测试当调参集。</w:t>
      </w:r>
    </w:p>
    <w:p>
      <w:pPr>
        <w:pStyle w:val="Heading1"/>
      </w:pPr>
      <w:r>
        <w:t>10 论文材料和投稿选择</w:t>
      </w:r>
    </w:p>
    <w:p>
      <w:r>
        <w:t>稿件至少需要以下可核验材料：数据来源与排除统计表、模型及预算主表、四项共同方法的跨域矩阵、A/C 二因素消融、低误报曲线、正负分数与错误机制图、精度效率图以及代表性失败案例。小目标结果、困难背景结果和整体结果要同时保留。</w:t>
      </w:r>
    </w:p>
    <w:p>
      <w:r>
        <w:t>正文建议围绕问题、相关工作、方法、实验与局限展开。实验部分先解释数据与评价协议，再给主结果和机制，最后说明跨域和部署。论文摘要中的数字都必须能定位到固定权重、固定划分和一个明确定义的指标。</w:t>
      </w:r>
    </w:p>
    <w:p>
      <w:r>
        <w:t>复现材料包括依赖与源码版本、数据下载指引、分组和修订清单、训练评估命令、种子结果、权重或获取方式、统计脚本和许可证说明。数据不能重新分发时，发布清单与生成脚本。跨域阴性结果与失败配置可放补充材料，不能只发布有利种子。</w:t>
      </w:r>
    </w:p>
    <w:p>
      <w:pPr>
        <w:pStyle w:val="Heading2"/>
      </w:pPr>
      <w:r>
        <w:t>期刊按研究内容匹配后再核实分区</w:t>
      </w:r>
    </w:p>
    <w:p>
      <w:r>
        <w:t>用户目标已经明确为中科院大类二区。JCR Q2、影响因子和出版社页面不能替代这一认定。以学校认可版本及适用年度为准，记录大类、小类、SCIE 状态、预警名单和单位政策；本规划不将下列候选认证为当前中科院大类二区。[11]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Ind w:type="dxa" w:w="1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24"/>
        <w:gridCol w:w="3096"/>
        <w:gridCol w:w="3744"/>
      </w:tblGrid>
      <w:tr>
        <w:trPr>
          <w:cantSplit/>
          <w:tblHeader/>
        </w:trPr>
        <w:tc>
          <w:tcPr>
            <w:tcW w:type="dxa" w:w="302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候选期刊</w:t>
            </w:r>
          </w:p>
        </w:tc>
        <w:tc>
          <w:tcPr>
            <w:tcW w:type="dxa" w:w="3096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内容匹配判断</w:t>
            </w:r>
          </w:p>
        </w:tc>
        <w:tc>
          <w:tcPr>
            <w:tcW w:type="dxa" w:w="3744"/>
            <w:vAlign w:val="center"/>
            <w:shd w:fill="24465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投稿前需要达到的证据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Image and Vision Computing [12]</w:t>
            </w:r>
          </w:p>
        </w:tc>
        <w:tc>
          <w:tcPr>
            <w:tcW w:type="dxa" w:w="30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适合视觉方法与真实场景的定量比较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有独立方法贡献、机制消融和多来源验证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Applied Soft Computing [13]</w:t>
            </w:r>
          </w:p>
        </w:tc>
        <w:tc>
          <w:tcPr>
            <w:tcW w:type="dxa" w:w="309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适合针对实际问题的学习与优化方法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方法相对成熟排序或不平衡损失有明确差异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Fire Safety Journal [14]</w:t>
            </w:r>
          </w:p>
        </w:tc>
        <w:tc>
          <w:tcPr>
            <w:tcW w:type="dxa" w:w="3096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适合火灾安全检测的工程问题</w:t>
            </w:r>
          </w:p>
        </w:tc>
        <w:tc>
          <w:tcPr>
            <w:tcW w:type="dxa" w:w="3744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说明误报与漏报的工程意义，真实场景证据更强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Engineering Applications of Artificial Intelligence [15]</w:t>
            </w:r>
          </w:p>
        </w:tc>
        <w:tc>
          <w:tcPr>
            <w:tcW w:type="dxa" w:w="3096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方法和工程验证较完整时的进取候选</w:t>
            </w:r>
          </w:p>
        </w:tc>
        <w:tc>
          <w:tcPr>
            <w:tcW w:type="dxa" w:w="3744"/>
            <w:vAlign w:val="center"/>
            <w:shd w:fill="F1F5F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spacing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公共数据可复现，并清楚说明 AI 贡献与工程应用</w:t>
            </w:r>
          </w:p>
        </w:tc>
      </w:tr>
    </w:tbl>
    <w:p>
      <w:pPr>
        <w:spacing w:after="40" w:line="240" w:lineRule="auto" w:before="0"/>
      </w:pPr>
      <w:r>
        <w:rPr>
          <w:sz w:val="4"/>
        </w:rPr>
      </w:r>
    </w:p>
    <w:p>
      <w:r>
        <w:t>这些是方向候选，不是录用概率排序，也不表示它们处于相同分区。第 2 周与导师锁定 2–3 本真正满足学校认定的期刊，第 16 周依结果调整定位，正式投稿前再次核验。预算未知时先记录开放获取是否强制及费用来源，不预设已同意 APC 支出。</w:t>
      </w:r>
    </w:p>
    <w:p>
      <w:r>
        <w:t>项目内部的投稿准备判断为：关键数据问题可追溯，主要方法至少三个种子完成，比较包含普通困难负样本和最近的排序方法，跨域或独立场景证据支持相应主张，推理效率实测，论文数字可复算，方法差异经导师与文献审阅成立。不存在“AP 提高多少就必然够二区”的统一门槛。</w:t>
      </w:r>
    </w:p>
    <w:p>
      <w:r>
        <w:t>最先执行的工作是第 1–2 周的数据和公平基线审计。研究问题得到确认后，再投入候选方法；24 周结束时以一份证据完整、结论克制且可复现的稿件作为交付目标。</w:t>
      </w:r>
    </w:p>
    <w:p>
      <w:pPr>
        <w:pStyle w:val="Heading1"/>
        <w:pageBreakBefore/>
      </w:pPr>
      <w:r>
        <w:t>参考文献与证据索引</w:t>
      </w:r>
    </w:p>
    <w:p>
      <w:r>
        <w:t>检索日期为 2026 年 9 月 22 日。下列链接用于追溯原始研究、数据和期刊范围；不以不同论文的 headline 分数作跨划分优劣比较。</w:t>
      </w:r>
    </w:p>
    <w:p>
      <w:pPr>
        <w:ind w:left="317" w:hanging="317"/>
      </w:pPr>
      <w:r>
        <w:t>1. D-Fire 作者仓库。数据说明与下载入口。</w:t>
      </w:r>
      <w:hyperlink r:id="rId11">
        <w:r>
          <w:rPr>
            <w:rFonts w:ascii="Calibri" w:hAnsi="Calibri" w:eastAsia="Microsoft YaHei"/>
            <w:color w:val="17598A"/>
          </w:rPr>
          <w:t>访问作者仓库</w:t>
        </w:r>
      </w:hyperlink>
      <w:r>
        <w:t>。</w:t>
      </w:r>
    </w:p>
    <w:p>
      <w:pPr>
        <w:ind w:left="317" w:hanging="317"/>
      </w:pPr>
      <w:r>
        <w:t>2. Han 等。Benchmarking Multi-Scene Fire and Smoke Detection，2024。</w:t>
      </w:r>
      <w:hyperlink r:id="rId12">
        <w:r>
          <w:rPr>
            <w:rFonts w:ascii="Calibri" w:hAnsi="Calibri" w:eastAsia="Microsoft YaHei"/>
            <w:color w:val="17598A"/>
          </w:rPr>
          <w:t>论文</w:t>
        </w:r>
      </w:hyperlink>
      <w:r>
        <w:t>；</w:t>
      </w:r>
      <w:hyperlink r:id="rId13">
        <w:r>
          <w:rPr>
            <w:rFonts w:ascii="Calibri" w:hAnsi="Calibri" w:eastAsia="Microsoft YaHei"/>
            <w:color w:val="17598A"/>
          </w:rPr>
          <w:t>作者代码与数据说明</w:t>
        </w:r>
      </w:hyperlink>
      <w:r>
        <w:t>。</w:t>
      </w:r>
    </w:p>
    <w:p>
      <w:pPr>
        <w:ind w:left="317" w:hanging="317"/>
      </w:pPr>
      <w:r>
        <w:t>3. Ruangsang 与 Pramkeaw。Cross-Dataset Evaluation of YOLOv8 for Unmanned Aerial Vehicle Fire and Smoke Detection，Drones，2026。</w:t>
      </w:r>
      <w:hyperlink r:id="rId14">
        <w:r>
          <w:rPr>
            <w:rFonts w:ascii="Calibri" w:hAnsi="Calibri" w:eastAsia="Microsoft YaHei"/>
            <w:color w:val="17598A"/>
          </w:rPr>
          <w:t>出版社全文</w:t>
        </w:r>
      </w:hyperlink>
      <w:r>
        <w:t>。</w:t>
      </w:r>
    </w:p>
    <w:p>
      <w:pPr>
        <w:ind w:left="317" w:hanging="317"/>
      </w:pPr>
      <w:r>
        <w:t>4. Wang 等。SSmokeDet A novel network dedicated to small-scale smoke detection，Engineering Applications of Artificial Intelligence，2025。</w:t>
      </w:r>
      <w:hyperlink r:id="rId15">
        <w:r>
          <w:rPr>
            <w:rFonts w:ascii="Calibri" w:hAnsi="Calibri" w:eastAsia="Microsoft YaHei"/>
            <w:color w:val="17598A"/>
          </w:rPr>
          <w:t>论文 DOI</w:t>
        </w:r>
      </w:hyperlink>
      <w:r>
        <w:t>。</w:t>
      </w:r>
    </w:p>
    <w:p>
      <w:pPr>
        <w:ind w:left="317" w:hanging="317"/>
      </w:pPr>
      <w:r>
        <w:t>5. Li 等。Generalized Focal Loss Learning Qualified and Distributed Bounding Boxes for Dense Object Detection，2020。</w:t>
      </w:r>
      <w:hyperlink r:id="rId16">
        <w:r>
          <w:rPr>
            <w:rFonts w:ascii="Calibri" w:hAnsi="Calibri" w:eastAsia="Microsoft YaHei"/>
            <w:color w:val="17598A"/>
          </w:rPr>
          <w:t>论文</w:t>
        </w:r>
      </w:hyperlink>
      <w:r>
        <w:t>。</w:t>
      </w:r>
    </w:p>
    <w:p>
      <w:pPr>
        <w:ind w:left="317" w:hanging="317"/>
      </w:pPr>
      <w:r>
        <w:t>6. Zhang 等。VarifocalNet An IoU-aware Dense Object Detector，2021。</w:t>
      </w:r>
      <w:hyperlink r:id="rId17">
        <w:r>
          <w:rPr>
            <w:rFonts w:ascii="Calibri" w:hAnsi="Calibri" w:eastAsia="Microsoft YaHei"/>
            <w:color w:val="17598A"/>
          </w:rPr>
          <w:t>论文</w:t>
        </w:r>
      </w:hyperlink>
      <w:r>
        <w:t>。</w:t>
      </w:r>
    </w:p>
    <w:p>
      <w:pPr>
        <w:ind w:left="317" w:hanging="317"/>
      </w:pPr>
      <w:r>
        <w:t>7. Oksuz 等。Rank and Sort Loss for Object Detection and Instance Segmentation，ICCV 2021。</w:t>
      </w:r>
      <w:hyperlink r:id="rId18">
        <w:r>
          <w:rPr>
            <w:rFonts w:ascii="Calibri" w:hAnsi="Calibri" w:eastAsia="Microsoft YaHei"/>
            <w:color w:val="17598A"/>
          </w:rPr>
          <w:t>论文</w:t>
        </w:r>
      </w:hyperlink>
      <w:r>
        <w:t>。</w:t>
      </w:r>
    </w:p>
    <w:p>
      <w:pPr>
        <w:ind w:left="317" w:hanging="317"/>
      </w:pPr>
      <w:r>
        <w:t>8. Efficient pedestrian detection by directly optimize the partial area under the ROC curve，2013。</w:t>
      </w:r>
      <w:hyperlink r:id="rId19">
        <w:r>
          <w:rPr>
            <w:rFonts w:ascii="Calibri" w:hAnsi="Calibri" w:eastAsia="Microsoft YaHei"/>
            <w:color w:val="17598A"/>
          </w:rPr>
          <w:t>论文</w:t>
        </w:r>
      </w:hyperlink>
      <w:r>
        <w:t>。</w:t>
      </w:r>
    </w:p>
    <w:p>
      <w:pPr>
        <w:ind w:left="317" w:hanging="317"/>
      </w:pPr>
      <w:r>
        <w:t>9. Wang 等。An open flame and smoke detection dataset for deep learning in remote sensing based fire detection，2024。</w:t>
      </w:r>
      <w:hyperlink r:id="rId20">
        <w:r>
          <w:rPr>
            <w:rFonts w:ascii="Calibri" w:hAnsi="Calibri" w:eastAsia="Microsoft YaHei"/>
            <w:color w:val="17598A"/>
          </w:rPr>
          <w:t>FASDD 正式论文</w:t>
        </w:r>
      </w:hyperlink>
      <w:r>
        <w:t>。</w:t>
      </w:r>
    </w:p>
    <w:p>
      <w:pPr>
        <w:ind w:left="317" w:hanging="317"/>
      </w:pPr>
      <w:r>
        <w:t>10. Lostanlen 等。Constructing a Real-World Benchmark for Early Wildfire Detection with the New PYRONEAR-2025 Dataset，当前条目 v3。</w:t>
      </w:r>
      <w:hyperlink r:id="rId21">
        <w:r>
          <w:rPr>
            <w:rFonts w:ascii="Calibri" w:hAnsi="Calibri" w:eastAsia="Microsoft YaHei"/>
            <w:color w:val="17598A"/>
          </w:rPr>
          <w:t>论文</w:t>
        </w:r>
      </w:hyperlink>
      <w:r>
        <w:t>。</w:t>
      </w:r>
    </w:p>
    <w:p>
      <w:pPr>
        <w:ind w:left="317" w:hanging="317"/>
      </w:pPr>
      <w:r>
        <w:t>11. 中国科学院文献情报中心期刊分区表。</w:t>
      </w:r>
      <w:hyperlink r:id="rId22">
        <w:r>
          <w:rPr>
            <w:rFonts w:ascii="Calibri" w:hAnsi="Calibri" w:eastAsia="Microsoft YaHei"/>
            <w:color w:val="17598A"/>
          </w:rPr>
          <w:t>官方查询入口</w:t>
        </w:r>
      </w:hyperlink>
      <w:r>
        <w:t xml:space="preserve">；与 </w:t>
      </w:r>
      <w:hyperlink r:id="rId23">
        <w:r>
          <w:rPr>
            <w:rFonts w:ascii="Calibri" w:hAnsi="Calibri" w:eastAsia="Microsoft YaHei"/>
            <w:color w:val="17598A"/>
          </w:rPr>
          <w:t>Clarivate JCR 分区说明</w:t>
        </w:r>
      </w:hyperlink>
      <w:r>
        <w:t xml:space="preserve"> 区分使用。</w:t>
      </w:r>
    </w:p>
    <w:p>
      <w:pPr>
        <w:ind w:left="317" w:hanging="317"/>
      </w:pPr>
      <w:r>
        <w:t>12. Image and Vision Computing。</w:t>
      </w:r>
      <w:hyperlink r:id="rId24">
        <w:r>
          <w:rPr>
            <w:rFonts w:ascii="Calibri" w:hAnsi="Calibri" w:eastAsia="Microsoft YaHei"/>
            <w:color w:val="17598A"/>
          </w:rPr>
          <w:t>出版社期刊说明</w:t>
        </w:r>
      </w:hyperlink>
      <w:r>
        <w:t>。</w:t>
      </w:r>
    </w:p>
    <w:p>
      <w:pPr>
        <w:ind w:left="317" w:hanging="317"/>
      </w:pPr>
      <w:r>
        <w:t>13. Applied Soft Computing。</w:t>
      </w:r>
      <w:hyperlink r:id="rId25">
        <w:r>
          <w:rPr>
            <w:rFonts w:ascii="Calibri" w:hAnsi="Calibri" w:eastAsia="Microsoft YaHei"/>
            <w:color w:val="17598A"/>
          </w:rPr>
          <w:t>出版社期刊说明</w:t>
        </w:r>
      </w:hyperlink>
      <w:r>
        <w:t>。</w:t>
      </w:r>
    </w:p>
    <w:p>
      <w:pPr>
        <w:ind w:left="317" w:hanging="317"/>
      </w:pPr>
      <w:r>
        <w:t>14. Fire Safety Journal。</w:t>
      </w:r>
      <w:hyperlink r:id="rId26">
        <w:r>
          <w:rPr>
            <w:rFonts w:ascii="Calibri" w:hAnsi="Calibri" w:eastAsia="Microsoft YaHei"/>
            <w:color w:val="17598A"/>
          </w:rPr>
          <w:t>出版社期刊说明</w:t>
        </w:r>
      </w:hyperlink>
      <w:r>
        <w:t>。</w:t>
      </w:r>
    </w:p>
    <w:p>
      <w:pPr>
        <w:ind w:left="317" w:hanging="317"/>
      </w:pPr>
      <w:r>
        <w:t>15. Engineering Applications of Artificial Intelligence。</w:t>
      </w:r>
      <w:hyperlink r:id="rId27">
        <w:r>
          <w:rPr>
            <w:rFonts w:ascii="Calibri" w:hAnsi="Calibri" w:eastAsia="Microsoft YaHei"/>
            <w:color w:val="17598A"/>
          </w:rPr>
          <w:t>出版社期刊说明</w:t>
        </w:r>
      </w:hyperlink>
      <w:r>
        <w:t>。</w:t>
      </w:r>
    </w:p>
    <w:p>
      <w:r>
        <w:t>仓库证据：</w:t>
      </w:r>
      <w:hyperlink r:id="rId28">
        <w:r>
          <w:rPr>
            <w:rFonts w:ascii="Calibri" w:hAnsi="Calibri" w:eastAsia="Microsoft YaHei"/>
            <w:color w:val="17598A"/>
          </w:rPr>
          <w:t>Linmu-xy/Fire-YOLOv11 的 ce4a405 提交</w:t>
        </w:r>
      </w:hyperlink>
      <w:r>
        <w:t>，包括 experiments/yolo11n 下的 results.csv、run.json、args.yaml，以及 docs 中现有协议与设计文档。新增 ACR 运行已单独核对。远程历史诊断为 artifacts/analysis/review-20260920-ce4a405/REPORT.md，此诊断目录未随该 Git 快照发布。本地原工作副本为 6cd64f7，最新仓库在独立目录审阅；正式运行使用哪个 commit 应写入运行记录，不将提交版本与训练时源码版本混为一谈。</w:t>
      </w:r>
    </w:p>
    <w:p>
      <w:r>
        <w:t>配套实验登记表为 SCI二区实验矩阵_20260922.json。该表仅描述设计、前置条件和种子预算，不是可以直接启动训练的配置。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研究规划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  <w:snapToGrid w:val="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2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inmu-xy/Fire-YOLOv11/tree/ce4a4058242c71b6144c1797904872d7d7513396" TargetMode="External"/><Relationship Id="rId11" Type="http://schemas.openxmlformats.org/officeDocument/2006/relationships/hyperlink" Target="https://github.com/gaia-solutions-on-demand/DFireDataset" TargetMode="External"/><Relationship Id="rId12" Type="http://schemas.openxmlformats.org/officeDocument/2006/relationships/hyperlink" Target="https://arxiv.org/abs/2410.16631" TargetMode="External"/><Relationship Id="rId13" Type="http://schemas.openxmlformats.org/officeDocument/2006/relationships/hyperlink" Target="https://github.com/XiaoyiHan6/MS-FSDB" TargetMode="External"/><Relationship Id="rId14" Type="http://schemas.openxmlformats.org/officeDocument/2006/relationships/hyperlink" Target="https://www.mdpi.com/2504-446X/10/8/635" TargetMode="External"/><Relationship Id="rId15" Type="http://schemas.openxmlformats.org/officeDocument/2006/relationships/hyperlink" Target="https://doi.org/10.1016/j.engappai.2025.110092" TargetMode="External"/><Relationship Id="rId16" Type="http://schemas.openxmlformats.org/officeDocument/2006/relationships/hyperlink" Target="https://arxiv.org/abs/2006.04388" TargetMode="External"/><Relationship Id="rId17" Type="http://schemas.openxmlformats.org/officeDocument/2006/relationships/hyperlink" Target="https://arxiv.org/abs/2008.13367" TargetMode="External"/><Relationship Id="rId18" Type="http://schemas.openxmlformats.org/officeDocument/2006/relationships/hyperlink" Target="https://arxiv.org/abs/2107.11669" TargetMode="External"/><Relationship Id="rId19" Type="http://schemas.openxmlformats.org/officeDocument/2006/relationships/hyperlink" Target="https://arxiv.org/abs/1310.0900" TargetMode="External"/><Relationship Id="rId20" Type="http://schemas.openxmlformats.org/officeDocument/2006/relationships/hyperlink" Target="https://doi.org/10.1080/10095020.2024.2347922" TargetMode="External"/><Relationship Id="rId21" Type="http://schemas.openxmlformats.org/officeDocument/2006/relationships/hyperlink" Target="https://arxiv.org/abs/2402.05349" TargetMode="External"/><Relationship Id="rId22" Type="http://schemas.openxmlformats.org/officeDocument/2006/relationships/hyperlink" Target="https://www.fenqubiao.com/" TargetMode="External"/><Relationship Id="rId23" Type="http://schemas.openxmlformats.org/officeDocument/2006/relationships/hyperlink" Target="https://clarivate.com/academia-government/blog/a-primer-on-ties-in-the-jcr/" TargetMode="External"/><Relationship Id="rId24" Type="http://schemas.openxmlformats.org/officeDocument/2006/relationships/hyperlink" Target="https://shop.elsevier.com/journals/image-and-vision-computing/0262-8856" TargetMode="External"/><Relationship Id="rId25" Type="http://schemas.openxmlformats.org/officeDocument/2006/relationships/hyperlink" Target="https://shop.elsevier.com/journals/applied-soft-computing/1568-4946" TargetMode="External"/><Relationship Id="rId26" Type="http://schemas.openxmlformats.org/officeDocument/2006/relationships/hyperlink" Target="https://shop.elsevier.com/journals/fire-safety-journal/0379-7112" TargetMode="External"/><Relationship Id="rId27" Type="http://schemas.openxmlformats.org/officeDocument/2006/relationships/hyperlink" Target="https://shop.elsevier.com/journals/engineering-applications-of-artificial-intelligence/0952-1976" TargetMode="External"/><Relationship Id="rId28" Type="http://schemas.openxmlformats.org/officeDocument/2006/relationships/hyperlink" Target="https://github.com/Linmu-xy/Fire-YOLOv11/commit/ce4a4058242c71b6144c1797904872d7d75133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火灾烟雾检测论文长期研究规划</dc:title>
  <dc:subject>中科院大类二区目标和二十四周实验计划</dc:subject>
  <dc:creator>FireSmoke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