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PN5180 九路棋格 NFC 读取方案硬件核查报告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核查日期：2026-09-22　｜　核查对象：PN5180 开发板、RF-SW-9CH-V1 九路射频切换板、G6K-2F-RF-V 高频继电器、ANT-24-V1 天线线圈、ULN2803A 驱动电路　｜　核查性质：基于官方数据手册与公开资料的桌面设计核查，不替代样机实测。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总体结论：五项核查中，PN5180 外接线圈</w:t>
            </w:r>
            <w:r>
              <w:rPr>
                <w:rFonts w:eastAsia="等线" w:ascii="Arial" w:cs="Arial" w:hAnsi="Arial"/>
                <w:b w:val="true"/>
                <w:sz w:val="22"/>
              </w:rPr>
              <w:t>支持</w:t>
            </w:r>
            <w:r>
              <w:rPr>
                <w:rFonts w:eastAsia="等线" w:ascii="Arial" w:cs="Arial" w:hAnsi="Arial"/>
                <w:sz w:val="22"/>
              </w:rPr>
              <w:t>；G6K-2F-RF-V 是</w:t>
            </w:r>
            <w:r>
              <w:rPr>
                <w:rFonts w:eastAsia="等线" w:ascii="Arial" w:cs="Arial" w:hAnsi="Arial"/>
                <w:b w:val="true"/>
                <w:sz w:val="22"/>
              </w:rPr>
              <w:t>正式完整的 RF 型号</w:t>
            </w:r>
            <w:r>
              <w:rPr>
                <w:rFonts w:eastAsia="等线" w:ascii="Arial" w:cs="Arial" w:hAnsi="Arial"/>
                <w:sz w:val="22"/>
              </w:rPr>
              <w:t>（订货须追加线圈电压后缀）；射频切换</w:t>
            </w:r>
            <w:r>
              <w:rPr>
                <w:rFonts w:eastAsia="等线" w:ascii="Arial" w:cs="Arial" w:hAnsi="Arial"/>
                <w:b w:val="true"/>
                <w:sz w:val="22"/>
              </w:rPr>
              <w:t>必须同时通断 TX1/TX2 两条差分线</w:t>
            </w:r>
            <w:r>
              <w:rPr>
                <w:rFonts w:eastAsia="等线" w:ascii="Arial" w:cs="Arial" w:hAnsi="Arial"/>
                <w:sz w:val="22"/>
              </w:rPr>
              <w:t>，这是设计硬前提，需对照 RF-SW-9CH-V1 原理图核实；ANT-24-V1 在标准棋格下</w:t>
            </w:r>
            <w:r>
              <w:rPr>
                <w:rFonts w:eastAsia="等线" w:ascii="Arial" w:cs="Arial" w:hAnsi="Arial"/>
                <w:b w:val="true"/>
                <w:sz w:val="22"/>
              </w:rPr>
              <w:t>可通过设计避免邻格串读</w:t>
            </w:r>
            <w:r>
              <w:rPr>
                <w:rFonts w:eastAsia="等线" w:ascii="Arial" w:cs="Arial" w:hAnsi="Arial"/>
                <w:sz w:val="22"/>
              </w:rPr>
              <w:t>，但必须限功率并逐格实测；ULN2803A 在 3.3V 逻辑下驱动继电器</w:t>
            </w:r>
            <w:r>
              <w:rPr>
                <w:rFonts w:eastAsia="等线" w:ascii="Arial" w:cs="Arial" w:hAnsi="Arial"/>
                <w:b w:val="true"/>
                <w:sz w:val="22"/>
              </w:rPr>
              <w:t>不属于可靠设计</w:t>
            </w:r>
            <w:r>
              <w:rPr>
                <w:rFonts w:eastAsia="等线" w:ascii="Arial" w:cs="Arial" w:hAnsi="Arial"/>
                <w:sz w:val="22"/>
              </w:rPr>
              <w:t>，建议 pin 兼容替换为 TPL7407LA 或改用逻辑电平 MOSFET。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RF-SW-9CH-V1、ANT-24-V1 未检索到公开资料，按项目自定义板名处理；相关结论为条件性结论，闭环条件是提交两块板的原理图、实际棋格尺寸与标签型号。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核查范围、对象与方法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本次核查围绕“单颗 PN5180 经九路射频切换分时驱动九枚棋格线圈”的硬件方案，回答五个指定问题，并给出依据、风险与整改动作。核查依据为 NXP、OMRON、TI/ST 的官方产品页、数据手册与应用笔记，以及关键参数的定量核算；未进行样机测试。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3315"/>
        <w:gridCol w:w="3420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核查对象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核查内容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主要依据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PN5180 开发板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是否支持外接线圈及接入条件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NXP OM25180FDK 套件清单、AN11740 天线设计指南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RF-SW-9CH-V1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是否同时切换射频两条线路（项目自定义板，无公开资料）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PN5180 差分驱动拓扑、G6K-2F-RF-V 接点结构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G6K-2F-RF-V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型号是否完整、关键参数是否适用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OMRON K290-CN1 规格书、产品页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ANT-24-V1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实际棋格尺寸下是否邻格串读（按外径约 24mm 线圈推断）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磁场几何衰减估算、ISO/IEC 14443 标签启动场量级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ULN2803A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3.3V 控制输入能否可靠驱动继电器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 ULN2803A 数据手册、G6K DC5 线圈参数、链路裕量核算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结论汇总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20"/>
        <w:gridCol w:w="2070"/>
        <w:gridCol w:w="2280"/>
        <w:gridCol w:w="930"/>
        <w:gridCol w:w="2595"/>
      </w:tblGrid>
      <w:tr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核查项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结论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风险等级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处置动作</w:t>
            </w:r>
          </w:p>
        </w:tc>
      </w:tr>
      <w:tr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PN5180 外接线圈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支持，外接线圈是标准用法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 AN11740 重新调谐匹配；市售模块需断开板载线圈，禁止并联</w:t>
            </w:r>
          </w:p>
        </w:tc>
      </w:tr>
      <w:tr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九路射频切换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TX1/TX2 两条差分线必须同时通断；每路一枚 DPDT 继电器即满足，待原理图核实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高（前提性）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核对每路线圈两腿均经继电器两组接点，未选线圈两端全浮空</w:t>
            </w:r>
          </w:p>
        </w:tc>
      </w:tr>
      <w:tr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G6K-2F-RF-V 型号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型号成立，订货号须追加 DC3/4.5/5/12 之一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BOM 写全，如“G6K-2F-RF-V DC5”；注意线圈极性</w:t>
            </w:r>
          </w:p>
        </w:tc>
      </w:tr>
      <w:tr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ANT-24-V1 邻格串读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 50–55mm 棋格可避免；小号棋格高风险，须实测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中（条件性）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DPC 限功率、闲置线圈浮空、逐格邻位扫描标定、软件多次确认</w:t>
            </w:r>
          </w:p>
        </w:tc>
      </w:tr>
      <w:tr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ULN2803A 3.3V 驱动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室温能吸合但无手册保证、最坏链路低于吸合门限，不可靠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替换 TPL7407LA 或逻辑电平 MOSFET；加输入下拉与续流回路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逐项核查依据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3.1 </w:t>
      </w:r>
      <w:r>
        <w:rPr>
          <w:rFonts w:eastAsia="等线" w:ascii="Arial" w:cs="Arial" w:hAnsi="Arial"/>
          <w:b w:val="true"/>
          <w:sz w:val="32"/>
        </w:rPr>
        <w:t>PN5180 开发板支持外接线圈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结论：支持。</w:t>
      </w:r>
      <w:r>
        <w:rPr>
          <w:rFonts w:eastAsia="等线" w:ascii="Arial" w:cs="Arial" w:hAnsi="Arial"/>
          <w:sz w:val="22"/>
        </w:rPr>
        <w:t>PN5180 芯片本身不含天线，外接线圈本就是其标准用法：TX1/TX2 为差分天线驱动输出，经 EMC 低通滤波与谐振匹配网络连接线圈，RX 从容性分压回路取接收信号；天线设计指南给出 TX1/TX2 之间目标阻抗约 20Ω。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官方 OM25180FDK 开发套件即按“可换外接天线”配置：PNEV5180B 主板带 65mm×65mm 天线，另含一块带匹配器件的 30mm×50mm 天线板，以及约 30mm×50mm 的空白天线匹配 PCB 三块，专门用于实施定制天线匹配；NXP 另提供 OM29263ADK 天线开发套件与天线设计工具。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更换线圈后必须重新设计谐振电容与匹配，使谐振频率为 13.56MHz 并满足目标阻抗与 Q 值，不能只把线圈接上就用。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市售廉价 PN5180 模块通常没有外接连接器，板载线圈经匹配电路硬连；改外接时应在板载线圈焊盘或 0Ω 跳线处改线并断开原线圈，</w:t>
      </w:r>
      <w:r>
        <w:rPr>
          <w:rFonts w:eastAsia="等线" w:ascii="Arial" w:cs="Arial" w:hAnsi="Arial"/>
          <w:b w:val="true"/>
          <w:sz w:val="22"/>
        </w:rPr>
        <w:t>严禁外接线圈与板载线圈直接并联</w:t>
      </w:r>
      <w:r>
        <w:rPr>
          <w:rFonts w:eastAsia="等线" w:ascii="Arial" w:cs="Arial" w:hAnsi="Arial"/>
          <w:sz w:val="22"/>
        </w:rPr>
        <w:t>，否则电感并联导致失谐。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3.2 </w:t>
      </w:r>
      <w:r>
        <w:rPr>
          <w:rFonts w:eastAsia="等线" w:ascii="Arial" w:cs="Arial" w:hAnsi="Arial"/>
          <w:b w:val="true"/>
          <w:sz w:val="32"/>
        </w:rPr>
        <w:t>RF-SW-9CH-V1 必须同时切换两条射频线路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结论：TX1/TX2 是一对差分驱动腿，九路切换必须把两条腿同时接通、同时断开；只切一条腿的设计不成立。</w:t>
      </w:r>
      <w:r>
        <w:rPr>
          <w:rFonts w:eastAsia="等线" w:ascii="Arial" w:cs="Arial" w:hAnsi="Arial"/>
          <w:sz w:val="22"/>
        </w:rPr>
        <w:t>推荐拓扑为星型结构：读卡器侧 EMC 滤波、谐振匹配与 RX 取样九路共用，每路线圈的两条腿各经过一只 DPDT 继电器的一组接点，选中路闭合，其余八路线圈两端完全浮空。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859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图中实线为当前接通路径，虚线为断开的开关支路与控制关系；CH1 仅为示意，实际由 MCU 分时选通九路中的一路。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读图要点：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G6K-2F-RF-V 为 2 极（2 Form C，即 DPDT）继电器，一枚即可同时通断 A/B 两条差分母线，且本身就是为 100Ω 差分对高速切换设计的器件；若 RF-SW-9CH-V1 每路使用一枚该型号且使用常开接点（NO 接通、NC 悬空），则双线同切天然满足。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未选线圈两端必须全浮空。若用单极器件只切一条腿，另一条腿公共相连，九个线圈将经公共腿互相并联，造成谐振失谐、Q 值崩塌，并把选中路的场耦合到其他线圈，这是邻格串读最主要的硬件来源。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RX 建议放在共用匹配侧通过容性分压取样，无需随路切换；九枚线圈的电感量与匹配必须一致，否则换路后谐振点漂移。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切换时序应为：PN5180 关射频（RF OFF）→ 继电器动作（动作时间 3ms 以内，约 1.4ms）→ 稳定后再开射频轮询，避免带载热切换并延长接点寿命。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 RF-SW-9CH-V1 的交付前核对清单：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780"/>
        <w:gridCol w:w="4500"/>
      </w:tblGrid>
      <w:tr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核对项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合格判据</w:t>
            </w:r>
          </w:p>
        </w:tc>
      </w:tr>
      <w:tr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每路线圈两条腿的通路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均经过同一枚继电器的两组接点（DPDT），无公共直连线</w:t>
            </w:r>
          </w:p>
        </w:tc>
      </w:tr>
      <w:tr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未选线圈状态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万用表测量两端对母线均断开（全浮空），NC 脚悬空未接地或共线</w:t>
            </w:r>
          </w:p>
        </w:tc>
      </w:tr>
      <w:tr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同一时刻吸合路数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逻辑互锁，任何时刻最多一路吸合</w:t>
            </w:r>
          </w:p>
        </w:tc>
      </w:tr>
      <w:tr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九路线圈一致性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线圈电感、谐振频率与 Q 值一致（建议 VNA 或阻抗扫描留档）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3.3 </w:t>
      </w:r>
      <w:r>
        <w:rPr>
          <w:rFonts w:eastAsia="等线" w:ascii="Arial" w:cs="Arial" w:hAnsi="Arial"/>
          <w:b w:val="true"/>
          <w:sz w:val="32"/>
        </w:rPr>
        <w:t>G6K-2F-RF-V 为完整 RF 型号，订货须注明线圈电压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结论：G6K-2F-RF-V 是 OMRON 正式量产的完整高频继电器型号系列</w:t>
      </w:r>
      <w:r>
        <w:rPr>
          <w:rFonts w:eastAsia="等线" w:ascii="Arial" w:cs="Arial" w:hAnsi="Arial"/>
          <w:sz w:val="22"/>
        </w:rPr>
        <w:t>，面向高速差分传输信号切换，13.56MHz NFC 频段使用性能远优于其规格上限。但它是型号主体，</w:t>
      </w:r>
      <w:r>
        <w:rPr>
          <w:rFonts w:eastAsia="等线" w:ascii="Arial" w:cs="Arial" w:hAnsi="Arial"/>
          <w:b w:val="true"/>
          <w:sz w:val="22"/>
        </w:rPr>
        <w:t>完整订货号必须追加线圈额定电压后缀</w:t>
      </w:r>
      <w:r>
        <w:rPr>
          <w:rFonts w:eastAsia="等线" w:ascii="Arial" w:cs="Arial" w:hAnsi="Arial"/>
          <w:sz w:val="22"/>
        </w:rPr>
        <w:t>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95"/>
        <w:gridCol w:w="5685"/>
      </w:tblGrid>
      <w:tr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5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型号结构含义</w:t>
            </w:r>
          </w:p>
        </w:tc>
        <w:tc>
          <w:tcPr>
            <w:tcW w:w="5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2＝2 极（DPDT/2c）；F＝外 L 型表面安装端子；RF＝高频对应；V＝8GHz 频段、高速差动传输适用规格（差分阻抗 100Ω，单端 50Ω）</w:t>
            </w:r>
          </w:p>
        </w:tc>
      </w:tr>
      <w:tr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可选线圈电压 / 订货示例</w:t>
            </w:r>
          </w:p>
        </w:tc>
        <w:tc>
          <w:tcPr>
            <w:tcW w:w="5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DC3、DC4.5、DC5、DC12；订货示例：G6K-2F-RF-V DC5。1GHz/3GHz 用途的姊妹系列为 G6K(U)-2F(P)-RF(-S,-T)，选型勿混</w:t>
            </w:r>
          </w:p>
        </w:tc>
      </w:tr>
      <w:tr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DC5 线圈参数</w:t>
            </w:r>
          </w:p>
        </w:tc>
        <w:tc>
          <w:tcPr>
            <w:tcW w:w="5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线圈电阻 237Ω、额定电流 21.1mA、功耗约 100mW；动作电压 ≤80%（即 ≤4.0V，23℃），复位电压 ≥10%</w:t>
            </w:r>
          </w:p>
        </w:tc>
      </w:tr>
      <w:tr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高频与机械指标</w:t>
            </w:r>
          </w:p>
        </w:tc>
        <w:tc>
          <w:tcPr>
            <w:tcW w:w="5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差分插损 ≤3dB@8GHz、隔离 ≥15dB@8GHz；动作时间 ≤3ms（约 1.4ms）；封装 11.7mm×7.9mm×7.1mm。13.56MHz 下插损与隔离均远优于规格值</w:t>
            </w:r>
          </w:p>
        </w:tc>
      </w:tr>
      <w:tr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使用提示</w:t>
            </w:r>
          </w:p>
        </w:tc>
        <w:tc>
          <w:tcPr>
            <w:tcW w:w="5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规格书提示注意线圈极性与推荐焊盘；高频特性随基板布局变化，需在实际基板上确认；长期连续通电场景建议磁保持型，本方案为分时扫描，不受此限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3.4 </w:t>
      </w:r>
      <w:r>
        <w:rPr>
          <w:rFonts w:eastAsia="等线" w:ascii="Arial" w:cs="Arial" w:hAnsi="Arial"/>
          <w:b w:val="true"/>
          <w:sz w:val="32"/>
        </w:rPr>
        <w:t>ANT-24-V1 邻格串读：标准棋格可避免，小号棋格须实测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结论：邻格串读是否发生，取决于棋格边长、标签位置、发射功率与“未选线圈是否真正断开”四个条件，不是线圈单独决定的。</w:t>
      </w:r>
      <w:r>
        <w:rPr>
          <w:rFonts w:eastAsia="等线" w:ascii="Arial" w:cs="Arial" w:hAnsi="Arial"/>
          <w:sz w:val="22"/>
        </w:rPr>
        <w:t>串读判据是邻格标签处磁场达到标签启动场量级（ISO/IEC 14443 约 1.5A/m 量级）。按外径 24mm 线圈、标签距盘面高度 8mm、邻格标签半径按 10mm 且贴共用边（最恶劣位置）做磁偶极量级估算：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25"/>
        <w:gridCol w:w="1380"/>
        <w:gridCol w:w="1380"/>
        <w:gridCol w:w="1725"/>
        <w:gridCol w:w="2070"/>
      </w:tblGrid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棋格边长 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线圈边间隙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最劣水平距离 ρ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邻格场隔离（量级估算）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判读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55mm（标准棋格）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31mm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33mm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−71dB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几何隔离充分，不会串读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45mm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21mm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23mm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−63dB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充分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40mm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16mm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18mm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−57dB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足够，仍建议限功率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35mm（小号盘）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11mm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13mm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−51dB（近场，实际更差）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必须限功率并逐格实测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30mm（迷你盘）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6mm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8mm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−43dB（近场模型失效）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高风险，标签几乎搭边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估算假设：线圈半径 12mm；本格轴上磁场按 r²/(r²+h²)^1.5 衰减，邻格赤道向按 0.5/(ρ²+h²)^1.5 衰减，仅用于比较趋势；ρ 与线圈半径同量级时远场模型失效，真实隔离只会更差，一律以实测为准。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设计与验证措施：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 PN5180 的 DPC 动态功率控制（或降低供电、串联电阻）把每路功率压到“本格最高位标签稳定读取”的最小值，建议留 3–6dB 余量即可；磁场随距离约三次方衰减，降功率对邻格抑制收益极大。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硬件上保证未选线圈两端全浮空（见上一节），避免线圈互感绕过几何隔离。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逐格标定：标签放在八个邻格的共用边中点与对角点（最劣位），遍历九路开关和棋盘四角位置，达到“本格 100% 读到、邻格 0 误读”；覆盖标签批次与棋子底座高度公差。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辅助手段：格间采用接地过孔栅栏或开缝铜箔削弱侧向场；线圈下方贴铁氧体片把场向上引导；软件要求连续多次（如三次中两次）读到同一 UID 才确认落子。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3.5 </w:t>
      </w:r>
      <w:r>
        <w:rPr>
          <w:rFonts w:eastAsia="等线" w:ascii="Arial" w:cs="Arial" w:hAnsi="Arial"/>
          <w:b w:val="true"/>
          <w:sz w:val="32"/>
        </w:rPr>
        <w:t>ULN2803A 不建议在 3.3V 逻辑下直接驱动继电器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结论：3.3V GPIO 直连 ULN2803A 驱动 G6K-2F-RF-V DC5，室温下通常能吸合，但该工况不在数据手册保证范围内，最坏链路低于继电器 80% 吸合门限，高温或老化后存在不吸合风险，不建议作为定型设计。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360"/>
        <w:gridCol w:w="2010"/>
        <w:gridCol w:w="2910"/>
      </w:tblGrid>
      <w:tr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 / 说明</w:t>
            </w:r>
          </w:p>
        </w:tc>
      </w:tr>
      <w:tr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输入串联电阻 / 设计对象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2.7kΩ / 5V TTL、CMOS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 数据手册，非 3.3V 工况设计</w:t>
            </w:r>
          </w:p>
        </w:tc>
      </w:tr>
      <w:tr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保证导通输入电压 V_I(on) 最大值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2.4V @ Ic=200mA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3.3V 高于门限，逻辑可导通；21mA 轻载时实际门限更低</w:t>
            </w:r>
          </w:p>
        </w:tc>
      </w:tr>
      <w:tr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3.3V 时输入电流（估算）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0.72mA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 (3.3−1.35V)/2.7kΩ；手册 3.85V 时典型 0.93mA，模型自洽</w:t>
            </w:r>
          </w:p>
        </w:tc>
      </w:tr>
      <w:tr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Vce(sat) 保证值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≤1.1V @ Ic=100mA、Ii=250μA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本工况 Ii≈0.72mA、Ic=21mA，典型压降约 0.5–0.8V（推断，无 3.3V 保证值）</w:t>
            </w:r>
          </w:p>
        </w:tc>
      </w:tr>
      <w:tr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G6K DC5 吸合门限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≤4.0V（额定 80%，23℃）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线圈 237Ω、21.1mA、约 100mW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60"/>
        <w:gridCol w:w="2235"/>
        <w:gridCol w:w="3585"/>
      </w:tblGrid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链路情形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线圈实得电压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判读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典型（5.0V 供电，Vce 0.5–0.8V）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4.2–4.5V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高于 4.0V 门限，室温可吸合，裕量仅 0.2–0.5V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最坏（供电 −5% 为 4.75V，Vce 1.1V）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3.65V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低于 4.0V 吸合门限；高温使线圈电阻增大，风险叠加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整改方案对比：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35"/>
        <w:gridCol w:w="3450"/>
        <w:gridCol w:w="2295"/>
      </w:tblGrid>
      <w:tr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</w:t>
            </w: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要点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评价</w:t>
            </w:r>
          </w:p>
        </w:tc>
      </w:tr>
      <w:tr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TPL7407LA 直接替换</w:t>
            </w: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 ULN2803A 引脚兼容，输入明确支持 3.3V 逻辑，MOS 输出在 21mA 下压降约 0.1V 量级，线圈得电约 4.9V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推荐，改动最小、裕量充足</w:t>
            </w:r>
          </w:p>
        </w:tc>
      </w:tr>
      <w:tr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逻辑电平 N-MOSFET</w:t>
            </w: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 AO3400A 类（Vgs(th)≤1.5V、低 Rds(on)），栅极加 10kΩ 下拉，外加续流二极管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推荐用于新板布局</w:t>
            </w:r>
          </w:p>
        </w:tc>
      </w:tr>
      <w:tr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 ULN2803A 改造</w:t>
            </w: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GPIO 开漏 + 输入上拉至 5V（须确认 GPIO 5V 容忍或串肖特基隔离），回到手册工况；或改用 DC12 线圈与 12V 电源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可接受，增加约束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无论采用何种驱动：MCU 上电期间 GPIO 为高阻，输入端必须加下拉电阻防止继电器误吸；ULN2803A 的 COM 脚接 +5V 以使用内部续流二极管（MOSFET 方案需外加）；固件保证同一时刻仅一路吸合。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整改与验证清单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50"/>
        <w:gridCol w:w="3360"/>
        <w:gridCol w:w="3360"/>
        <w:gridCol w:w="1125"/>
      </w:tblGrid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动作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验收标准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核对 RF-SW-9CH-V1 原理图与通断：每路线圈两腿均经 G6K-2F-RF-V 两组接点，NC 悬空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九路逐一验证：选中路两腿导通，其余路线圈两端对母线全断开；任意时刻最多一路吸合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待办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BOM 与订货号补全线圈电压后缀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BOM、采购单与实物印字一致（如 G6K-2F-RF-V DC5）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待办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继电器驱动改为 TPL7407LA 或逻辑电平 MOSFET，加输入下拉与续流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供电 4.75V、整机高温条件下九路均可靠吸合与释放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待办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九枚 ANT-24 线圈与匹配一致性调谐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谐振 13.56MHz，各路电感、阻抗与 Q 值一致并留档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待办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DPC 限功率标定与邻格扫描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本格最高位标签 100% 读取；八邻格最劣位 0 误读；覆盖全板位置与标签批次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待办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切换时序验证（RF OFF→换路→RF ON）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示波器/逻辑分析仪确认无带载热切换，轮询稳定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待办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外接线圈接入方式确认（PN5180 板型）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官方套件走天线匹配板；市售模块断开板载线圈并重调匹配，无并联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待办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待确认事项与前提假设</w:t>
      </w:r>
      <w:bookmarkEnd w:id="9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RF-SW-9CH-V1 为项目自定义板名（无公开资料）：结论以“每路一枚 G6K-2F-RF-V、DPDT 星型切换”为推断前提，须提交原理图与位号表闭环。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ANT-24-V1 按外径约 24mm 线圈推断；实际外径、匝数、电感量、谐振电容与 Q 值待提供。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棋格实际边长、盘面材料与厚度、棋子底座高度、标签型号与尺寸（如 NTAG21x 系列及标签直径）待提供；小号棋格（≤35mm）的串读结论必须以实测为准。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PN5180 板的具体型号（官方 PNEV5180B/OM25180FDK 或市售模块）待确认，决定外接线圈的物理接入方式。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本报告中的磁场隔离为量级估算，驱动裕量中的典型 Vce(sat) 为数据手册参数推算，均不构成数据手册保证值；最终以样机测试记录为准。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参考资料</w:t>
      </w:r>
      <w:bookmarkEnd w:id="10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NXP：</w:t>
      </w:r>
      <w:hyperlink r:id="rId6">
        <w:r>
          <w:rPr>
            <w:rFonts w:eastAsia="等线" w:ascii="Arial" w:cs="Arial" w:hAnsi="Arial"/>
            <w:color w:val="3370ff"/>
            <w:sz w:val="22"/>
          </w:rPr>
          <w:t>OM25180FDK 面向 POS 读卡器的 PN5180 NFC 开发套件产品页</w:t>
        </w:r>
      </w:hyperlink>
      <w:r>
        <w:rPr>
          <w:rFonts w:eastAsia="等线" w:ascii="Arial" w:cs="Arial" w:hAnsi="Arial"/>
          <w:sz w:val="22"/>
        </w:rPr>
        <w:t>（含 PNEV5180B、30mm×50mm 天线板与三块定制匹配 PCB 清单）。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NXP：</w:t>
      </w:r>
      <w:hyperlink r:id="rId7">
        <w:r>
          <w:rPr>
            <w:rFonts w:eastAsia="等线" w:ascii="Arial" w:cs="Arial" w:hAnsi="Arial"/>
            <w:color w:val="3370ff"/>
            <w:sz w:val="22"/>
          </w:rPr>
          <w:t>AN11740《PN5180 Antenna design and tuning》</w:t>
        </w:r>
      </w:hyperlink>
      <w:r>
        <w:rPr>
          <w:rFonts w:eastAsia="等线" w:ascii="Arial" w:cs="Arial" w:hAnsi="Arial"/>
          <w:sz w:val="22"/>
        </w:rPr>
        <w:t>（TX1/TX2 差分拓扑、RX 容性分压、目标阻抗约 20Ω）。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OMRON：</w:t>
      </w:r>
      <w:hyperlink r:id="rId8">
        <w:r>
          <w:rPr>
            <w:rFonts w:eastAsia="等线" w:ascii="Arial" w:cs="Arial" w:hAnsi="Arial"/>
            <w:color w:val="3370ff"/>
            <w:sz w:val="22"/>
          </w:rPr>
          <w:t>K290-CN1《G6K-2F-RF-V 表面安装高频继电器》规格书</w:t>
        </w:r>
      </w:hyperlink>
      <w:r>
        <w:rPr>
          <w:rFonts w:eastAsia="等线" w:ascii="Arial" w:cs="Arial" w:hAnsi="Arial"/>
          <w:sz w:val="22"/>
        </w:rPr>
        <w:t>（型号结构、DC3/4.5/5/12、237Ω/21.1mA、≤80% 吸合、8GHz 差动指标）。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OMRON：</w:t>
      </w:r>
      <w:hyperlink r:id="rId9">
        <w:r>
          <w:rPr>
            <w:rFonts w:eastAsia="等线" w:ascii="Arial" w:cs="Arial" w:hAnsi="Arial"/>
            <w:color w:val="3370ff"/>
            <w:sz w:val="22"/>
          </w:rPr>
          <w:t>G6K-2F-RF-V 产品页</w:t>
        </w:r>
      </w:hyperlink>
      <w:r>
        <w:rPr>
          <w:rFonts w:eastAsia="等线" w:ascii="Arial" w:cs="Arial" w:hAnsi="Arial"/>
          <w:sz w:val="22"/>
        </w:rPr>
        <w:t>（8GHz Band Miniature DPDT High Frequency Relay）。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Texas Instruments：</w:t>
      </w:r>
      <w:hyperlink r:id="rId10">
        <w:r>
          <w:rPr>
            <w:rFonts w:eastAsia="等线" w:ascii="Arial" w:cs="Arial" w:hAnsi="Arial"/>
            <w:color w:val="3370ff"/>
            <w:sz w:val="22"/>
          </w:rPr>
          <w:t>ULN2803A 数据手册</w:t>
        </w:r>
      </w:hyperlink>
      <w:r>
        <w:rPr>
          <w:rFonts w:eastAsia="等线" w:ascii="Arial" w:cs="Arial" w:hAnsi="Arial"/>
          <w:sz w:val="22"/>
        </w:rPr>
        <w:t>（2.7kΩ 输入、V_I(on)≤2.4V@200mA、Vce(sat) 保证表、Ii=0.93mA@3.85V）。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STMicroelectronics：</w:t>
      </w:r>
      <w:hyperlink r:id="rId11">
        <w:r>
          <w:rPr>
            <w:rFonts w:eastAsia="等线" w:ascii="Arial" w:cs="Arial" w:hAnsi="Arial"/>
            <w:color w:val="3370ff"/>
            <w:sz w:val="22"/>
          </w:rPr>
          <w:t>ULN2803A 产品页</w:t>
        </w:r>
      </w:hyperlink>
      <w:r>
        <w:rPr>
          <w:rFonts w:eastAsia="等线" w:ascii="Arial" w:cs="Arial" w:hAnsi="Arial"/>
          <w:sz w:val="22"/>
        </w:rPr>
        <w:t>（2.7kΩ 输入电阻对应 5V TTL/CMOS 的定位说明）。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49454">
    <w:lvl>
      <w:numFmt w:val="bullet"/>
      <w:suff w:val="tab"/>
      <w:lvlText w:val="•"/>
      <w:rPr>
        <w:color w:val="3370ff"/>
      </w:rPr>
    </w:lvl>
  </w:abstractNum>
  <w:abstractNum w:abstractNumId="1449455">
    <w:lvl>
      <w:numFmt w:val="bullet"/>
      <w:suff w:val="tab"/>
      <w:lvlText w:val="•"/>
      <w:rPr>
        <w:color w:val="3370ff"/>
      </w:rPr>
    </w:lvl>
  </w:abstractNum>
  <w:abstractNum w:abstractNumId="1449456">
    <w:lvl>
      <w:numFmt w:val="bullet"/>
      <w:suff w:val="tab"/>
      <w:lvlText w:val="•"/>
      <w:rPr>
        <w:color w:val="3370ff"/>
      </w:rPr>
    </w:lvl>
  </w:abstractNum>
  <w:abstractNum w:abstractNumId="1449457">
    <w:lvl>
      <w:numFmt w:val="bullet"/>
      <w:suff w:val="tab"/>
      <w:lvlText w:val="•"/>
      <w:rPr>
        <w:color w:val="3370ff"/>
      </w:rPr>
    </w:lvl>
  </w:abstractNum>
  <w:abstractNum w:abstractNumId="1449458">
    <w:lvl>
      <w:numFmt w:val="bullet"/>
      <w:suff w:val="tab"/>
      <w:lvlText w:val="•"/>
      <w:rPr>
        <w:color w:val="3370ff"/>
      </w:rPr>
    </w:lvl>
  </w:abstractNum>
  <w:abstractNum w:abstractNumId="1449459">
    <w:lvl>
      <w:numFmt w:val="bullet"/>
      <w:suff w:val="tab"/>
      <w:lvlText w:val="•"/>
      <w:rPr>
        <w:color w:val="3370ff"/>
      </w:rPr>
    </w:lvl>
  </w:abstractNum>
  <w:abstractNum w:abstractNumId="1449460">
    <w:lvl>
      <w:numFmt w:val="bullet"/>
      <w:suff w:val="tab"/>
      <w:lvlText w:val="•"/>
      <w:rPr>
        <w:color w:val="3370ff"/>
      </w:rPr>
    </w:lvl>
  </w:abstractNum>
  <w:abstractNum w:abstractNumId="1449461">
    <w:lvl>
      <w:numFmt w:val="bullet"/>
      <w:suff w:val="tab"/>
      <w:lvlText w:val="•"/>
      <w:rPr>
        <w:color w:val="3370ff"/>
      </w:rPr>
    </w:lvl>
  </w:abstractNum>
  <w:abstractNum w:abstractNumId="1449462">
    <w:lvl>
      <w:numFmt w:val="bullet"/>
      <w:suff w:val="tab"/>
      <w:lvlText w:val="•"/>
      <w:rPr>
        <w:color w:val="3370ff"/>
      </w:rPr>
    </w:lvl>
  </w:abstractNum>
  <w:abstractNum w:abstractNumId="1449463">
    <w:lvl>
      <w:numFmt w:val="bullet"/>
      <w:suff w:val="tab"/>
      <w:lvlText w:val="•"/>
      <w:rPr>
        <w:color w:val="3370ff"/>
      </w:rPr>
    </w:lvl>
  </w:abstractNum>
  <w:abstractNum w:abstractNumId="1449464">
    <w:lvl>
      <w:numFmt w:val="bullet"/>
      <w:suff w:val="tab"/>
      <w:lvlText w:val="•"/>
      <w:rPr>
        <w:color w:val="3370ff"/>
      </w:rPr>
    </w:lvl>
  </w:abstractNum>
  <w:abstractNum w:abstractNumId="1449465">
    <w:lvl>
      <w:numFmt w:val="bullet"/>
      <w:suff w:val="tab"/>
      <w:lvlText w:val="•"/>
      <w:rPr>
        <w:color w:val="3370ff"/>
      </w:rPr>
    </w:lvl>
  </w:abstractNum>
  <w:abstractNum w:abstractNumId="1449466">
    <w:lvl>
      <w:numFmt w:val="bullet"/>
      <w:suff w:val="tab"/>
      <w:lvlText w:val="•"/>
      <w:rPr>
        <w:color w:val="3370ff"/>
      </w:rPr>
    </w:lvl>
  </w:abstractNum>
  <w:abstractNum w:abstractNumId="1449467">
    <w:lvl>
      <w:numFmt w:val="bullet"/>
      <w:suff w:val="tab"/>
      <w:lvlText w:val="•"/>
      <w:rPr>
        <w:color w:val="3370ff"/>
      </w:rPr>
    </w:lvl>
  </w:abstractNum>
  <w:abstractNum w:abstractNumId="1449468">
    <w:lvl>
      <w:numFmt w:val="bullet"/>
      <w:suff w:val="tab"/>
      <w:lvlText w:val="•"/>
      <w:rPr>
        <w:color w:val="3370ff"/>
      </w:rPr>
    </w:lvl>
  </w:abstractNum>
  <w:abstractNum w:abstractNumId="1449469">
    <w:lvl>
      <w:numFmt w:val="bullet"/>
      <w:suff w:val="tab"/>
      <w:lvlText w:val="•"/>
      <w:rPr>
        <w:color w:val="3370ff"/>
      </w:rPr>
    </w:lvl>
  </w:abstractNum>
  <w:abstractNum w:abstractNumId="1449470">
    <w:lvl>
      <w:start w:val="1"/>
      <w:numFmt w:val="decimal"/>
      <w:suff w:val="tab"/>
      <w:lvlText w:val="%1."/>
      <w:rPr>
        <w:color w:val="3370ff"/>
      </w:rPr>
    </w:lvl>
  </w:abstractNum>
  <w:abstractNum w:abstractNumId="1449471">
    <w:lvl>
      <w:start w:val="2"/>
      <w:numFmt w:val="decimal"/>
      <w:suff w:val="tab"/>
      <w:lvlText w:val="%1."/>
      <w:rPr>
        <w:color w:val="3370ff"/>
      </w:rPr>
    </w:lvl>
  </w:abstractNum>
  <w:abstractNum w:abstractNumId="1449472">
    <w:lvl>
      <w:start w:val="3"/>
      <w:numFmt w:val="decimal"/>
      <w:suff w:val="tab"/>
      <w:lvlText w:val="%1."/>
      <w:rPr>
        <w:color w:val="3370ff"/>
      </w:rPr>
    </w:lvl>
  </w:abstractNum>
  <w:abstractNum w:abstractNumId="1449473">
    <w:lvl>
      <w:start w:val="4"/>
      <w:numFmt w:val="decimal"/>
      <w:suff w:val="tab"/>
      <w:lvlText w:val="%1."/>
      <w:rPr>
        <w:color w:val="3370ff"/>
      </w:rPr>
    </w:lvl>
  </w:abstractNum>
  <w:abstractNum w:abstractNumId="1449474">
    <w:lvl>
      <w:start w:val="5"/>
      <w:numFmt w:val="decimal"/>
      <w:suff w:val="tab"/>
      <w:lvlText w:val="%1."/>
      <w:rPr>
        <w:color w:val="3370ff"/>
      </w:rPr>
    </w:lvl>
  </w:abstractNum>
  <w:abstractNum w:abstractNumId="1449475">
    <w:lvl>
      <w:start w:val="6"/>
      <w:numFmt w:val="decimal"/>
      <w:suff w:val="tab"/>
      <w:lvlText w:val="%1."/>
      <w:rPr>
        <w:color w:val="3370ff"/>
      </w:rPr>
    </w:lvl>
  </w:abstractNum>
  <w:num w:numId="1">
    <w:abstractNumId w:val="1449454"/>
  </w:num>
  <w:num w:numId="2">
    <w:abstractNumId w:val="1449455"/>
  </w:num>
  <w:num w:numId="3">
    <w:abstractNumId w:val="1449456"/>
  </w:num>
  <w:num w:numId="4">
    <w:abstractNumId w:val="1449457"/>
  </w:num>
  <w:num w:numId="5">
    <w:abstractNumId w:val="1449458"/>
  </w:num>
  <w:num w:numId="6">
    <w:abstractNumId w:val="1449459"/>
  </w:num>
  <w:num w:numId="7">
    <w:abstractNumId w:val="1449460"/>
  </w:num>
  <w:num w:numId="8">
    <w:abstractNumId w:val="1449461"/>
  </w:num>
  <w:num w:numId="9">
    <w:abstractNumId w:val="1449462"/>
  </w:num>
  <w:num w:numId="10">
    <w:abstractNumId w:val="1449463"/>
  </w:num>
  <w:num w:numId="11">
    <w:abstractNumId w:val="1449464"/>
  </w:num>
  <w:num w:numId="12">
    <w:abstractNumId w:val="1449465"/>
  </w:num>
  <w:num w:numId="13">
    <w:abstractNumId w:val="1449466"/>
  </w:num>
  <w:num w:numId="14">
    <w:abstractNumId w:val="1449467"/>
  </w:num>
  <w:num w:numId="15">
    <w:abstractNumId w:val="1449468"/>
  </w:num>
  <w:num w:numId="16">
    <w:abstractNumId w:val="1449469"/>
  </w:num>
  <w:num w:numId="17">
    <w:abstractNumId w:val="1449470"/>
  </w:num>
  <w:num w:numId="18">
    <w:abstractNumId w:val="1449471"/>
  </w:num>
  <w:num w:numId="19">
    <w:abstractNumId w:val="1449472"/>
  </w:num>
  <w:num w:numId="20">
    <w:abstractNumId w:val="1449473"/>
  </w:num>
  <w:num w:numId="21">
    <w:abstractNumId w:val="1449474"/>
  </w:num>
  <w:num w:numId="22">
    <w:abstractNumId w:val="144947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people.ece.cornell.edu/land/courses/ece4760/FinalProjects/s2008/dmh64_hs284/dmh64_hs284/datasheets/ULN2803A.pdf" TargetMode="External" Type="http://schemas.openxmlformats.org/officeDocument/2006/relationships/hyperlink"/><Relationship Id="rId11" Target="https://www.st.com.cn/zh/interfaces-and-transceivers/uln2803a.html" TargetMode="External" Type="http://schemas.openxmlformats.org/officeDocument/2006/relationships/hyperlink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https://www.nxp.com.cn/design/design-center/development-boards-and-designs/OM25180FDK" TargetMode="External" Type="http://schemas.openxmlformats.org/officeDocument/2006/relationships/hyperlink"/><Relationship Id="rId7" Target="https://www.nxp.com.cn/docs/en/application-note/AN11740.pdf" TargetMode="External" Type="http://schemas.openxmlformats.org/officeDocument/2006/relationships/hyperlink"/><Relationship Id="rId8" Target="https://components.omron.com.cn/datasheet_pdf/K290-CN1.pdf" TargetMode="External" Type="http://schemas.openxmlformats.org/officeDocument/2006/relationships/hyperlink"/><Relationship Id="rId9" Target="https://components.omron.com/sg-en/products/relays/G6K-2F-RF-V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2026-09-22T12:03:31Z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{"Label":"1","ContentProducer":"001191110102MACQD9K64010000","ProduceID":"7688329064235732183","ReservedCode1":"","ContentPropagator":"","PropagateID":"","ReservedCode2":""}</vt:lpwstr>
  </property>
</Properties>
</file>