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3185C15D"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1931702561"/>
          <w:placeholder>
            <w:docPart w:val="D9D996171E544FE1B119621077D8C800"/>
          </w:placeholder>
        </w:sdtPr>
        <w:sdtContent>
          <w:r w:rsidR="00161E81">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6160946"/>
          <w:placeholder>
            <w:docPart w:val="4994CD4BBAF84659973B79098572C4D6"/>
          </w:placeholder>
        </w:sdtPr>
        <w:sdtContent>
          <w:r w:rsidR="00161E81">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161E81" w:rsidRPr="00161E81">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171951446"/>
          <w:placeholder>
            <w:docPart w:val="D78EDCCB787E4CD49E9F27ECEF42E725"/>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161E81" w:rsidRPr="00161E81">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982081986"/>
          <w:placeholder>
            <w:docPart w:val="2B4D3916F6B34BBC94DB88A50526A3FD"/>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2011)</w:t>
          </w:r>
        </w:sdtContent>
      </w:sdt>
      <w:r w:rsidR="006650A6">
        <w:t>.</w:t>
      </w:r>
    </w:p>
    <w:p w14:paraId="22F6FA39" w14:textId="4F1C461D"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161E81" w:rsidRPr="00161E81">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
          <w:id w:val="-647059016"/>
          <w:placeholder>
            <w:docPart w:val="DefaultPlaceholder_-1854013440"/>
          </w:placeholder>
        </w:sdtPr>
        <w:sdtContent>
          <w:r w:rsidR="00161E81" w:rsidRPr="00161E81">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161E81">
            <w:rPr>
              <w:rFonts w:eastAsia="Times New Roman"/>
            </w:rPr>
            <w:t xml:space="preserve">(Sterner &amp; </w:t>
          </w:r>
          <w:proofErr w:type="spellStart"/>
          <w:r w:rsidR="00161E81">
            <w:rPr>
              <w:rFonts w:eastAsia="Times New Roman"/>
            </w:rPr>
            <w:t>Elser</w:t>
          </w:r>
          <w:proofErr w:type="spellEnd"/>
          <w:r w:rsidR="00161E81">
            <w:rPr>
              <w:rFonts w:eastAsia="Times New Roman"/>
            </w:rPr>
            <w:t>,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161E81" w:rsidRPr="00161E81">
            <w:rPr>
              <w:color w:val="000000"/>
            </w:rPr>
            <w:t>(Collins et al., 2017)</w:t>
          </w:r>
        </w:sdtContent>
      </w:sdt>
      <w:r w:rsidR="00575935">
        <w:t>.</w:t>
      </w:r>
    </w:p>
    <w:p w14:paraId="02DF89DF" w14:textId="610B2C03"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
          <w:id w:val="-170340692"/>
          <w:placeholder>
            <w:docPart w:val="2CCB44771CE244E684167067F94C2509"/>
          </w:placeholder>
        </w:sdtPr>
        <w:sdtContent>
          <w:r w:rsidR="00161E81" w:rsidRPr="00161E81">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
          <w:id w:val="1175694330"/>
          <w:placeholder>
            <w:docPart w:val="2CCB44771CE244E684167067F94C2509"/>
          </w:placeholder>
        </w:sdtPr>
        <w:sdtContent>
          <w:r w:rsidR="00161E81" w:rsidRPr="00161E81">
            <w:rPr>
              <w:color w:val="000000"/>
            </w:rPr>
            <w:t>(</w:t>
          </w:r>
          <w:proofErr w:type="spellStart"/>
          <w:r w:rsidR="00161E81" w:rsidRPr="00161E81">
            <w:rPr>
              <w:color w:val="000000"/>
            </w:rPr>
            <w:t>Basu</w:t>
          </w:r>
          <w:proofErr w:type="spellEnd"/>
          <w:r w:rsidR="00161E81" w:rsidRPr="00161E81">
            <w:rPr>
              <w:color w:val="000000"/>
            </w:rPr>
            <w:t xml:space="preserve">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137462271"/>
          <w:placeholder>
            <w:docPart w:val="DefaultPlaceholder_-1854013440"/>
          </w:placeholder>
        </w:sdt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t>.</w:t>
      </w:r>
      <w:r w:rsidR="00256270">
        <w:t xml:space="preserve"> </w:t>
      </w:r>
      <w:proofErr w:type="spellStart"/>
      <w:r w:rsidR="00B974CA">
        <w:t>Omernik’s</w:t>
      </w:r>
      <w:proofErr w:type="spellEnd"/>
      <w:r w:rsidR="00B974CA">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161E81" w:rsidRPr="00161E81">
            <w:rPr>
              <w:color w:val="000000"/>
            </w:rPr>
            <w:t>(</w:t>
          </w:r>
          <w:proofErr w:type="spellStart"/>
          <w:r w:rsidR="00161E81" w:rsidRPr="00161E81">
            <w:rPr>
              <w:color w:val="000000"/>
            </w:rPr>
            <w:t>Omernik</w:t>
          </w:r>
          <w:proofErr w:type="spellEnd"/>
          <w:r w:rsidR="00161E81" w:rsidRPr="00161E81">
            <w:rPr>
              <w:color w:val="000000"/>
            </w:rPr>
            <w:t>,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161E81" w:rsidRPr="00161E81">
            <w:rPr>
              <w:color w:val="000000"/>
            </w:rPr>
            <w:t>(</w:t>
          </w:r>
          <w:proofErr w:type="spellStart"/>
          <w:r w:rsidR="00161E81" w:rsidRPr="00161E81">
            <w:rPr>
              <w:color w:val="000000"/>
            </w:rPr>
            <w:t>Elser</w:t>
          </w:r>
          <w:proofErr w:type="spellEnd"/>
          <w:r w:rsidR="00161E81" w:rsidRPr="00161E81">
            <w:rPr>
              <w:color w:val="000000"/>
            </w:rPr>
            <w:t xml:space="preserve"> et al., 2011)</w:t>
          </w:r>
        </w:sdtContent>
      </w:sdt>
      <w:r w:rsidR="000B3480">
        <w:t>.</w:t>
      </w:r>
      <w:r w:rsidR="007E4F0D">
        <w:t xml:space="preserve"> Generally, increased residence time correlates with increased ratios as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22610610"/>
          <w:placeholder>
            <w:docPart w:val="2A313957FF814671B7558039F8614C0F"/>
          </w:placeholder>
        </w:sdt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rsidR="007E4F0D">
        <w:t>.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
          <w:id w:val="1640758381"/>
          <w:placeholder>
            <w:docPart w:val="DefaultPlaceholder_-1854013440"/>
          </w:placeholder>
        </w:sdtPr>
        <w:sdtContent>
          <w:r w:rsidR="00161E81">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
          <w:id w:val="-483401359"/>
          <w:placeholder>
            <w:docPart w:val="5819D7ED70474C18A3163A655D61F132"/>
          </w:placeholder>
        </w:sdtPr>
        <w:sdtContent>
          <w:r w:rsidR="00161E81" w:rsidRPr="00161E81">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
          <w:id w:val="1230731080"/>
          <w:placeholder>
            <w:docPart w:val="DefaultPlaceholder_-1854013440"/>
          </w:placeholder>
        </w:sdtPr>
        <w:sdtContent>
          <w:r w:rsidR="00161E81">
            <w:rPr>
              <w:rFonts w:eastAsia="Times New Roman"/>
            </w:rPr>
            <w:t xml:space="preserve">(e.g., </w:t>
          </w:r>
          <w:proofErr w:type="spellStart"/>
          <w:r w:rsidR="00161E81">
            <w:rPr>
              <w:rFonts w:eastAsia="Times New Roman"/>
            </w:rPr>
            <w:t>Bergström</w:t>
          </w:r>
          <w:proofErr w:type="spellEnd"/>
          <w:r w:rsidR="00161E81">
            <w:rPr>
              <w:rFonts w:eastAsia="Times New Roman"/>
            </w:rPr>
            <w:t xml:space="preserve">, 2010; Downing &amp; McCauley, 1992; </w:t>
          </w:r>
          <w:proofErr w:type="spellStart"/>
          <w:r w:rsidR="00161E81">
            <w:rPr>
              <w:rFonts w:eastAsia="Times New Roman"/>
            </w:rPr>
            <w:t>Ptacnik</w:t>
          </w:r>
          <w:proofErr w:type="spellEnd"/>
          <w:r w:rsidR="00161E81">
            <w:rPr>
              <w:rFonts w:eastAsia="Times New Roman"/>
            </w:rPr>
            <w:t xml:space="preserve"> et al., 2010)</w:t>
          </w:r>
        </w:sdtContent>
      </w:sdt>
      <w:r w:rsidR="007E4F0D">
        <w:t xml:space="preserve">.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xml:space="preserve">, while acknowledging that trophic state is </w:t>
      </w:r>
      <w:proofErr w:type="gramStart"/>
      <w:r w:rsidR="001A7A0B">
        <w:t>actually determined</w:t>
      </w:r>
      <w:proofErr w:type="gramEnd"/>
      <w:r w:rsidR="001A7A0B">
        <w:t xml:space="preserve">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xml:space="preserve">. Mesotrophic lakes have </w:t>
      </w:r>
      <w:r w:rsidR="00436C91">
        <w:lastRenderedPageBreak/>
        <w:t>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10B971B0"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0E1282">
        <w:t>p =</w:t>
      </w:r>
      <w:r w:rsidR="000E1282" w:rsidRPr="000E1282">
        <w:t xml:space="preserve"> 0.80</w:t>
      </w:r>
      <w:r w:rsidR="00226006" w:rsidRPr="000E1282">
        <w:t xml:space="preserve"> and p =</w:t>
      </w:r>
      <w:r w:rsidR="000E1282" w:rsidRPr="000E1282">
        <w:t xml:space="preserve"> 0.70)</w:t>
      </w:r>
      <w:r w:rsidR="00226006" w:rsidRPr="000E1282">
        <w:t xml:space="preserve">, </w:t>
      </w:r>
      <w:r w:rsidR="00226006">
        <w:t>respectively)</w:t>
      </w:r>
      <w:r w:rsidR="00A77AEC">
        <w:t xml:space="preserve">. </w:t>
      </w:r>
      <w:r w:rsidR="00226006">
        <w:t xml:space="preserve">Average molar N:P was used as a threshold </w:t>
      </w:r>
      <w:proofErr w:type="gramStart"/>
      <w:r w:rsidR="00A30F8C">
        <w:t>similar to</w:t>
      </w:r>
      <w:proofErr w:type="gramEnd"/>
      <w:r w:rsidR="00A30F8C">
        <w:t xml:space="preserve"> </w:t>
      </w:r>
      <w:r w:rsidR="00226006">
        <w:t>the method in Downing and McCauley (1992)</w:t>
      </w:r>
      <w:r w:rsidR="00A30F8C">
        <w:t xml:space="preserve">, where they found N limitation occurring in lakes with N:P less than the world lake average N:P. Here, we averaged by ecoregion and survey year to account for the large variation in </w:t>
      </w:r>
      <w:r w:rsidR="00EA1996">
        <w:t>nutrient stoichiometry</w:t>
      </w:r>
      <w:r w:rsidR="00A30F8C">
        <w:t xml:space="preserve"> that occur across the data (</w:t>
      </w:r>
      <w:r w:rsidR="000E1282">
        <w:t>mean = 59.49, standard deviation = 113.49</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proofErr w:type="gramStart"/>
      <w:r w:rsidR="003C1D87">
        <w:t>change.anlaysis</w:t>
      </w:r>
      <w:proofErr w:type="spellEnd"/>
      <w:proofErr w:type="gramEnd"/>
      <w:r w:rsidR="003C1D87">
        <w:t xml:space="preserve"> function in the </w:t>
      </w:r>
      <w:proofErr w:type="spellStart"/>
      <w:r w:rsidR="003C1D87">
        <w:t>spsurv</w:t>
      </w:r>
      <w:r w:rsidR="00161E81">
        <w:t>ey</w:t>
      </w:r>
      <w:proofErr w:type="spellEnd"/>
      <w:r w:rsidR="003C1D87">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proofErr w:type="gramStart"/>
      <w:r w:rsidR="00161E81">
        <w:t>change.analysis</w:t>
      </w:r>
      <w:proofErr w:type="spellEnd"/>
      <w:proofErr w:type="gram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Content>
          <w:r w:rsidR="00161E81" w:rsidRPr="00161E81">
            <w:rPr>
              <w:color w:val="000000"/>
            </w:rPr>
            <w:t>(USEPA, 2022b).</w:t>
          </w:r>
        </w:sdtContent>
      </w:sdt>
    </w:p>
    <w:p w14:paraId="45B7C3A0" w14:textId="006D4F6D" w:rsidR="00161E81" w:rsidRPr="00D25D79" w:rsidRDefault="00161E81" w:rsidP="003C1D87">
      <w:r>
        <w:t xml:space="preserve">To assess </w:t>
      </w:r>
      <w:r w:rsidR="00B27389">
        <w:t xml:space="preserve">whether TN or TP was a better predictor of trophic state, chlorophyll-a was used as a proxy for trophic state. Both the response and predictor variables were logged, and </w:t>
      </w:r>
      <w:r w:rsidR="0002084C">
        <w:t xml:space="preserve">mixed </w:t>
      </w:r>
      <w:r w:rsidR="00B27389">
        <w:t>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000000"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w:t>
      </w:r>
      <w:r>
        <w:lastRenderedPageBreak/>
        <w:t xml:space="preserve">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161E81" w:rsidRPr="00161E81">
            <w:rPr>
              <w:color w:val="000000"/>
            </w:rPr>
            <w:t>(Stutter et al., 2018)</w:t>
          </w:r>
        </w:sdtContent>
      </w:sdt>
      <w:r w:rsidR="00A30A90">
        <w:t>.</w:t>
      </w:r>
    </w:p>
    <w:p w14:paraId="7BE1A0D8" w14:textId="627D7180" w:rsidR="00256270" w:rsidRDefault="00256270" w:rsidP="004D6FD3">
      <w:pPr>
        <w:pStyle w:val="ListParagraph"/>
        <w:numPr>
          <w:ilvl w:val="1"/>
          <w:numId w:val="11"/>
        </w:numPr>
      </w:pPr>
      <w:r>
        <w:t>Use of TN, TP to determine limitation has been questioned in the past</w:t>
      </w:r>
    </w:p>
    <w:p w14:paraId="01782C6C" w14:textId="18AC9A74" w:rsidR="0029196B" w:rsidRDefault="0029196B" w:rsidP="004D6FD3">
      <w:pPr>
        <w:pStyle w:val="ListParagraph"/>
        <w:numPr>
          <w:ilvl w:val="1"/>
          <w:numId w:val="11"/>
        </w:numPr>
      </w:pPr>
      <w:r>
        <w:t xml:space="preserve">Limitation, trophic state likely </w:t>
      </w:r>
      <w:proofErr w:type="gramStart"/>
      <w:r>
        <w:t>depend</w:t>
      </w:r>
      <w:proofErr w:type="gramEnd"/>
      <w:r>
        <w:t xml:space="preserve">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37F04F4"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0D2D4E17"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161E81" w:rsidRPr="00161E81">
            <w:rPr>
              <w:color w:val="000000"/>
            </w:rPr>
            <w:t>(Carpenter et al., 2011)</w:t>
          </w:r>
        </w:sdtContent>
      </w:sdt>
      <w:r w:rsidR="00C00FA4">
        <w:t xml:space="preserve">. </w:t>
      </w:r>
      <w:r w:rsidR="00C00FA4" w:rsidRPr="00C00FA4">
        <w:t xml:space="preserve">Nutrients are of particular interest due to their necessity in ecosystem functioning and their simultaneous capacity to pollute. Understanding coupled nutrient cycling and the regional stoichiometric </w:t>
      </w:r>
      <w:proofErr w:type="gramStart"/>
      <w:r w:rsidR="00C00FA4" w:rsidRPr="00C00FA4">
        <w:t>differences</w:t>
      </w:r>
      <w:proofErr w:type="gramEnd"/>
      <w:r w:rsidR="00C00FA4"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sdt>
      <w:sdtPr>
        <w:tag w:val="MENDELEY_BIBLIOGRAPHY"/>
        <w:id w:val="-839927712"/>
        <w:placeholder>
          <w:docPart w:val="DefaultPlaceholder_-1854013440"/>
        </w:placeholder>
      </w:sdt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lastRenderedPageBreak/>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lastRenderedPageBreak/>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lastRenderedPageBreak/>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575375">
    <w:abstractNumId w:val="6"/>
  </w:num>
  <w:num w:numId="2" w16cid:durableId="1160774276">
    <w:abstractNumId w:val="3"/>
  </w:num>
  <w:num w:numId="3" w16cid:durableId="67967611">
    <w:abstractNumId w:val="8"/>
  </w:num>
  <w:num w:numId="4" w16cid:durableId="120270647">
    <w:abstractNumId w:val="9"/>
  </w:num>
  <w:num w:numId="5" w16cid:durableId="1799685734">
    <w:abstractNumId w:val="4"/>
  </w:num>
  <w:num w:numId="6" w16cid:durableId="543518723">
    <w:abstractNumId w:val="0"/>
  </w:num>
  <w:num w:numId="7" w16cid:durableId="379329362">
    <w:abstractNumId w:val="1"/>
  </w:num>
  <w:num w:numId="8" w16cid:durableId="1388459664">
    <w:abstractNumId w:val="2"/>
  </w:num>
  <w:num w:numId="9" w16cid:durableId="1597857518">
    <w:abstractNumId w:val="5"/>
  </w:num>
  <w:num w:numId="10" w16cid:durableId="705911535">
    <w:abstractNumId w:val="7"/>
  </w:num>
  <w:num w:numId="11" w16cid:durableId="744108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2084C"/>
    <w:rsid w:val="000816BF"/>
    <w:rsid w:val="000A669B"/>
    <w:rsid w:val="000B3480"/>
    <w:rsid w:val="000E1282"/>
    <w:rsid w:val="00161E81"/>
    <w:rsid w:val="001A7A0B"/>
    <w:rsid w:val="001C1A71"/>
    <w:rsid w:val="001F364A"/>
    <w:rsid w:val="00201673"/>
    <w:rsid w:val="00221025"/>
    <w:rsid w:val="00226006"/>
    <w:rsid w:val="00237AB5"/>
    <w:rsid w:val="00256270"/>
    <w:rsid w:val="00256BB4"/>
    <w:rsid w:val="0029196B"/>
    <w:rsid w:val="002C17B1"/>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57C27"/>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1996"/>
    <w:rsid w:val="00EA2C6F"/>
    <w:rsid w:val="00EB6EB5"/>
    <w:rsid w:val="00EC11F4"/>
    <w:rsid w:val="00ED1642"/>
    <w:rsid w:val="00F01D02"/>
    <w:rsid w:val="00F01F11"/>
    <w:rsid w:val="00F072D4"/>
    <w:rsid w:val="00F10CEA"/>
    <w:rsid w:val="00F319BB"/>
    <w:rsid w:val="00F66191"/>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354C27"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702BAF" w:rsidRDefault="001D028B" w:rsidP="001D028B">
          <w:pPr>
            <w:pStyle w:val="F3E713EF6A604DE68DE649A7BB4E987A"/>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02BAF"/>
    <w:rsid w:val="0074259F"/>
    <w:rsid w:val="007F5BCB"/>
    <w:rsid w:val="00813B77"/>
    <w:rsid w:val="009D2428"/>
    <w:rsid w:val="00B95D6F"/>
    <w:rsid w:val="00BF698A"/>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8B"/>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10</cp:revision>
  <dcterms:created xsi:type="dcterms:W3CDTF">2022-08-22T23:08:00Z</dcterms:created>
  <dcterms:modified xsi:type="dcterms:W3CDTF">2022-08-29T18:34:00Z</dcterms:modified>
</cp:coreProperties>
</file>