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37CA0FBD" w14:textId="768D32F0" w:rsidR="001968F8" w:rsidRDefault="00735EBD" w:rsidP="00735EBD">
      <w:pPr>
        <w:pStyle w:val="ListParagraph"/>
        <w:numPr>
          <w:ilvl w:val="0"/>
          <w:numId w:val="12"/>
        </w:numPr>
      </w:pPr>
      <w:r>
        <w:t xml:space="preserve">Enrichment of nitrogen (N) and phosphorus (P) are mainly responsible for eutrophication </w:t>
      </w:r>
      <w:r>
        <w:fldChar w:fldCharType="begin"/>
      </w:r>
      <w:r>
        <w:instrText xml:space="preserve"> ADDIN ZOTERO_ITEM CSL_CITATION {"citationID":"wqHHPgU9","properties":{"formattedCitation":"(Wetzel, 2001)","plainCitation":"(Wetzel, 2001)","noteIndex":0},"citationItems":[{"id":2197,"uris":["http://zotero.org/users/7424350/items/UD5MEIYZ"],"itemData":{"id":2197,"type":"book","event-place":"San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735EBD">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968F8">
        <w:instrText xml:space="preserve"> ADDIN ZOTERO_ITEM CSL_CITATION {"citationID":"rlMwccSR","properties":{"formattedCitation":"(Smith &amp; Schindler, 2009)","plainCitation":"(Smith &amp; Schindler, 2009)","noteIndex":0},"citationItems":[{"id":1015,"uris":["http://zotero.org/users/7424350/items/XUKU5NRU"],"itemData":{"id":1015,"type":"article-journal","abstract":"Cultural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1968F8">
        <w:rPr>
          <w:rFonts w:ascii="Calibri" w:hAnsi="Calibri" w:cs="Calibri"/>
        </w:rPr>
        <w:t>(Smith &amp; Schindler, 2009)</w:t>
      </w:r>
      <w:r w:rsidR="001968F8">
        <w:fldChar w:fldCharType="end"/>
      </w:r>
      <w:r w:rsidR="001968F8">
        <w:t xml:space="preserve"> and biodiversity </w:t>
      </w:r>
      <w:r w:rsidR="001968F8">
        <w:fldChar w:fldCharType="begin"/>
      </w:r>
      <w:r w:rsidR="001968F8">
        <w:instrText xml:space="preserve"> ADDIN ZOTERO_ITEM CSL_CITATION {"citationID":"DE53GyzO","properties":{"formattedCitation":"(Reid et al., 2019)","plainCitation":"(Reid et al., 2019)","noteIndex":0},"citationItems":[{"id":506,"uris":["http://zotero.org/users/7424350/items/JC6NU6UP"],"itemData":{"id":506,"type":"article-journal","abstract":"In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1968F8">
        <w:rPr>
          <w:rFonts w:ascii="Calibri" w:hAnsi="Calibri" w:cs="Calibri"/>
        </w:rPr>
        <w:t>(Reid et al., 2019)</w:t>
      </w:r>
      <w:r w:rsidR="001968F8">
        <w:fldChar w:fldCharType="end"/>
      </w:r>
      <w:r w:rsidR="008D547F" w:rsidRPr="008D547F">
        <w:t xml:space="preserve"> </w:t>
      </w:r>
      <w:r w:rsidR="008D547F">
        <w:t>across the globe</w:t>
      </w:r>
      <w:r>
        <w:t xml:space="preserve">. </w:t>
      </w:r>
    </w:p>
    <w:p w14:paraId="29AF0534" w14:textId="53F5EA96" w:rsidR="00735EBD" w:rsidRDefault="001968F8" w:rsidP="00735EBD">
      <w:pPr>
        <w:pStyle w:val="ListParagraph"/>
        <w:numPr>
          <w:ilvl w:val="1"/>
          <w:numId w:val="12"/>
        </w:numPr>
      </w:pPr>
      <w:r>
        <w:t xml:space="preserve">Eutrophication can have serious consequences on </w:t>
      </w:r>
      <w:r w:rsidRPr="00390615">
        <w:t xml:space="preserve">aquatic ecosystem health including decreased oxygen, formation of </w:t>
      </w:r>
      <w:r>
        <w:t>toxins</w:t>
      </w:r>
      <w:r w:rsidRPr="00390615">
        <w:t>,</w:t>
      </w:r>
      <w:r>
        <w:t xml:space="preserve"> and</w:t>
      </w:r>
      <w:r w:rsidRPr="00390615">
        <w:t xml:space="preserve"> changes in </w:t>
      </w:r>
      <w:r>
        <w:t xml:space="preserve">organismal communities </w:t>
      </w:r>
      <w:r>
        <w:fldChar w:fldCharType="begin"/>
      </w:r>
      <w:r>
        <w:instrText xml:space="preserve"> ADDIN ZOTERO_ITEM CSL_CITATION {"citationID":"mDcG4P9i","properties":{"formattedCitation":"(Camargo &amp; Alonso, 2006)","plainCitation":"(Camargo &amp; Alonso, 2006)","noteIndex":0},"citationItems":[{"id":966,"uris":["http://zotero.org/users/7424350/items/2E9S2FFE"],"itemData":{"id":966,"type":"article-journal","abstract":"We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fldChar w:fldCharType="separate"/>
      </w:r>
      <w:r w:rsidRPr="001968F8">
        <w:rPr>
          <w:rFonts w:ascii="Calibri" w:hAnsi="Calibri" w:cs="Calibri"/>
        </w:rPr>
        <w:t>(Camargo &amp; Alonso, 2006)</w:t>
      </w:r>
      <w:r>
        <w:fldChar w:fldCharType="end"/>
      </w:r>
      <w:r>
        <w:t>.</w:t>
      </w:r>
    </w:p>
    <w:p w14:paraId="57DA53E1" w14:textId="2DBCD474" w:rsidR="000C22CC" w:rsidRDefault="001968F8" w:rsidP="00735EBD">
      <w:pPr>
        <w:pStyle w:val="ListParagraph"/>
        <w:numPr>
          <w:ilvl w:val="1"/>
          <w:numId w:val="12"/>
        </w:numPr>
      </w:pPr>
      <w:r>
        <w:t>In the United States</w:t>
      </w:r>
      <w:r w:rsidR="000C22CC">
        <w:t xml:space="preserve"> (US)</w:t>
      </w:r>
      <w:r>
        <w:t>, an estimated $2.2 billion in</w:t>
      </w:r>
      <w:r w:rsidR="000C22CC">
        <w:t xml:space="preserve"> annual</w:t>
      </w:r>
      <w:r>
        <w:t xml:space="preserve"> losses because of eutrophication is likely an underestimate of the actual amount</w:t>
      </w:r>
      <w:r w:rsidR="000C22CC">
        <w:t xml:space="preserve"> </w:t>
      </w:r>
      <w:r w:rsidR="000C22CC">
        <w:fldChar w:fldCharType="begin"/>
      </w:r>
      <w:r w:rsidR="000C22CC">
        <w:instrText xml:space="preserve"> ADDIN ZOTERO_ITEM CSL_CITATION {"citationID":"3WroIzds","properties":{"formattedCitation":"(Dodds et al., 2008)","plainCitation":"(Dodds et al., 2008)","noteIndex":0},"citationItems":[{"id":976,"uris":["http://zotero.org/users/7424350/items/L4I6LBHR"],"itemData":{"id":976,"type":"article-journal","abstract":"Human-induced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0C22CC">
        <w:rPr>
          <w:rFonts w:ascii="Calibri" w:hAnsi="Calibri" w:cs="Calibri"/>
        </w:rPr>
        <w:t>(</w:t>
      </w:r>
      <w:proofErr w:type="spellStart"/>
      <w:r w:rsidR="000C22CC" w:rsidRPr="000C22CC">
        <w:rPr>
          <w:rFonts w:ascii="Calibri" w:hAnsi="Calibri" w:cs="Calibri"/>
        </w:rPr>
        <w:t>Dodds</w:t>
      </w:r>
      <w:proofErr w:type="spellEnd"/>
      <w:r w:rsidR="000C22CC" w:rsidRPr="000C22CC">
        <w:rPr>
          <w:rFonts w:ascii="Calibri" w:hAnsi="Calibri" w:cs="Calibri"/>
        </w:rPr>
        <w:t xml:space="preserve"> et al., 2008)</w:t>
      </w:r>
      <w:r w:rsidR="000C22CC">
        <w:fldChar w:fldCharType="end"/>
      </w:r>
      <w:r w:rsidR="004E7F3D">
        <w:t xml:space="preserve"> </w:t>
      </w:r>
    </w:p>
    <w:p w14:paraId="1C355BCE" w14:textId="13FD6C24" w:rsidR="001968F8" w:rsidRDefault="001968F8" w:rsidP="000C22CC">
      <w:pPr>
        <w:pStyle w:val="ListParagraph"/>
        <w:numPr>
          <w:ilvl w:val="2"/>
          <w:numId w:val="12"/>
        </w:numPr>
      </w:pPr>
      <w:r>
        <w:t>a</w:t>
      </w:r>
      <w:r w:rsidR="000C22CC">
        <w:t>s</w:t>
      </w:r>
      <w:r>
        <w:t xml:space="preserve"> determining economic value of freshwater is difficult with many important factors often excluded from these analyses</w:t>
      </w:r>
      <w:r w:rsidR="000C22CC">
        <w:t xml:space="preserve"> </w:t>
      </w:r>
      <w:r w:rsidR="000C22CC">
        <w:fldChar w:fldCharType="begin"/>
      </w:r>
      <w:r w:rsidR="000C22CC">
        <w:instrText xml:space="preserve"> ADDIN ZOTERO_ITEM CSL_CITATION {"citationID":"UpCErBBY","properties":{"formattedCitation":"(Keiser et al., 2019)","plainCitation":"(Keiser et al., 2019)","noteIndex":0},"citationItems":[{"id":2193,"uris":["http://zotero.org/users/7424350/items/Y4VJCURN"],"itemData":{"id":2193,"type":"article-journal","abstract":"&lt;p&gt;US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uncertainty.&lt;/p&gt;","container-title":"Proceedings of the National Academy of Sciences","DOI":"10.1073/pnas.1802870115","ISSN":"0027-8424","issue":"12","page":"5262-5269","title":"The low but uncertain measured benefits of US water quality policy","volume":"116","author":[{"family":"Keiser","given":"David A."},{"family":"Kling","given":"Catherine L."},{"family":"Shapiro","given":"Joseph S."}],"issued":{"date-parts":[["2019",3,19]]}}}],"schema":"https://github.com/citation-style-language/schema/raw/master/csl-citation.json"} </w:instrText>
      </w:r>
      <w:r w:rsidR="000C22CC">
        <w:fldChar w:fldCharType="separate"/>
      </w:r>
      <w:r w:rsidR="000C22CC" w:rsidRPr="000C22CC">
        <w:rPr>
          <w:rFonts w:ascii="Calibri" w:hAnsi="Calibri" w:cs="Calibri"/>
        </w:rPr>
        <w:t>(Keiser et al., 2019)</w:t>
      </w:r>
      <w:r w:rsidR="000C22CC">
        <w:fldChar w:fldCharType="end"/>
      </w:r>
      <w:r w:rsidR="000C22CC">
        <w:t>.</w:t>
      </w:r>
    </w:p>
    <w:p w14:paraId="4B583991" w14:textId="114D3973" w:rsidR="005B4759" w:rsidRDefault="000C22CC" w:rsidP="007769A5">
      <w:pPr>
        <w:pStyle w:val="ListParagraph"/>
        <w:numPr>
          <w:ilvl w:val="1"/>
          <w:numId w:val="12"/>
        </w:numPr>
      </w:pPr>
      <w:r>
        <w:t>Furthermore, m</w:t>
      </w:r>
      <w:r w:rsidR="001968F8">
        <w:t>any freshwaters across the US are generally at serious risk of or are already plagued by eutrophication</w:t>
      </w:r>
      <w:r>
        <w:t xml:space="preserve"> </w:t>
      </w:r>
      <w:r>
        <w:fldChar w:fldCharType="begin"/>
      </w:r>
      <w:r>
        <w:instrText xml:space="preserve"> ADDIN ZOTERO_ITEM CSL_CITATION {"citationID":"WGyJesCG","properties":{"formattedCitation":"(Dodds et al., 2008)","plainCitation":"(Dodds et al., 2008)","noteIndex":0},"citationItems":[{"id":976,"uris":["http://zotero.org/users/7424350/items/L4I6LBHR"],"itemData":{"id":976,"type":"article-journal","abstract":"Human-induced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fldChar w:fldCharType="separate"/>
      </w:r>
      <w:r w:rsidRPr="000C22CC">
        <w:rPr>
          <w:rFonts w:ascii="Calibri" w:hAnsi="Calibri" w:cs="Calibri"/>
        </w:rPr>
        <w:t>(</w:t>
      </w:r>
      <w:proofErr w:type="spellStart"/>
      <w:r w:rsidRPr="000C22CC">
        <w:rPr>
          <w:rFonts w:ascii="Calibri" w:hAnsi="Calibri" w:cs="Calibri"/>
        </w:rPr>
        <w:t>Dodds</w:t>
      </w:r>
      <w:proofErr w:type="spellEnd"/>
      <w:r w:rsidRPr="000C22CC">
        <w:rPr>
          <w:rFonts w:ascii="Calibri" w:hAnsi="Calibri" w:cs="Calibri"/>
        </w:rPr>
        <w:t xml:space="preserve"> et al., 2008)</w:t>
      </w:r>
      <w:r>
        <w:fldChar w:fldCharType="end"/>
      </w:r>
      <w:r>
        <w:t>.</w:t>
      </w:r>
    </w:p>
    <w:p w14:paraId="79A7EDB2" w14:textId="1E547CF2" w:rsidR="007769A5" w:rsidRDefault="007769A5" w:rsidP="007769A5">
      <w:pPr>
        <w:pStyle w:val="ListParagraph"/>
        <w:numPr>
          <w:ilvl w:val="0"/>
          <w:numId w:val="12"/>
        </w:numPr>
      </w:pPr>
      <w:r w:rsidRPr="007769A5">
        <w:t xml:space="preserve">There is an ongoing debate about whether N or P is more important in causing eutrophication </w:t>
      </w:r>
      <w:r>
        <w:t xml:space="preserve">or which is the main limiting nutrient, </w:t>
      </w:r>
      <w:r w:rsidRPr="007769A5">
        <w:t xml:space="preserve">and many studies focus solely on P or argue that P </w:t>
      </w:r>
      <w:r w:rsidR="0086514E">
        <w:t>should be the top management priority</w:t>
      </w:r>
      <w:r w:rsidRPr="007769A5">
        <w:t xml:space="preserve"> (Carpenter, 2008; Ngatia &amp; Taylor, 2019)</w:t>
      </w:r>
      <w:r>
        <w:t>.</w:t>
      </w:r>
    </w:p>
    <w:p w14:paraId="0DEA03C0" w14:textId="78B88106" w:rsidR="007769A5" w:rsidRPr="007769A5" w:rsidRDefault="007769A5" w:rsidP="007769A5">
      <w:pPr>
        <w:pStyle w:val="ListParagraph"/>
        <w:numPr>
          <w:ilvl w:val="1"/>
          <w:numId w:val="12"/>
        </w:numPr>
      </w:pP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 (</w:t>
      </w:r>
      <w:proofErr w:type="gramStart"/>
      <w:r w:rsidRPr="007769A5">
        <w:t>e.g.</w:t>
      </w:r>
      <w:proofErr w:type="gramEnd"/>
      <w:r w:rsidRPr="007769A5">
        <w:t xml:space="preserve"> focus on the northeast and Midwest US in (Liang et al., 2020). </w:t>
      </w:r>
    </w:p>
    <w:p w14:paraId="5AA19DF5" w14:textId="25B42E77" w:rsidR="007769A5" w:rsidRDefault="006C36B7" w:rsidP="007769A5">
      <w:pPr>
        <w:pStyle w:val="ListParagraph"/>
        <w:numPr>
          <w:ilvl w:val="1"/>
          <w:numId w:val="12"/>
        </w:numPr>
      </w:pPr>
      <w:r>
        <w:t xml:space="preserve">Furthermore, there is belief that P is primarily the limiting nutrient in freshwaters, while N is limiting in oceans </w:t>
      </w:r>
      <w:r>
        <w:fldChar w:fldCharType="begin"/>
      </w:r>
      <w:r>
        <w:instrText xml:space="preserve"> ADDIN ZOTERO_ITEM CSL_CITATION {"citationID":"UXQbZca7","properties":{"formattedCitation":"(Correll, 1999)","plainCitation":"(Correll, 1999)","noteIndex":0},"citationItems":[{"id":3607,"uris":["http://zotero.org/users/7424350/items/PWYLU9M3"],"itemData":{"id":3607,"type":"article-journal","abstract":"Phosphorus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fldChar w:fldCharType="separate"/>
      </w:r>
      <w:r w:rsidRPr="006C36B7">
        <w:rPr>
          <w:rFonts w:ascii="Calibri" w:hAnsi="Calibri" w:cs="Calibri"/>
        </w:rPr>
        <w:t>(</w:t>
      </w:r>
      <w:proofErr w:type="spellStart"/>
      <w:r w:rsidRPr="006C36B7">
        <w:rPr>
          <w:rFonts w:ascii="Calibri" w:hAnsi="Calibri" w:cs="Calibri"/>
        </w:rPr>
        <w:t>Correll</w:t>
      </w:r>
      <w:proofErr w:type="spellEnd"/>
      <w:r w:rsidRPr="006C36B7">
        <w:rPr>
          <w:rFonts w:ascii="Calibri" w:hAnsi="Calibri" w:cs="Calibri"/>
        </w:rPr>
        <w:t>, 1999)</w:t>
      </w:r>
      <w:r>
        <w:fldChar w:fldCharType="end"/>
      </w:r>
      <w:r>
        <w:t xml:space="preserve">, and that N-limitation in freshwaters </w:t>
      </w:r>
      <w:r w:rsidR="0086514E">
        <w:t>is merely</w:t>
      </w:r>
      <w:r>
        <w:t xml:space="preserve"> a result of P enrichment in eutrophic waters </w:t>
      </w:r>
      <w:r>
        <w:fldChar w:fldCharType="begin"/>
      </w:r>
      <w:r>
        <w:instrText xml:space="preserve"> ADDIN ZOTERO_ITEM CSL_CITATION {"citationID":"qxxxXEpI","properties":{"formattedCitation":"(Havens, 1995)","plainCitation":"(Havens, 1995)","noteIndex":0},"citationItems":[{"id":3731,"uris":["http://zotero.org/users/7424350/items/U5GJBPFU"],"itemData":{"id":3731,"type":"article-journal","container-title":"Environmental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fldChar w:fldCharType="separate"/>
      </w:r>
      <w:r w:rsidRPr="006C36B7">
        <w:rPr>
          <w:rFonts w:ascii="Calibri" w:hAnsi="Calibri" w:cs="Calibri"/>
        </w:rPr>
        <w:t>(Havens, 1995)</w:t>
      </w:r>
      <w:r>
        <w:fldChar w:fldCharType="end"/>
      </w:r>
      <w:r>
        <w:t>.</w:t>
      </w:r>
    </w:p>
    <w:p w14:paraId="090A20D0" w14:textId="0FB3083F" w:rsidR="008D34FA" w:rsidRDefault="008D34FA" w:rsidP="0086514E">
      <w:pPr>
        <w:pStyle w:val="ListParagraph"/>
        <w:numPr>
          <w:ilvl w:val="0"/>
          <w:numId w:val="12"/>
        </w:numPr>
      </w:pPr>
      <w:r>
        <w:t xml:space="preserve">Despite the paradigm surrounding P, </w:t>
      </w:r>
      <w:r w:rsidR="00E13A62">
        <w:t xml:space="preserve">the importance of N is not </w:t>
      </w:r>
      <w:r w:rsidR="0086514E">
        <w:t>un</w:t>
      </w:r>
      <w:r w:rsidR="003E0D8B">
        <w:t>known</w:t>
      </w:r>
      <w:r w:rsidR="00E13A62">
        <w:t>.</w:t>
      </w:r>
      <w:r w:rsidR="0086514E">
        <w:t xml:space="preserve"> In fact, some </w:t>
      </w:r>
      <w:r w:rsidR="0086514E" w:rsidRPr="0086514E">
        <w:t>believe that most northern-hemisphere lakes were N-limited prior to an influx of N-deposition resulting in eutrophication and a shift toward P-limitation (</w:t>
      </w:r>
      <w:proofErr w:type="spellStart"/>
      <w:r w:rsidR="0086514E" w:rsidRPr="0086514E">
        <w:t>Bergström</w:t>
      </w:r>
      <w:proofErr w:type="spellEnd"/>
      <w:r w:rsidR="0086514E" w:rsidRPr="0086514E">
        <w:t xml:space="preserve"> &amp; Jansson, 2006).</w:t>
      </w:r>
    </w:p>
    <w:p w14:paraId="625018E0" w14:textId="5CF088E4" w:rsidR="0086514E" w:rsidRDefault="005B3F11" w:rsidP="0086514E">
      <w:pPr>
        <w:pStyle w:val="ListParagraph"/>
        <w:numPr>
          <w:ilvl w:val="1"/>
          <w:numId w:val="12"/>
        </w:numPr>
      </w:pPr>
      <w:r>
        <w:t xml:space="preserve">Focusing on eutrophication management, P reduction alone is no longer an adequate solution. Rather, there is increased need for research on nutrient amounts, ratios, and N’s impact on eutrophication </w:t>
      </w:r>
      <w:r>
        <w:fldChar w:fldCharType="begin"/>
      </w:r>
      <w:r>
        <w:instrText xml:space="preserve"> ADDIN ZOTERO_ITEM CSL_CITATION {"citationID":"NI7BWoQW","properties":{"formattedCitation":"(Yao et al., 2018)","plainCitation":"(Yao et al., 2018)","noteIndex":0},"citationItems":[{"id":3642,"uris":["http://zotero.org/users/7424350/items/47J5DJUK"],"itemData":{"id":3642,"type":"article-journal","abstract":"The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fldChar w:fldCharType="separate"/>
      </w:r>
      <w:r w:rsidRPr="005B3F11">
        <w:rPr>
          <w:rFonts w:ascii="Calibri" w:hAnsi="Calibri" w:cs="Calibri"/>
        </w:rPr>
        <w:t>(Yao et al., 2018)</w:t>
      </w:r>
      <w:r>
        <w:fldChar w:fldCharType="end"/>
      </w:r>
      <w:r>
        <w:t>.</w:t>
      </w:r>
    </w:p>
    <w:p w14:paraId="12C079A2" w14:textId="6B85E2A2" w:rsidR="00A10F84" w:rsidRDefault="00A10F84" w:rsidP="00A10F84">
      <w:pPr>
        <w:pStyle w:val="ListParagraph"/>
        <w:numPr>
          <w:ilvl w:val="2"/>
          <w:numId w:val="12"/>
        </w:numPr>
      </w:pPr>
      <w:r>
        <w:t xml:space="preserve">Reductions in P pollution in large lakes may lead to accumulation of N </w:t>
      </w:r>
      <w:r>
        <w:fldChar w:fldCharType="begin"/>
      </w:r>
      <w:r>
        <w:instrText xml:space="preserve"> ADDIN ZOTERO_ITEM CSL_CITATION {"citationID":"mVCSPapq","properties":{"formattedCitation":"(Finlay et al., 2013)","plainCitation":"(Finlay et al., 2013)","noteIndex":0},"citationItems":[{"id":984,"uris":["http://zotero.org/users/7424350/items/8XDE9U5A"],"itemData":{"id":984,"type":"article-journal","abstract":"Human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A10F84">
        <w:rPr>
          <w:rFonts w:ascii="Calibri" w:hAnsi="Calibri" w:cs="Calibri"/>
        </w:rPr>
        <w:t>(Finlay et al., 2013)</w:t>
      </w:r>
      <w:r>
        <w:fldChar w:fldCharType="end"/>
      </w:r>
      <w:r>
        <w:t xml:space="preserve">, </w:t>
      </w:r>
      <w:r>
        <w:rPr>
          <w:color w:val="000000"/>
        </w:rPr>
        <w:t>negating the attempt to mitigate nutrient pollution</w:t>
      </w:r>
      <w:r>
        <w:t>.</w:t>
      </w:r>
    </w:p>
    <w:p w14:paraId="4EB466C2" w14:textId="77777777" w:rsidR="005B3F11" w:rsidRDefault="0086514E" w:rsidP="005B3F11">
      <w:pPr>
        <w:pStyle w:val="ListParagraph"/>
        <w:numPr>
          <w:ilvl w:val="2"/>
          <w:numId w:val="12"/>
        </w:numPr>
      </w:pPr>
      <w:r>
        <w:t xml:space="preserve">In the Western US, N-deposition can significantly alter ecosystems </w:t>
      </w:r>
      <w:r>
        <w:fldChar w:fldCharType="begin"/>
      </w:r>
      <w:r>
        <w:instrText xml:space="preserve"> ADDIN ZOTERO_ITEM CSL_CITATION {"citationID":"BickFUyC","properties":{"formattedCitation":"(Fenn et al., 2003)","plainCitation":"(Fenn et al., 2003)","noteIndex":0},"citationItems":[{"id":3617,"uris":["http://zotero.org/users/7424350/items/MTDN3LZG"],"itemData":{"id":3617,"type":"article-journal","abstract":"In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E13A62">
        <w:rPr>
          <w:rFonts w:ascii="Calibri" w:hAnsi="Calibri" w:cs="Calibri"/>
        </w:rPr>
        <w:t>(Fenn et al., 2003)</w:t>
      </w:r>
      <w:r>
        <w:fldChar w:fldCharType="end"/>
      </w:r>
      <w:r>
        <w:t xml:space="preserve">. </w:t>
      </w:r>
    </w:p>
    <w:p w14:paraId="0DAEC328" w14:textId="46DE06B7" w:rsidR="0086514E" w:rsidRDefault="005B3F11" w:rsidP="005B3F11">
      <w:pPr>
        <w:pStyle w:val="ListParagraph"/>
        <w:numPr>
          <w:ilvl w:val="2"/>
          <w:numId w:val="12"/>
        </w:numPr>
      </w:pPr>
      <w:r>
        <w:t>Projected</w:t>
      </w:r>
      <w:r w:rsidR="0086514E">
        <w:t xml:space="preserve"> precipitation patterns under a changing climate will only likely increase N loading into freshwaters worldwide </w:t>
      </w:r>
      <w:r w:rsidR="0086514E">
        <w:fldChar w:fldCharType="begin"/>
      </w:r>
      <w:r w:rsidR="0086514E">
        <w:instrText xml:space="preserve"> ADDIN ZOTERO_ITEM CSL_CITATION {"citationID":"p3zt6DCF","properties":{"formattedCitation":"(Sinha et al., 2017)","plainCitation":"(Sinha et al., 2017)","noteIndex":0},"citationItems":[{"id":3268,"uris":["http://zotero.org/users/7424350/items/XCIM3CFE"],"itemData":{"id":3268,"type":"article-journal","abstract":"&lt;p&gt;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E2775A">
        <w:rPr>
          <w:rFonts w:ascii="Calibri" w:hAnsi="Calibri" w:cs="Calibri"/>
        </w:rPr>
        <w:t>(Sinha et al., 2017)</w:t>
      </w:r>
      <w:r w:rsidR="0086514E">
        <w:fldChar w:fldCharType="end"/>
      </w:r>
      <w:r w:rsidR="0086514E">
        <w:t>.</w:t>
      </w:r>
    </w:p>
    <w:p w14:paraId="76A1C1FD" w14:textId="79D6F6DE" w:rsidR="00E13A62" w:rsidRDefault="00E13A62" w:rsidP="00E13A62">
      <w:pPr>
        <w:pStyle w:val="ListParagraph"/>
        <w:numPr>
          <w:ilvl w:val="1"/>
          <w:numId w:val="12"/>
        </w:numPr>
      </w:pPr>
      <w:r>
        <w:t xml:space="preserve">Experiments have demonstrated how both nutrients together have an impact on productivity significantly more than additions of a single nutrient and how stoichiometrically imbalanced food can have detrimental impacts </w:t>
      </w:r>
      <w:r>
        <w:fldChar w:fldCharType="begin"/>
      </w:r>
      <w:r>
        <w:instrText xml:space="preserve"> ADDIN ZOTERO_ITEM CSL_CITATION {"citationID":"teoYyjQX","properties":{"formattedCitation":"(Elser et al., 2011; Redoglio et al., 2022)","plainCitation":"(Elser et al., 2011; Redoglio et al., 2022)","noteIndex":0},"citationItems":[{"id":2425,"uris":["http://zotero.org/users/7424350/items/7FTACYFX"],"itemData":{"id":2425,"type":"article-journal","abstract":"While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8"}],"issued":{"date-parts":[["2011"]]}}},{"id":3738,"uris":["http://zotero.org/users/7424350/items/S4FG9VVS"],"itemData":{"id":3738,"type":"article-journal","abstract":"Primary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E13A62">
        <w:rPr>
          <w:rFonts w:ascii="Calibri" w:hAnsi="Calibri" w:cs="Calibri"/>
        </w:rPr>
        <w:t>(</w:t>
      </w:r>
      <w:proofErr w:type="spellStart"/>
      <w:r w:rsidRPr="00E13A62">
        <w:rPr>
          <w:rFonts w:ascii="Calibri" w:hAnsi="Calibri" w:cs="Calibri"/>
        </w:rPr>
        <w:t>Elser</w:t>
      </w:r>
      <w:proofErr w:type="spellEnd"/>
      <w:r w:rsidRPr="00E13A62">
        <w:rPr>
          <w:rFonts w:ascii="Calibri" w:hAnsi="Calibri" w:cs="Calibri"/>
        </w:rPr>
        <w:t xml:space="preserve"> et al., 2011; </w:t>
      </w:r>
      <w:proofErr w:type="spellStart"/>
      <w:r w:rsidRPr="00E13A62">
        <w:rPr>
          <w:rFonts w:ascii="Calibri" w:hAnsi="Calibri" w:cs="Calibri"/>
        </w:rPr>
        <w:t>Redoglio</w:t>
      </w:r>
      <w:proofErr w:type="spellEnd"/>
      <w:r w:rsidRPr="00E13A62">
        <w:rPr>
          <w:rFonts w:ascii="Calibri" w:hAnsi="Calibri" w:cs="Calibri"/>
        </w:rPr>
        <w:t xml:space="preserve"> et al., 2022)</w:t>
      </w:r>
      <w:r>
        <w:fldChar w:fldCharType="end"/>
      </w:r>
      <w:r>
        <w:t>.</w:t>
      </w:r>
    </w:p>
    <w:p w14:paraId="063098C5" w14:textId="77777777" w:rsidR="00AA3482" w:rsidRDefault="00AA3482" w:rsidP="00AA3482">
      <w:pPr>
        <w:pStyle w:val="ListParagraph"/>
        <w:numPr>
          <w:ilvl w:val="0"/>
          <w:numId w:val="12"/>
        </w:numPr>
      </w:pPr>
      <w:r>
        <w:t xml:space="preserve">Because their cycles are coupled in the environment </w:t>
      </w:r>
      <w:r>
        <w:fldChar w:fldCharType="begin"/>
      </w:r>
      <w:r>
        <w:instrText xml:space="preserve"> ADDIN ZOTERO_ITEM CSL_CITATION {"citationID":"DqOF0Unh","properties":{"formattedCitation":"(Oviedo-Vargas et al., 2013)","plainCitation":"(Oviedo-Vargas et al., 2013)","noteIndex":0},"citationItems":[{"id":1002,"uris":["http://zotero.org/users/7424350/items/L8XPXR5N"],"itemData":{"id":1002,"type":"article-journal","abstract":"To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fldChar w:fldCharType="separate"/>
      </w:r>
      <w:r w:rsidRPr="00735EBD">
        <w:rPr>
          <w:rFonts w:ascii="Calibri" w:hAnsi="Calibri" w:cs="Calibri"/>
        </w:rPr>
        <w:t>(Oviedo-Vargas et al., 2013)</w:t>
      </w:r>
      <w:r>
        <w:fldChar w:fldCharType="end"/>
      </w:r>
      <w:r>
        <w:t>, studying N and P in together terms of relative abundances may unfold large-scale patterns that would otherwise be unseen.</w:t>
      </w:r>
    </w:p>
    <w:p w14:paraId="11617A69" w14:textId="7C93F717" w:rsidR="00AA3482" w:rsidRDefault="00AA3482" w:rsidP="00AA3482">
      <w:pPr>
        <w:pStyle w:val="ListParagraph"/>
        <w:numPr>
          <w:ilvl w:val="1"/>
          <w:numId w:val="12"/>
        </w:numPr>
      </w:pPr>
      <w:r>
        <w:lastRenderedPageBreak/>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2C106F">
        <w:instrText xml:space="preserve"> ADDIN ZOTERO_ITEM CSL_CITATION {"citationID":"svw9SVT6","properties":{"formattedCitation":"(Sterner &amp; Elser, 2002)","plainCitation":"(Sterner &amp; Elser, 2002)","noteIndex":0},"citationItems":[{"id":2424,"uris":["http://zotero.org/users/7424350/items/WRSSM8YP"],"itemData":{"id":2424,"type":"article-journal","abstract":"Synthesizing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2C106F">
        <w:rPr>
          <w:rFonts w:ascii="Calibri" w:hAnsi="Calibri" w:cs="Calibri"/>
        </w:rPr>
        <w:t xml:space="preserve">(Sterner &amp; </w:t>
      </w:r>
      <w:proofErr w:type="spellStart"/>
      <w:r w:rsidR="002C106F" w:rsidRPr="002C106F">
        <w:rPr>
          <w:rFonts w:ascii="Calibri" w:hAnsi="Calibri" w:cs="Calibri"/>
        </w:rPr>
        <w:t>Elser</w:t>
      </w:r>
      <w:proofErr w:type="spellEnd"/>
      <w:r w:rsidR="002C106F" w:rsidRPr="002C106F">
        <w:rPr>
          <w:rFonts w:ascii="Calibri" w:hAnsi="Calibri" w:cs="Calibri"/>
        </w:rPr>
        <w:t>, 2002)</w:t>
      </w:r>
      <w:r w:rsidR="002C106F">
        <w:fldChar w:fldCharType="end"/>
      </w:r>
      <w:r>
        <w:t xml:space="preserve">. </w:t>
      </w:r>
    </w:p>
    <w:p w14:paraId="6E17BE79" w14:textId="1731ADBD" w:rsidR="002C106F" w:rsidRDefault="002C106F" w:rsidP="002C106F">
      <w:pPr>
        <w:pStyle w:val="ListParagraph"/>
        <w:numPr>
          <w:ilvl w:val="2"/>
          <w:numId w:val="12"/>
        </w:numPr>
      </w:pPr>
      <w:r>
        <w:t>Limitation</w:t>
      </w:r>
      <w:r w:rsidR="005B4759">
        <w:t xml:space="preserve"> directly</w:t>
      </w:r>
      <w:r>
        <w:t xml:space="preserve"> connects to eutrophication through nutrient drivers of primary productivity. </w:t>
      </w:r>
    </w:p>
    <w:p w14:paraId="19F76EB0" w14:textId="0A5446FC" w:rsidR="002C106F" w:rsidRDefault="005B4759" w:rsidP="002C106F">
      <w:pPr>
        <w:pStyle w:val="ListParagraph"/>
        <w:numPr>
          <w:ilvl w:val="1"/>
          <w:numId w:val="12"/>
        </w:numPr>
      </w:pPr>
      <w:r>
        <w:t>Just as b</w:t>
      </w:r>
      <w:r w:rsidR="002C106F">
        <w:t xml:space="preserve">iological processes impact availability of nutrient supply and regulate global biogeochemical processes </w:t>
      </w:r>
      <w:r w:rsidR="002C106F">
        <w:fldChar w:fldCharType="begin"/>
      </w:r>
      <w:r w:rsidR="002C106F">
        <w:instrText xml:space="preserve"> ADDIN ZOTERO_ITEM CSL_CITATION {"citationID":"EyX94CpN","properties":{"formattedCitation":"(Reiners, 1986)","plainCitation":"(Reiners, 1986)","noteIndex":0},"citationItems":[{"id":1528,"uris":["http://zotero.org/users/7424350/items/MNY5CTGB"],"itemData":{"id":1528,"type":"article-journal","abstract":"The ecosystem level of ecological research is fraught with conceptual difficulties that have contributed to faltering progress in theoretical development. An acceptance of multiple models for diffe...","container-title":"https://doi.org/10.1086/284467","DOI":"10.1086/284467","ISSN":"00030147","issue":"1","note":"publisher:  University of Chicago Press","page":"59-73","title":"Complementary Models for Ecosystems","volume":"127","author":[{"family":"Reiners","given":"W. A."}],"issued":{"date-parts":[["1986",10,15]]}}}],"schema":"https://github.com/citation-style-language/schema/raw/master/csl-citation.json"} </w:instrText>
      </w:r>
      <w:r w:rsidR="002C106F">
        <w:fldChar w:fldCharType="separate"/>
      </w:r>
      <w:r w:rsidR="002C106F" w:rsidRPr="002C106F">
        <w:rPr>
          <w:rFonts w:ascii="Calibri" w:hAnsi="Calibri" w:cs="Calibri"/>
        </w:rPr>
        <w:t>(</w:t>
      </w:r>
      <w:proofErr w:type="spellStart"/>
      <w:r w:rsidR="002C106F" w:rsidRPr="002C106F">
        <w:rPr>
          <w:rFonts w:ascii="Calibri" w:hAnsi="Calibri" w:cs="Calibri"/>
        </w:rPr>
        <w:t>Reiners</w:t>
      </w:r>
      <w:proofErr w:type="spellEnd"/>
      <w:r w:rsidR="002C106F" w:rsidRPr="002C106F">
        <w:rPr>
          <w:rFonts w:ascii="Calibri" w:hAnsi="Calibri" w:cs="Calibri"/>
        </w:rPr>
        <w:t>, 1986)</w:t>
      </w:r>
      <w:r w:rsidR="002C106F">
        <w:fldChar w:fldCharType="end"/>
      </w:r>
      <w:r w:rsidR="002C106F">
        <w:t xml:space="preserve">, </w:t>
      </w:r>
      <w:r>
        <w:t xml:space="preserve">so too are the nutrient supply pools important as </w:t>
      </w:r>
      <w:r w:rsidR="002C106F">
        <w:t>nutrient supply can limit biological function and growth</w:t>
      </w:r>
      <w:r>
        <w:t xml:space="preserve"> </w:t>
      </w:r>
      <w:r w:rsidR="002C106F">
        <w:fldChar w:fldCharType="begin"/>
      </w:r>
      <w:r>
        <w:instrText xml:space="preserve"> ADDIN ZOTERO_ITEM CSL_CITATION {"citationID":"LnqNldjg","properties":{"formattedCitation":"(Sterner &amp; Elser, 2002)","plainCitation":"(Sterner &amp; Elser, 2002)","noteIndex":0},"citationItems":[{"id":2424,"uris":["http://zotero.org/users/7424350/items/WRSSM8YP"],"itemData":{"id":2424,"type":"article-journal","abstract":"Synthesizing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2C106F">
        <w:rPr>
          <w:rFonts w:ascii="Calibri" w:hAnsi="Calibri" w:cs="Calibri"/>
        </w:rPr>
        <w:t xml:space="preserve">(Sterner &amp; </w:t>
      </w:r>
      <w:proofErr w:type="spellStart"/>
      <w:r w:rsidR="002C106F" w:rsidRPr="002C106F">
        <w:rPr>
          <w:rFonts w:ascii="Calibri" w:hAnsi="Calibri" w:cs="Calibri"/>
        </w:rPr>
        <w:t>Elser</w:t>
      </w:r>
      <w:proofErr w:type="spellEnd"/>
      <w:r w:rsidR="002C106F" w:rsidRPr="002C106F">
        <w:rPr>
          <w:rFonts w:ascii="Calibri" w:hAnsi="Calibri" w:cs="Calibri"/>
        </w:rPr>
        <w:t>, 2002)</w:t>
      </w:r>
      <w:r w:rsidR="002C106F">
        <w:fldChar w:fldCharType="end"/>
      </w:r>
      <w:r>
        <w:t>.</w:t>
      </w:r>
    </w:p>
    <w:p w14:paraId="5E33D4D6" w14:textId="28A06787" w:rsidR="00A10F84" w:rsidRDefault="00A10F84" w:rsidP="002C106F">
      <w:pPr>
        <w:pStyle w:val="ListParagraph"/>
        <w:numPr>
          <w:ilvl w:val="1"/>
          <w:numId w:val="12"/>
        </w:numPr>
      </w:pPr>
      <w:r>
        <w:t xml:space="preserve">Large-scale nutrient stoichiometry integrates biogeochemical processes like biotic dynamics, precipitation, geological weathering, and anthropogenic influences; and serves as the backdrop for many smaller-scale processes to occur </w:t>
      </w:r>
      <w:r>
        <w:fldChar w:fldCharType="begin"/>
      </w:r>
      <w:r>
        <w:instrText xml:space="preserve"> ADDIN ZOTERO_ITEM CSL_CITATION {"citationID":"E62KZ5Ul","properties":{"formattedCitation":"(Sterner &amp; Elser, 2002)","plainCitation":"(Sterner &amp; Elser, 2002)","noteIndex":0},"citationItems":[{"id":2424,"uris":["http://zotero.org/users/7424350/items/WRSSM8YP"],"itemData":{"id":2424,"type":"article-journal","abstract":"Synthesizing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fldChar w:fldCharType="separate"/>
      </w:r>
      <w:r w:rsidRPr="00A10F84">
        <w:rPr>
          <w:rFonts w:ascii="Calibri" w:hAnsi="Calibri" w:cs="Calibri"/>
        </w:rPr>
        <w:t xml:space="preserve">(Sterner &amp; </w:t>
      </w:r>
      <w:proofErr w:type="spellStart"/>
      <w:r w:rsidRPr="00A10F84">
        <w:rPr>
          <w:rFonts w:ascii="Calibri" w:hAnsi="Calibri" w:cs="Calibri"/>
        </w:rPr>
        <w:t>Elser</w:t>
      </w:r>
      <w:proofErr w:type="spellEnd"/>
      <w:r w:rsidRPr="00A10F84">
        <w:rPr>
          <w:rFonts w:ascii="Calibri" w:hAnsi="Calibri" w:cs="Calibri"/>
        </w:rPr>
        <w:t>, 2002)</w:t>
      </w:r>
      <w:r>
        <w:fldChar w:fldCharType="end"/>
      </w:r>
      <w:r>
        <w:t>.</w:t>
      </w:r>
    </w:p>
    <w:p w14:paraId="2CB07F6F" w14:textId="3AB80E03" w:rsidR="00A10F84" w:rsidRDefault="00A10F84" w:rsidP="00A10F84">
      <w:pPr>
        <w:pStyle w:val="ListParagraph"/>
        <w:numPr>
          <w:ilvl w:val="2"/>
          <w:numId w:val="12"/>
        </w:numPr>
      </w:pPr>
      <w:r>
        <w:t xml:space="preserve">Balancing nutrient stoichiometry may assist in eutrophication management, rather than focusing on a sole nutrient </w:t>
      </w:r>
      <w:r>
        <w:fldChar w:fldCharType="begin"/>
      </w:r>
      <w:r>
        <w:instrText xml:space="preserve"> ADDIN ZOTERO_ITEM CSL_CITATION {"citationID":"NnftAcoC","properties":{"formattedCitation":"(Stutter et al., 2018)","plainCitation":"(Stutter et al., 2018)","noteIndex":0},"citationItems":[{"id":1583,"uris":["http://zotero.org/users/7424350/items/9L5P8HDQ"],"itemData":{"id":1583,"type":"article-journal","abstract":"Reactive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A10F84">
        <w:rPr>
          <w:rFonts w:ascii="Calibri" w:hAnsi="Calibri" w:cs="Calibri"/>
        </w:rPr>
        <w:t>(Stutter et al., 2018)</w:t>
      </w:r>
      <w:r>
        <w:fldChar w:fldCharType="end"/>
      </w:r>
      <w:r>
        <w:t xml:space="preserve">. </w:t>
      </w:r>
    </w:p>
    <w:p w14:paraId="1E7F8F27" w14:textId="77777777" w:rsidR="00A10F84" w:rsidRDefault="00A10F84" w:rsidP="00AA3482">
      <w:pPr>
        <w:pStyle w:val="ListParagraph"/>
        <w:numPr>
          <w:ilvl w:val="0"/>
          <w:numId w:val="12"/>
        </w:numPr>
      </w:pPr>
      <w:r>
        <w:t xml:space="preserve">In this study, we use US Environmental Protection Agency (EPA) National Lakes Assessment (NLA) data to evaluate differences in nutrient limitation across US lakes between survey years 2007 and 2017. </w:t>
      </w:r>
    </w:p>
    <w:p w14:paraId="0CDD62A7" w14:textId="77777777" w:rsidR="00A10F84" w:rsidRDefault="00A10F84" w:rsidP="00735EBD">
      <w:pPr>
        <w:pStyle w:val="ListParagraph"/>
        <w:numPr>
          <w:ilvl w:val="1"/>
          <w:numId w:val="12"/>
        </w:numPr>
      </w:pPr>
      <w:r>
        <w:t xml:space="preserve">This research is intended to support efforts to assess nutrient water quality and more effectively protect and restore waters from nutrient pollution. </w:t>
      </w:r>
    </w:p>
    <w:p w14:paraId="69574375" w14:textId="0DD24CD8" w:rsidR="00E319D0" w:rsidRDefault="00A10F84" w:rsidP="00E319D0">
      <w:pPr>
        <w:pStyle w:val="ListParagraph"/>
        <w:numPr>
          <w:ilvl w:val="1"/>
          <w:numId w:val="12"/>
        </w:numPr>
      </w:pPr>
      <w:r w:rsidRPr="00A10F84">
        <w:t>The NLA data are specifically designed to assess lakes across the US, rather than the individual lakes sampled</w:t>
      </w:r>
      <w:r w:rsidR="00E575A1">
        <w:t>,</w:t>
      </w:r>
      <w:r w:rsidRPr="00A10F84">
        <w:t xml:space="preserve"> by using population weight estimates </w:t>
      </w:r>
      <w:r w:rsidR="00E575A1">
        <w:fldChar w:fldCharType="begin"/>
      </w:r>
      <w:r w:rsidR="00E575A1">
        <w:instrText xml:space="preserve"> ADDIN ZOTERO_ITEM CSL_CITATION {"citationID":"whU33hXI","properties":{"formattedCitation":"(USEPA, 2022b)","plainCitation":"(USEPA, 2022b)","noteIndex":0},"citationItems":[{"id":2455,"uris":["http://zotero.org/users/7424350/items/NZLMYE7B"],"itemData":{"id":2455,"type":"article-journal","container-title":"U.S.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E575A1">
        <w:fldChar w:fldCharType="separate"/>
      </w:r>
      <w:r w:rsidR="00E575A1" w:rsidRPr="00E575A1">
        <w:rPr>
          <w:rFonts w:ascii="Calibri" w:hAnsi="Calibri" w:cs="Calibri"/>
        </w:rPr>
        <w:t>(USEPA, 2022b)</w:t>
      </w:r>
      <w:r w:rsidR="00E575A1">
        <w:fldChar w:fldCharType="end"/>
      </w:r>
      <w:r w:rsidR="00E575A1">
        <w:t>.</w:t>
      </w:r>
      <w:r w:rsidR="00E319D0">
        <w:t xml:space="preserve"> </w:t>
      </w:r>
    </w:p>
    <w:p w14:paraId="28E2CE83" w14:textId="027FAFC3" w:rsidR="00E575A1" w:rsidRDefault="00E575A1" w:rsidP="00735EBD">
      <w:pPr>
        <w:pStyle w:val="ListParagraph"/>
        <w:numPr>
          <w:ilvl w:val="1"/>
          <w:numId w:val="12"/>
        </w:numPr>
      </w:pPr>
      <w:r>
        <w:t>Using these broad scale</w:t>
      </w:r>
      <w:r w:rsidR="00E319D0">
        <w:t xml:space="preserve"> survey</w:t>
      </w:r>
      <w:r>
        <w:t xml:space="preserve"> data, we aim to answer the following questions:</w:t>
      </w:r>
    </w:p>
    <w:p w14:paraId="6764C5F8" w14:textId="477D75F3" w:rsidR="00E575A1" w:rsidRDefault="00E575A1" w:rsidP="00E575A1">
      <w:pPr>
        <w:pStyle w:val="ListParagraph"/>
        <w:numPr>
          <w:ilvl w:val="2"/>
          <w:numId w:val="12"/>
        </w:numPr>
      </w:pPr>
      <w:r>
        <w:t>Which nutrient correlates with eutrophication in lakes across ecoregions of the US?</w:t>
      </w:r>
    </w:p>
    <w:p w14:paraId="3322CBC9" w14:textId="1BAC8159" w:rsidR="00E575A1" w:rsidRDefault="00E575A1" w:rsidP="00E575A1">
      <w:pPr>
        <w:pStyle w:val="ListParagraph"/>
        <w:numPr>
          <w:ilvl w:val="2"/>
          <w:numId w:val="12"/>
        </w:numPr>
      </w:pPr>
      <w:r>
        <w:t>Which nutrient is limiting in lakes across ecoregions of the US?</w:t>
      </w:r>
    </w:p>
    <w:p w14:paraId="42C07DE3" w14:textId="362F88AB" w:rsidR="00E575A1" w:rsidRDefault="00E575A1" w:rsidP="00E575A1">
      <w:pPr>
        <w:pStyle w:val="ListParagraph"/>
        <w:numPr>
          <w:ilvl w:val="2"/>
          <w:numId w:val="12"/>
        </w:numPr>
      </w:pPr>
      <w:r>
        <w:t xml:space="preserve">Where are shifts in nutrient limitation occurring?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29710851" w:rsidR="00E575A1" w:rsidRDefault="00E575A1" w:rsidP="00BA76D4">
      <w:r>
        <w:t xml:space="preserve">NLA data from survey years 2007 and 2017 were used in the analyses </w:t>
      </w:r>
      <w:r>
        <w:fldChar w:fldCharType="begin"/>
      </w:r>
      <w:r>
        <w:instrText xml:space="preserve"> ADDIN ZOTERO_ITEM CSL_CITATION {"citationID":"82iaBaah","properties":{"formattedCitation":"(USEPA, 2010, 2022a)","plainCitation":"(USEPA, 2010, 2022a)","noteIndex":0},"citationItems":[{"id":2775,"uris":["http://zotero.org/users/7424350/items/CW64R448"],"itemData":{"id":2775,"type":"article-journal","title":"National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2777,"uris":["http://zotero.org/users/7424350/items/HF9XJPPA"],"itemData":{"id":2777,"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 xml:space="preserve">. In 2007, 1156 lakes were surveyed, 95 were resampled in the same year and 124 were considered reference lakes. And in 2017, 1112 lakes were sampled, 97 were resampled in the same year, and 108 were considered reference lakes. 282 lakes were sampled in both survey years. In 2007, lakes greater than 4 ha were sampled. This changed in the later surveys and lakes with surface area &gt; 1 ha and 1-m deep were included. </w:t>
      </w:r>
    </w:p>
    <w:p w14:paraId="286EEF41" w14:textId="77777777" w:rsidR="00E575A1" w:rsidRDefault="00E575A1" w:rsidP="00E575A1">
      <w:pPr>
        <w:pStyle w:val="Heading3"/>
      </w:pPr>
      <w:r>
        <w:t>Site selection</w:t>
      </w:r>
    </w:p>
    <w:p w14:paraId="42DD6954" w14:textId="60AFA9C8" w:rsidR="00E575A1" w:rsidRPr="00BA76D4" w:rsidRDefault="00E575A1" w:rsidP="00BA76D4">
      <w:r>
        <w:t>The 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9 aggregated ecoregions provides a qualitative understanding of spatial patterns and regional homogeneities </w:t>
      </w:r>
      <w:r w:rsidR="00BA76D4">
        <w:fldChar w:fldCharType="begin"/>
      </w:r>
      <w:r w:rsidR="00BA76D4">
        <w:instrText xml:space="preserve"> ADDIN ZOTERO_ITEM CSL_CITATION {"citationID":"qEh7MLIm","properties":{"formattedCitation":"(Omernik, 1987)","plainCitation":"(Omernik, 1987)","noteIndex":0},"citationItems":[{"id":2006,"uris":["http://zotero.org/users/7424350/items/D8U5P6UF"],"itemData":{"id":2006,"type":"article-journal","abstract":"A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w:t>
      </w:r>
      <w:proofErr w:type="spellStart"/>
      <w:r w:rsidR="00BA76D4" w:rsidRPr="00BA76D4">
        <w:rPr>
          <w:rFonts w:ascii="Calibri" w:hAnsi="Calibri" w:cs="Calibri"/>
        </w:rPr>
        <w:t>Omernik</w:t>
      </w:r>
      <w:proofErr w:type="spellEnd"/>
      <w:r w:rsidR="00BA76D4" w:rsidRPr="00BA76D4">
        <w:rPr>
          <w:rFonts w:ascii="Calibri" w:hAnsi="Calibri" w:cs="Calibri"/>
        </w:rPr>
        <w:t>, 1987)</w:t>
      </w:r>
      <w:r w:rsidR="00BA76D4">
        <w:fldChar w:fldCharType="end"/>
      </w:r>
      <w:r w:rsidR="00BA76D4">
        <w:t xml:space="preserve">. </w:t>
      </w:r>
      <w:r>
        <w:t xml:space="preserve">Each lake is assigned a </w:t>
      </w:r>
      <w:r>
        <w:lastRenderedPageBreak/>
        <w:t xml:space="preserve">weight to indicate the number of lakes it represents with error. The NLA site weights are intended to broaden results to regional and national extents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149647459"/>
          <w:placeholder>
            <w:docPart w:val="0C6E2BC5B75C4ECBBE0AE52BD9529A68"/>
          </w:placeholder>
        </w:sdtPr>
        <w:sdtContent>
          <w:r w:rsidRPr="00BA76D4">
            <w:rPr>
              <w:color w:val="000000"/>
            </w:rPr>
            <w:t>(USEPA, 2022b).</w:t>
          </w:r>
        </w:sdtContent>
      </w:sdt>
      <w:r w:rsidR="00BA76D4" w:rsidRPr="00BA76D4">
        <w:rPr>
          <w:color w:val="000000"/>
        </w:rPr>
        <w:t xml:space="preserve"> </w:t>
      </w:r>
    </w:p>
    <w:p w14:paraId="431E97C1" w14:textId="77777777" w:rsidR="00E575A1" w:rsidRDefault="00E575A1" w:rsidP="00E575A1">
      <w:pPr>
        <w:pStyle w:val="Heading3"/>
      </w:pPr>
      <w:r>
        <w:t>Sampling and laboratory methods</w:t>
      </w:r>
    </w:p>
    <w:p w14:paraId="07B09199" w14:textId="55C3319D" w:rsidR="00E575A1" w:rsidRDefault="00E575A1" w:rsidP="00E575A1">
      <w:pPr>
        <w:rPr>
          <w:color w:val="000000"/>
        </w:rPr>
      </w:pPr>
      <w:r>
        <w:t>Lakes were sampled during the summer month (May-September) of each survey year. In 2007 there were 9 sampling events in October and in 2017, there were 4 sampling events in October. The EPA 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427BBB">
        <w:instrText xml:space="preserve"> ADDIN ZOTERO_ITEM CSL_CITATION {"citationID":"dccqkZh1","properties":{"formattedCitation":"(USEPA, 2007a, 2017a)","plainCitation":"(USEPA, 2007a, 2017a)","noteIndex":0},"citationItems":[{"id":2449,"uris":["http://zotero.org/users/7424350/items/2X2XBYP7"],"itemData":{"id":2449,"type":"article-journal","container-title":"U.S.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2453,"uris":["http://zotero.org/users/7424350/items/F5VG5UCJ"],"itemData":{"id":2453,"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766DDF62"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427BBB">
        <w:rPr>
          <w:color w:val="000000"/>
        </w:rPr>
        <w:instrText xml:space="preserve"> ADDIN ZOTERO_ITEM CSL_CITATION {"citationID":"4KfzmglI","properties":{"formattedCitation":"(USEPA, 2007b, 2017b)","plainCitation":"(USEPA, 2007b, 2017b)","noteIndex":0},"citationItems":[{"id":2450,"uris":["http://zotero.org/users/7424350/items/B4TD8NEG"],"itemData":{"id":2450,"type":"article-journal","container-title":"U.S.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2454,"uris":["http://zotero.org/users/7424350/items/R6V8TXWV"],"itemData":{"id":2454,"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6C795966" w:rsidR="00E575A1" w:rsidRDefault="00E575A1" w:rsidP="00E575A1">
      <w:r>
        <w:t xml:space="preserve">The NLA uses chlorophyll-a concentration as a proxy for trophic state, while acknowledging that trophic state is </w:t>
      </w:r>
      <w:proofErr w:type="gramStart"/>
      <w:r>
        <w:t>actually determined</w:t>
      </w:r>
      <w:proofErr w:type="gramEnd"/>
      <w:r>
        <w:t xml:space="preserve">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8E03D0">
        <w:instrText xml:space="preserve"> ADDIN ZOTERO_ITEM CSL_CITATION {"citationID":"X6QSUhMi","properties":{"formattedCitation":"(USEPA, 2022b)","plainCitation":"(USEPA, 2022b)","noteIndex":0},"citationItems":[{"id":2455,"uris":["http://zotero.org/users/7424350/items/NZLMYE7B"],"itemData":{"id":2455,"type":"article-journal","container-title":"U.S.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r>
        <w:t>Data analyses</w:t>
      </w:r>
    </w:p>
    <w:p w14:paraId="21762EBB" w14:textId="77777777" w:rsidR="00BF16CA" w:rsidRDefault="00BF16CA" w:rsidP="00BF16CA">
      <w:pPr>
        <w:pStyle w:val="Heading3"/>
      </w:pPr>
      <w:r>
        <w:t>Limitation calculation</w:t>
      </w:r>
    </w:p>
    <w:p w14:paraId="6939A3A2" w14:textId="4EF40DA8" w:rsidR="003D544E" w:rsidRDefault="00BF16CA" w:rsidP="00BF16CA">
      <w:r>
        <w:t>Nutrient limitation for lakes can fall into three categories: P-limit</w:t>
      </w:r>
      <w:r w:rsidR="00141849">
        <w:t>ation</w:t>
      </w:r>
      <w:r>
        <w:t>, N-limit</w:t>
      </w:r>
      <w:r w:rsidR="00141849">
        <w:t>ation</w:t>
      </w:r>
      <w:r>
        <w:t>, or co-nutrient limit</w:t>
      </w:r>
      <w:r w:rsidR="00141849">
        <w:t>ation</w:t>
      </w:r>
      <w:r>
        <w:t>.</w:t>
      </w:r>
      <w:r w:rsidR="00DD40B2">
        <w:t xml:space="preserve"> To calculate the potential limitation category,</w:t>
      </w:r>
      <w:r w:rsidR="00824110">
        <w:t xml:space="preserve"> we used both a nutrient concentration</w:t>
      </w:r>
      <w:r w:rsidR="00EC0347">
        <w:t xml:space="preserve"> threshold</w:t>
      </w:r>
      <w:r w:rsidR="00824110">
        <w:t xml:space="preserve"> and a molar nutrient ratio</w:t>
      </w:r>
      <w:r w:rsidR="00EC0347">
        <w:t xml:space="preserve"> in each ecoregion</w:t>
      </w:r>
      <w:r w:rsidR="00787BE9">
        <w:t xml:space="preserve"> and survey year</w:t>
      </w:r>
      <w:r w:rsidR="003D544E">
        <w:t xml:space="preserve">, since limitation is likely a function of both relative and absolute abundance </w:t>
      </w:r>
      <w:r w:rsidR="003D544E">
        <w:fldChar w:fldCharType="begin"/>
      </w:r>
      <w:r w:rsidR="003D544E">
        <w:instrText xml:space="preserve"> ADDIN ZOTERO_ITEM CSL_CITATION {"citationID":"rk4nDY5m","properties":{"formattedCitation":"(Guildford &amp; Hecky, 2000)","plainCitation":"(Guildford &amp; Hecky, 2000)","noteIndex":0},"citationItems":[{"id":3714,"uris":["http://zotero.org/users/7424350/items/9BT8SWFF"],"itemData":{"id":3714,"type":"article-journal","abstract":"Total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3D544E">
        <w:fldChar w:fldCharType="separate"/>
      </w:r>
      <w:r w:rsidR="003D544E" w:rsidRPr="003D544E">
        <w:rPr>
          <w:rFonts w:ascii="Calibri" w:hAnsi="Calibri" w:cs="Calibri"/>
        </w:rPr>
        <w:t xml:space="preserve">(Guildford &amp; </w:t>
      </w:r>
      <w:proofErr w:type="spellStart"/>
      <w:r w:rsidR="003D544E" w:rsidRPr="003D544E">
        <w:rPr>
          <w:rFonts w:ascii="Calibri" w:hAnsi="Calibri" w:cs="Calibri"/>
        </w:rPr>
        <w:t>Hecky</w:t>
      </w:r>
      <w:proofErr w:type="spellEnd"/>
      <w:r w:rsidR="003D544E" w:rsidRPr="003D544E">
        <w:rPr>
          <w:rFonts w:ascii="Calibri" w:hAnsi="Calibri" w:cs="Calibri"/>
        </w:rPr>
        <w:t>, 2000)</w:t>
      </w:r>
      <w:r w:rsidR="003D544E">
        <w:fldChar w:fldCharType="end"/>
      </w:r>
      <w:r w:rsidR="00824110">
        <w:t xml:space="preserve">. </w:t>
      </w:r>
      <w:r w:rsidR="00EC0347">
        <w:t>For nitrogen, we used the median between the 25</w:t>
      </w:r>
      <w:r w:rsidR="00EC0347" w:rsidRPr="00EC0347">
        <w:rPr>
          <w:vertAlign w:val="superscript"/>
        </w:rPr>
        <w:t>th</w:t>
      </w:r>
      <w:r w:rsidR="00EC0347">
        <w:t xml:space="preserve"> percentile dissolved inorganic nitrogen (DIN; nitrate plus ammonium) concentration of all the assessed lakes and the 75</w:t>
      </w:r>
      <w:r w:rsidR="00EC0347" w:rsidRPr="00EC0347">
        <w:rPr>
          <w:vertAlign w:val="superscript"/>
        </w:rPr>
        <w:t>th</w:t>
      </w:r>
      <w:r w:rsidR="00EC0347">
        <w:t xml:space="preserve"> percentile DIN concentration of reference lakes. For phosphorus, we used the median between the 25</w:t>
      </w:r>
      <w:r w:rsidR="00EC0347" w:rsidRPr="00EC0347">
        <w:rPr>
          <w:vertAlign w:val="superscript"/>
        </w:rPr>
        <w:t>th</w:t>
      </w:r>
      <w:r w:rsidR="00EC0347">
        <w:t xml:space="preserve"> percentile total phosphorus (TP) concentration of all the assessed lakes and the 75</w:t>
      </w:r>
      <w:r w:rsidR="00EC0347" w:rsidRPr="00EC0347">
        <w:rPr>
          <w:vertAlign w:val="superscript"/>
        </w:rPr>
        <w:t>th</w:t>
      </w:r>
      <w:r w:rsidR="00EC0347">
        <w:t xml:space="preserve"> percentile TP concentration of reference lakes. We used the median between these two methods </w:t>
      </w:r>
      <w:r w:rsidR="00F621AF">
        <w:t>because we have both a small set of reference lakes and a larger set of lakes to assess</w:t>
      </w:r>
      <w:r w:rsidR="003D544E">
        <w:t xml:space="preserve"> and this provided reasonable values for nutrient criteria </w:t>
      </w:r>
      <w:r w:rsidR="003D544E">
        <w:fldChar w:fldCharType="begin"/>
      </w:r>
      <w:r w:rsidR="003D544E">
        <w:instrText xml:space="preserve"> ADDIN ZOTERO_ITEM CSL_CITATION {"citationID":"0G9lHlZa","properties":{"formattedCitation":"(USEPA et al., 2000)","plainCitation":"(USEPA et al., 2000)","noteIndex":0},"citationItems":[{"id":3747,"uris":["http://zotero.org/users/7424350/items/BDUGTBJV"],"itemData":{"id":3747,"type":"article-journal","DOI":"Available from U.S. EPA website: https://www.epa.gov/nutrient-policy-data/nutrient-criteria-development-document-lakes-and-reservoirs","language":"en","page":"232","source":"Zotero","title":"Nutrient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p>
    <w:p w14:paraId="354FC724" w14:textId="131496DC" w:rsidR="003D544E" w:rsidRDefault="003D544E" w:rsidP="00BF16CA">
      <w:r>
        <w:t>In addition to calculating the reference nutrient thresholds, we also used the mean of logged DIN:TP molar ratios in each ecoregion</w:t>
      </w:r>
      <w:r w:rsidR="00787BE9">
        <w:t xml:space="preserve"> and year</w:t>
      </w:r>
      <w:r>
        <w:t>.</w:t>
      </w:r>
      <w:r w:rsidR="00AE1B10">
        <w:t xml:space="preserve"> Nutrient ratios have been extensively used to determine limitation </w:t>
      </w:r>
      <w:r w:rsidR="00AE1B10">
        <w:fldChar w:fldCharType="begin"/>
      </w:r>
      <w:r w:rsidR="00AE1B1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1980)","noteIndex":0},"citationItems":[{"id":2159,"uris":["http://zotero.org/users/7424350/items/LYSQGYLW"],"itemData":{"id":2159,"type":"article-journal","abstract":"This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A."},{"family":"McCauley","given":"Edward"}],"issued":{"date-parts":[["1992",7,1]]}}},{"id":3714,"uris":["http://zotero.org/users/7424350/items/9BT8SWFF"],"itemData":{"id":3714,"type":"article-journal","abstract":"Total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E."}],"issued":{"date-parts":[["2000"]]}}},{"id":2505,"uris":["http://zotero.org/users/7424350/items/MY4JYK9P"],"itemData":{"id":2505,"type":"article-journal","abstract":"The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lakes","volume":"68","author":[{"family":"Hellström","given":"Thomas"}],"issued":{"date-parts":[["1996",1,1]]}}},{"id":2503,"uris":["http://zotero.org/users/7424350/items/WE64MPZ6"],"itemData":{"id":2503,"type":"article-journal","abstract":"We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228,"uris":["http://zotero.org/users/7424350/items/V92YFRZK"],"itemData":{"id":228,"type":"article-journal","container-title":"American Scientist","issue":"3","page":"230A-221","title":"THE BIOLOGICAL CONTROL OF CHEMICAL FACTORS IN THE ENVIRONMENT","volume":"46","author":[{"family":"Redfield","given":"Alfred C."}],"issued":{"date-parts":[["1958"]]}}},{"id":2510,"uris":["http://zotero.org/users/7424350/items/BFYDXZ5T"],"itemData":{"id":2510,"type":"article-journal","abstract":"The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AE1B10">
        <w:fldChar w:fldCharType="separate"/>
      </w:r>
      <w:r w:rsidR="00AE1B10" w:rsidRPr="00AE1B10">
        <w:rPr>
          <w:rFonts w:ascii="Calibri" w:hAnsi="Calibri" w:cs="Calibri"/>
          <w:szCs w:val="24"/>
        </w:rPr>
        <w:t>(</w:t>
      </w:r>
      <w:r w:rsidR="00AE1B10">
        <w:rPr>
          <w:rFonts w:ascii="Calibri" w:hAnsi="Calibri" w:cs="Calibri"/>
          <w:szCs w:val="24"/>
        </w:rPr>
        <w:t xml:space="preserve">e.g., </w:t>
      </w:r>
      <w:r w:rsidR="00AE1B10" w:rsidRPr="00AE1B10">
        <w:rPr>
          <w:rFonts w:ascii="Calibri" w:hAnsi="Calibri" w:cs="Calibri"/>
          <w:szCs w:val="24"/>
        </w:rPr>
        <w:t xml:space="preserve">Downing &amp; McCauley, 1992; Guildford &amp; </w:t>
      </w:r>
      <w:proofErr w:type="spellStart"/>
      <w:r w:rsidR="00AE1B10" w:rsidRPr="00AE1B10">
        <w:rPr>
          <w:rFonts w:ascii="Calibri" w:hAnsi="Calibri" w:cs="Calibri"/>
          <w:szCs w:val="24"/>
        </w:rPr>
        <w:t>Hecky</w:t>
      </w:r>
      <w:proofErr w:type="spellEnd"/>
      <w:r w:rsidR="00AE1B10" w:rsidRPr="00AE1B10">
        <w:rPr>
          <w:rFonts w:ascii="Calibri" w:hAnsi="Calibri" w:cs="Calibri"/>
          <w:szCs w:val="24"/>
        </w:rPr>
        <w:t xml:space="preserve">, 2000; </w:t>
      </w:r>
      <w:proofErr w:type="spellStart"/>
      <w:r w:rsidR="00AE1B10" w:rsidRPr="00AE1B10">
        <w:rPr>
          <w:rFonts w:ascii="Calibri" w:hAnsi="Calibri" w:cs="Calibri"/>
          <w:szCs w:val="24"/>
        </w:rPr>
        <w:t>Hellström</w:t>
      </w:r>
      <w:proofErr w:type="spellEnd"/>
      <w:r w:rsidR="00AE1B10" w:rsidRPr="00AE1B10">
        <w:rPr>
          <w:rFonts w:ascii="Calibri" w:hAnsi="Calibri" w:cs="Calibri"/>
          <w:szCs w:val="24"/>
        </w:rPr>
        <w:t xml:space="preserve">, 1996; </w:t>
      </w:r>
      <w:proofErr w:type="spellStart"/>
      <w:r w:rsidR="00AE1B10" w:rsidRPr="00AE1B10">
        <w:rPr>
          <w:rFonts w:ascii="Calibri" w:hAnsi="Calibri" w:cs="Calibri"/>
          <w:szCs w:val="24"/>
        </w:rPr>
        <w:t>Ptacnik</w:t>
      </w:r>
      <w:proofErr w:type="spellEnd"/>
      <w:r w:rsidR="00AE1B10" w:rsidRPr="00AE1B10">
        <w:rPr>
          <w:rFonts w:ascii="Calibri" w:hAnsi="Calibri" w:cs="Calibri"/>
          <w:szCs w:val="24"/>
        </w:rPr>
        <w:t xml:space="preserve"> et al., 2010; Redfield, 1958; Rhee &amp; Gotham, 1980)</w:t>
      </w:r>
      <w:r w:rsidR="00AE1B10">
        <w:fldChar w:fldCharType="end"/>
      </w:r>
      <w:r w:rsidR="00AE1B10">
        <w:t xml:space="preserve"> and DIN:TP may be more indicative of the bioavailable nutrient forms than TN:TP in lakes </w:t>
      </w:r>
      <w:r w:rsidR="00AE1B10">
        <w:fldChar w:fldCharType="begin"/>
      </w:r>
      <w:r w:rsidR="00AE1B10">
        <w:instrText xml:space="preserve"> ADDIN ZOTERO_ITEM CSL_CITATION {"citationID":"wawgp5b1","properties":{"formattedCitation":"(Bergstr\\uc0\\u246{}m, 2010)","plainCitation":"(Bergström, 2010)","noteIndex":0},"citationItems":[{"id":1968,"uris":["http://zotero.org/users/7424350/items/VS5X8VHT"],"itemData":{"id":1968,"type":"article-journal","abstract":"The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AE1B10">
        <w:fldChar w:fldCharType="separate"/>
      </w:r>
      <w:r w:rsidR="00AE1B10" w:rsidRPr="00AE1B10">
        <w:rPr>
          <w:rFonts w:ascii="Calibri" w:hAnsi="Calibri" w:cs="Calibri"/>
          <w:szCs w:val="24"/>
        </w:rPr>
        <w:t>(</w:t>
      </w:r>
      <w:proofErr w:type="spellStart"/>
      <w:r w:rsidR="00AE1B10" w:rsidRPr="00AE1B10">
        <w:rPr>
          <w:rFonts w:ascii="Calibri" w:hAnsi="Calibri" w:cs="Calibri"/>
          <w:szCs w:val="24"/>
        </w:rPr>
        <w:t>Bergström</w:t>
      </w:r>
      <w:proofErr w:type="spellEnd"/>
      <w:r w:rsidR="00AE1B10" w:rsidRPr="00AE1B10">
        <w:rPr>
          <w:rFonts w:ascii="Calibri" w:hAnsi="Calibri" w:cs="Calibri"/>
          <w:szCs w:val="24"/>
        </w:rPr>
        <w:t>, 2010)</w:t>
      </w:r>
      <w:r w:rsidR="00AE1B10">
        <w:fldChar w:fldCharType="end"/>
      </w:r>
      <w:r w:rsidR="00AE1B10">
        <w:t>.</w:t>
      </w:r>
      <w:r>
        <w:t xml:space="preserve"> Once we had the concentration and ratio thresholds, we determined potential N-limitation occurred in lakes with TP values greater than the </w:t>
      </w:r>
      <w:r>
        <w:lastRenderedPageBreak/>
        <w:t xml:space="preserve">concentration threshold that also had log DIN:TP ratios below the average ratio. Potential P-limitation occurred in lakes with DIN values greater than the concentration threshold and log DIN:TP ratios above the average ratio. Lakes that did not meet any of </w:t>
      </w:r>
      <w:r w:rsidR="00AE1B10">
        <w:t>these criteria</w:t>
      </w:r>
      <w:r>
        <w:t xml:space="preserve"> were considered likely co-limited. </w:t>
      </w:r>
      <w:r w:rsidR="00EB2480">
        <w:t xml:space="preserve">There were 71 individual lakes in 2017 that did not include DIN data. </w:t>
      </w:r>
      <w:r w:rsidR="001D47DD">
        <w:t xml:space="preserve">There were no reference lakes in the Northern Plains </w:t>
      </w:r>
      <w:r w:rsidR="00787BE9">
        <w:t>in 2007. So, concentration thresholds were determined solely by the 25</w:t>
      </w:r>
      <w:r w:rsidR="00787BE9" w:rsidRPr="00787BE9">
        <w:rPr>
          <w:vertAlign w:val="superscript"/>
        </w:rPr>
        <w:t>th</w:t>
      </w:r>
      <w:r w:rsidR="00787BE9">
        <w:t xml:space="preserve"> percentile of all assessed lakes in that region in that year. </w:t>
      </w:r>
    </w:p>
    <w:p w14:paraId="5F01AADF" w14:textId="3792C229" w:rsidR="00EB2480" w:rsidRDefault="00EB2480" w:rsidP="00EB2480">
      <w:pPr>
        <w:pStyle w:val="Heading3"/>
      </w:pPr>
      <w:r>
        <w:t xml:space="preserve">Statistical analyses </w:t>
      </w:r>
    </w:p>
    <w:p w14:paraId="68F0AE2A" w14:textId="27A7E6B9" w:rsidR="001B5462" w:rsidRPr="00D25D79" w:rsidRDefault="00BF16CA" w:rsidP="001B5462">
      <w:r>
        <w:t>All data analyses were performed in the R programming language</w:t>
      </w:r>
      <w:r w:rsidR="00EB2480">
        <w:t xml:space="preserve"> </w:t>
      </w:r>
      <w:r w:rsidR="00EB2480">
        <w:fldChar w:fldCharType="begin"/>
      </w:r>
      <w:r w:rsidR="00EB2480">
        <w:instrText xml:space="preserve"> ADDIN ZOTERO_ITEM CSL_CITATION {"citationID":"VfyDpJQA","properties":{"formattedCitation":"(R Core Team, 2022)","plainCitation":"(R Core Team, 2022)","noteIndex":0},"citationItems":[{"id":2448,"uris":["http://zotero.org/users/7424350/items/8KW67GAL"],"itemData":{"id":2448,"type":"document","note":"publisher-place: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EB2480">
        <w:rPr>
          <w:color w:val="000000"/>
        </w:rPr>
        <w:instrText xml:space="preserve"> ADDIN ZOTERO_ITEM CSL_CITATION {"citationID":"O8RLZVh2","properties":{"formattedCitation":"(Wickham et al., 2019)","plainCitation":"(Wickham et al., 2019)","noteIndex":0},"citationItems":[{"id":2445,"uris":["http://zotero.org/users/7424350/items/RZCM6MGL"],"itemData":{"id":2445,"type":"article-journal","container-title":"Journal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and the sf package</w:t>
      </w:r>
      <w:r w:rsidR="00EB2480">
        <w:rPr>
          <w:color w:val="000000"/>
        </w:rPr>
        <w:t xml:space="preserve"> for creating maps </w:t>
      </w:r>
      <w:r w:rsidR="00EB2480">
        <w:rPr>
          <w:color w:val="000000"/>
        </w:rPr>
        <w:fldChar w:fldCharType="begin"/>
      </w:r>
      <w:r w:rsidR="00EB2480">
        <w:rPr>
          <w:color w:val="000000"/>
        </w:rPr>
        <w:instrText xml:space="preserve"> ADDIN ZOTERO_ITEM CSL_CITATION {"citationID":"Fc0lRmkd","properties":{"formattedCitation":"(Pebesma, 2018)","plainCitation":"(Pebesma, 2018)","noteIndex":0},"citationItems":[{"id":2789,"uris":["http://zotero.org/users/7424350/items/SP3R4QET"],"itemData":{"id":2789,"type":"article-journal","container-title":"The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w:t>
      </w:r>
      <w:proofErr w:type="spellStart"/>
      <w:r w:rsidR="00EB2480" w:rsidRPr="00EB2480">
        <w:rPr>
          <w:rFonts w:ascii="Calibri" w:hAnsi="Calibri" w:cs="Calibri"/>
        </w:rPr>
        <w:t>Pebesma</w:t>
      </w:r>
      <w:proofErr w:type="spellEnd"/>
      <w:r w:rsidR="00EB2480" w:rsidRPr="00EB2480">
        <w:rPr>
          <w:rFonts w:ascii="Calibri" w:hAnsi="Calibri" w:cs="Calibri"/>
        </w:rPr>
        <w:t>,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predictor of trophic state, chlorophyll-a was used as a proxy for trophic state</w:t>
      </w:r>
      <w:r w:rsidR="00B436C1">
        <w:t xml:space="preserve"> as the response variable</w:t>
      </w:r>
      <w:r w:rsidR="001B5462">
        <w:t>.</w:t>
      </w:r>
      <w:r w:rsidR="00B436C1">
        <w:t xml:space="preserve"> We used TN rather than DIN for these analyses because TN is more comparable to TP in their relationships with chlorophyll-a.</w:t>
      </w:r>
      <w:r w:rsidR="001B5462">
        <w:t xml:space="preserve"> Both the response and predictor variables were logged, and linear models were used. The r</w:t>
      </w:r>
      <w:r w:rsidR="001B5462">
        <w:rPr>
          <w:vertAlign w:val="superscript"/>
        </w:rPr>
        <w:t>2</w:t>
      </w:r>
      <w:r w:rsidR="001B5462">
        <w:t xml:space="preserve"> and AIC values were compared to determine which nutrient predicted chlorophyll-a better. </w:t>
      </w:r>
    </w:p>
    <w:p w14:paraId="65925530" w14:textId="47B5F681"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EB2480">
        <w:instrText xml:space="preserve"> ADDIN ZOTERO_ITEM CSL_CITATION {"citationID":"9wu4wFXJ","properties":{"formattedCitation":"(Dumelle et al., 2022)","plainCitation":"(Dumelle et al., 2022)","noteIndex":0},"citationItems":[{"id":2446,"uris":["http://zotero.org/users/7424350/items/I9B76LY3"],"itemData":{"id":2446,"type":"document","title":"spsurvey: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t xml:space="preserve"> </w:t>
      </w:r>
      <w:r w:rsidR="001B5462">
        <w:t xml:space="preserve">Reference lakes observations from a second visits to sites were not included. These shifts were analyzed using the entire set of data representing </w:t>
      </w:r>
      <w:r w:rsidR="00BD30A4">
        <w:t>lakes across the conterminous US</w:t>
      </w:r>
      <w:r w:rsidR="000418CD">
        <w:t xml:space="preserve"> (n = 1953)</w:t>
      </w:r>
      <w:r w:rsidR="00BD30A4">
        <w:t xml:space="preserve"> in addition to examining shifts in lakes that were sampled in both 2007 and 2017</w:t>
      </w:r>
      <w:r w:rsidR="000418CD">
        <w:t xml:space="preserve"> (n = </w:t>
      </w:r>
      <w:r w:rsidR="00B75E43">
        <w:t>464</w:t>
      </w:r>
      <w:r w:rsidR="000418CD">
        <w:t>)</w:t>
      </w:r>
      <w:r w:rsidR="00BD30A4">
        <w:t xml:space="preserve">. </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r>
        <w:t>Nutrient stoichiometry</w:t>
      </w:r>
    </w:p>
    <w:p w14:paraId="1D8952F0" w14:textId="77777777" w:rsidR="00596DBE" w:rsidRDefault="00596DBE" w:rsidP="00596DBE">
      <w:r>
        <w:t xml:space="preserve">Between 2007 and 2017, DIN:TP stoichiometry showed a significant decrease across the full dataset (p &lt;0.001). </w:t>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77777777" w:rsidR="00596DBE" w:rsidRDefault="00596DBE" w:rsidP="00596DBE">
      <w:pPr>
        <w:pStyle w:val="Heading3"/>
      </w:pPr>
      <w:r>
        <w:t>Nutrient ability to predict trophic status</w:t>
      </w:r>
    </w:p>
    <w:p w14:paraId="11C3CE9F" w14:textId="6C3B6464" w:rsidR="00C960A4" w:rsidRDefault="0003467B" w:rsidP="00C960A4">
      <w:r>
        <w:t>Both TN and TP were important in different ecoregions of the US, in fact, there was a clear divide in the data (Figure 1). In the western US, consisting of the Northern Plains, Southern Plains, Xeric, and Western Mountains ecoregions, the linear models using TN as a predictor of trophic state (chlorophyll-a as a proxy) were better based on the models’ higher r</w:t>
      </w:r>
      <w:r w:rsidRPr="0003467B">
        <w:rPr>
          <w:vertAlign w:val="superscript"/>
        </w:rPr>
        <w:t>2</w:t>
      </w:r>
      <w:r>
        <w:t xml:space="preserve"> and lower AIC values. This was contrasted by the eastern US,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596DBE">
        <w:fldChar w:fldCharType="begin"/>
      </w:r>
      <w:r w:rsidR="00596DBE">
        <w:instrText xml:space="preserve"> LINK </w:instrText>
      </w:r>
      <w:r w:rsidR="00B436C1">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771103E8" w:rsidR="00644FCB" w:rsidRDefault="00596DBE" w:rsidP="00596DBE">
      <w:pPr>
        <w:pStyle w:val="Heading3"/>
      </w:pPr>
      <w:r>
        <w:fldChar w:fldCharType="end"/>
      </w:r>
      <w:r w:rsidR="00644FCB">
        <w:t>Limitation</w:t>
      </w:r>
      <w:r w:rsidR="00D12498">
        <w:t xml:space="preserve"> and trophic state </w:t>
      </w:r>
    </w:p>
    <w:p w14:paraId="271E893F" w14:textId="001688AA" w:rsidR="00644FCB" w:rsidRDefault="001D3902" w:rsidP="00644FCB">
      <w:r>
        <w:t>There were 718 observations of P-limited lakes, 1034 N-limited lakes, and 649 co-nutrient limited lakes across the entire dataset</w:t>
      </w:r>
      <w:r w:rsidR="00B80922">
        <w:t xml:space="preserve"> based on the criteria used (Table 1, Figure </w:t>
      </w:r>
      <w:r w:rsidR="00752333">
        <w:t>3</w:t>
      </w:r>
      <w:r w:rsidR="00B80922">
        <w:t>). The 75</w:t>
      </w:r>
      <w:r w:rsidR="00B80922" w:rsidRPr="00B80922">
        <w:rPr>
          <w:vertAlign w:val="superscript"/>
        </w:rPr>
        <w:t>th</w:t>
      </w:r>
      <w:r w:rsidR="00B80922">
        <w:t xml:space="preserve"> percentile nutrient </w:t>
      </w:r>
      <w:r w:rsidR="00B80922">
        <w:lastRenderedPageBreak/>
        <w:t xml:space="preserve">concentrations from the total assessed lakes dataset </w:t>
      </w:r>
      <w:r w:rsidR="006C3BD0">
        <w:t>were</w:t>
      </w:r>
      <w:r w:rsidR="00B80922">
        <w:t xml:space="preserve"> not statistically different from the 25</w:t>
      </w:r>
      <w:r w:rsidR="00B80922" w:rsidRPr="00B80922">
        <w:rPr>
          <w:vertAlign w:val="superscript"/>
        </w:rPr>
        <w:t>th</w:t>
      </w:r>
      <w:r w:rsidR="00B80922">
        <w:t xml:space="preserve"> percentile nutrient concentrations from the reference lakes (p = 0.</w:t>
      </w:r>
      <w:r w:rsidR="000418CD">
        <w:t xml:space="preserve">135 and p = 0.159, for TP and DIN, respectively).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Across the conterminous US,</w:t>
      </w:r>
      <w:r w:rsidR="00596DBE">
        <w:t xml:space="preserve"> </w:t>
      </w:r>
      <w:r w:rsidR="00D12498">
        <w:t xml:space="preserve">in 2007, 21% of lakes were co-nutrient limited, which increased to 32.3% in 2017. N-limited lakes decreased from 49.3% in 2007 to 45.9% in 2017. And in 2007, 29.7% of lakes were P-limited vs in 2017, 21.8% of lakes were P-limited. </w:t>
      </w:r>
    </w:p>
    <w:p w14:paraId="7B8585A5" w14:textId="51B4E76B" w:rsidR="001A3189" w:rsidRDefault="001A3189" w:rsidP="00644FCB">
      <w:r>
        <w:t>In the dataset, there were 368 oligotrophic lakes (Oligo.), 737 mesotrophic lakes (</w:t>
      </w:r>
      <w:proofErr w:type="spellStart"/>
      <w:r>
        <w:t>Meso</w:t>
      </w:r>
      <w:proofErr w:type="spellEnd"/>
      <w:r>
        <w:t>.), 753 eutrophic lakes (</w:t>
      </w:r>
      <w:proofErr w:type="spellStart"/>
      <w:r>
        <w:t>Eutro</w:t>
      </w:r>
      <w:proofErr w:type="spellEnd"/>
      <w:r>
        <w:t xml:space="preserve">.), and 513 hypereutrophic lakes (Hyper.). Across the </w:t>
      </w:r>
      <w:r w:rsidR="004752CD">
        <w:t>conterminous US, oligotrophic lakes decreased from 12.8% in 2007 to 9.2% in 2017. Mesotrophic lakes also decreased from 36.6% in 2007 to 22.7% in 2017. Eutrophic and hypereutrophic lakes both showed an increase between 2007-2017 of 30.3%-43.8% and 20.3%-24.3%. These patterns varied across ecoregions (Figure 5).</w:t>
      </w:r>
    </w:p>
    <w:p w14:paraId="60E14BE7" w14:textId="74FFBBDB" w:rsidR="00596DBE" w:rsidRDefault="00596DBE" w:rsidP="00596DBE">
      <w:pPr>
        <w:pStyle w:val="Heading3"/>
      </w:pPr>
      <w:r>
        <w:t>Shifts in nutrient limitation</w:t>
      </w:r>
    </w:p>
    <w:p w14:paraId="273A1CEB" w14:textId="66981052" w:rsidR="00853C76" w:rsidRPr="00853C76" w:rsidRDefault="00A27B73" w:rsidP="00853C76">
      <w:pPr>
        <w:pStyle w:val="Heading4"/>
      </w:pPr>
      <w:r>
        <w:t>Lakes</w:t>
      </w:r>
      <w:r w:rsidR="00853C76">
        <w:t xml:space="preserve"> sampled in both 2007 and 2017</w:t>
      </w:r>
    </w:p>
    <w:p w14:paraId="7D0C4A26" w14:textId="4A466AB1" w:rsidR="00233ADA" w:rsidRDefault="00752333" w:rsidP="00B75E43">
      <w:r>
        <w:t>At the national scale</w:t>
      </w:r>
      <w:r w:rsidR="00E71EEF">
        <w:t xml:space="preserve"> among lakes sampled in both surveys (dotted lines in Figure </w:t>
      </w:r>
      <w:r w:rsidR="00D12498">
        <w:t>6</w:t>
      </w:r>
      <w:r w:rsidR="00E71EEF">
        <w:t>a)</w:t>
      </w:r>
      <w:r>
        <w:t>, there was a significant increase in co-nutrient limited lakes</w:t>
      </w:r>
      <w:r w:rsidR="00BB1F4A">
        <w:t xml:space="preserve"> (</w:t>
      </w:r>
      <w:r w:rsidR="00DD160A">
        <w:t>17.3</w:t>
      </w:r>
      <w:r w:rsidR="00BB1F4A">
        <w:t>%)</w:t>
      </w:r>
      <w:r>
        <w:t xml:space="preserve"> and a significant decrease in N-limited lakes</w:t>
      </w:r>
      <w:r w:rsidR="00BB1F4A">
        <w:t xml:space="preserve"> (-</w:t>
      </w:r>
      <w:r w:rsidR="00DD160A">
        <w:t>18.4</w:t>
      </w:r>
      <w:r w:rsidR="00BB1F4A">
        <w:t>%)</w:t>
      </w:r>
      <w:r>
        <w:t xml:space="preserve">. P-limited lakes showed an insignificant increase. </w:t>
      </w:r>
      <w:r w:rsidR="00C960A4">
        <w:t xml:space="preserve">There is </w:t>
      </w:r>
      <w:r w:rsidR="00BB1F4A">
        <w:t xml:space="preserve">significant variation from the national pattern </w:t>
      </w:r>
      <w:r w:rsidR="00C960A4">
        <w:t>w</w:t>
      </w:r>
      <w:r>
        <w:t>hen the data are segregated into the nine aggregated ecoregions</w:t>
      </w:r>
      <w:r w:rsidR="00A033DA">
        <w:t xml:space="preserve"> (Figure </w:t>
      </w:r>
      <w:r w:rsidR="00D12498">
        <w:t>6</w:t>
      </w:r>
      <w:r w:rsidR="00E71EEF">
        <w:t>b</w:t>
      </w:r>
      <w:r w:rsidR="00A033DA">
        <w:t>)</w:t>
      </w:r>
      <w:r w:rsidR="00C960A4">
        <w:t xml:space="preserve">. </w:t>
      </w:r>
      <w:r w:rsidR="00233ADA">
        <w:t xml:space="preserve">In the </w:t>
      </w:r>
      <w:r w:rsidR="001D4AC9">
        <w:t>N</w:t>
      </w:r>
      <w:r w:rsidR="00233ADA">
        <w:t>orthern Appalachians, lakes shifted from co-nutrient and N-limitation (</w:t>
      </w:r>
      <w:r w:rsidR="003A161B">
        <w:t>-</w:t>
      </w:r>
      <w:r w:rsidR="001D4AC9">
        <w:t>13.4</w:t>
      </w:r>
      <w:r w:rsidR="003A161B">
        <w:t>% and -</w:t>
      </w:r>
      <w:r w:rsidR="001D4AC9">
        <w:t>20.8</w:t>
      </w:r>
      <w:r w:rsidR="003A161B">
        <w:t>%, respectively</w:t>
      </w:r>
      <w:r w:rsidR="00233ADA">
        <w:t>)</w:t>
      </w:r>
      <w:r w:rsidR="003A161B">
        <w:t xml:space="preserve"> toward P-limitation (</w:t>
      </w:r>
      <w:r w:rsidR="001D4AC9">
        <w:t>34.1%</w:t>
      </w:r>
      <w:r w:rsidR="003A161B">
        <w:t>). Lakes in the Temperate Plains shifted from N-limited (-</w:t>
      </w:r>
      <w:r w:rsidR="001D4AC9">
        <w:t>35.9</w:t>
      </w:r>
      <w:r w:rsidR="003A161B">
        <w:t>%) toward both co-limited (</w:t>
      </w:r>
      <w:r w:rsidR="001D4AC9">
        <w:t>14%</w:t>
      </w:r>
      <w:r w:rsidR="003A161B">
        <w:t>) and P-limited (</w:t>
      </w:r>
      <w:r w:rsidR="001D4AC9">
        <w:t>21.9%</w:t>
      </w:r>
      <w:r w:rsidR="003A161B">
        <w:t>). The Upper Midwest lakes shifted from being N-limited (-</w:t>
      </w:r>
      <w:r w:rsidR="001D4AC9">
        <w:t>41</w:t>
      </w:r>
      <w:r w:rsidR="003A161B">
        <w:t>%) and P-limited (-</w:t>
      </w:r>
      <w:r w:rsidR="001D4AC9">
        <w:t>24.3</w:t>
      </w:r>
      <w:r w:rsidR="003A161B">
        <w:t>%) toward co-nutrient limitation (</w:t>
      </w:r>
      <w:r w:rsidR="001D4AC9">
        <w:t>65.3</w:t>
      </w:r>
      <w:r w:rsidR="003A161B">
        <w:t>%). In the Northern Plains, lakes became more co-nutrient limited (</w:t>
      </w:r>
      <w:r w:rsidR="001D4AC9">
        <w:t>42</w:t>
      </w:r>
      <w:r w:rsidR="003A161B">
        <w:t>%) and less P-limited (-</w:t>
      </w:r>
      <w:r w:rsidR="001D4AC9">
        <w:t>28</w:t>
      </w:r>
      <w:r w:rsidR="003A161B">
        <w:t>%), while showing an insignificant decrease in N-limited lakes. The Southern Plains showed the opposite pattern with a decrease in co-nutrient limitation (-</w:t>
      </w:r>
      <w:r w:rsidR="00A033DA">
        <w:t>16.8</w:t>
      </w:r>
      <w:r w:rsidR="003A161B">
        <w:t>%), increase in N-limitation (</w:t>
      </w:r>
      <w:r w:rsidR="00A033DA">
        <w:t>11.1</w:t>
      </w:r>
      <w:r w:rsidR="003A161B">
        <w:t>%), and non-sign</w:t>
      </w:r>
      <w:r w:rsidR="00305C79">
        <w:t xml:space="preserve">ificant increase in P-limited lakes. </w:t>
      </w:r>
      <w:r w:rsidR="00DD160A">
        <w:t>Western Mountains lakes shifted from P-limited (-</w:t>
      </w:r>
      <w:r w:rsidR="00A033DA">
        <w:t>19.5</w:t>
      </w:r>
      <w:r w:rsidR="00DD160A">
        <w:t>%) to co-nutrient limited (</w:t>
      </w:r>
      <w:r w:rsidR="00A033DA">
        <w:t>9.3</w:t>
      </w:r>
      <w:r w:rsidR="00DD160A">
        <w:t xml:space="preserve">%) with an insignificant increase in N-limited lakes. </w:t>
      </w:r>
      <w:r w:rsidR="003A161B">
        <w:t>In the Southern Appalachians, Coastal Plains, and Xeric ecoregions, no shifts were significant.</w:t>
      </w:r>
    </w:p>
    <w:p w14:paraId="7462CBD6" w14:textId="55B303CF" w:rsidR="00853C76" w:rsidRPr="00853C76" w:rsidRDefault="00A27B73" w:rsidP="00853C76">
      <w:pPr>
        <w:pStyle w:val="Heading4"/>
      </w:pPr>
      <w:r>
        <w:t>F</w:t>
      </w:r>
      <w:r w:rsidR="00853C76">
        <w:t xml:space="preserve">ull population of lakes </w:t>
      </w:r>
    </w:p>
    <w:p w14:paraId="249144C9" w14:textId="74A186E9" w:rsidR="00E74B93" w:rsidRDefault="00853C76" w:rsidP="00644FCB">
      <w:r>
        <w:t>When extrapolated to the entire population of lakes across the US</w:t>
      </w:r>
      <w:r w:rsidR="00E71EEF">
        <w:t xml:space="preserve"> (solid lines in Figure </w:t>
      </w:r>
      <w:r w:rsidR="00D12498">
        <w:t>6</w:t>
      </w:r>
      <w:r w:rsidR="00E71EEF">
        <w:t>a)</w:t>
      </w:r>
      <w:r>
        <w:t>, co-nutrient limited lakes increase significantly (</w:t>
      </w:r>
      <w:r w:rsidR="00E71EEF">
        <w:t>11.3%</w:t>
      </w:r>
      <w:r w:rsidR="00233ADA">
        <w:t>), P-limited lakes decrease significantly (-</w:t>
      </w:r>
      <w:r w:rsidR="00E71EEF">
        <w:t>7.9</w:t>
      </w:r>
      <w:r w:rsidR="00233ADA">
        <w:t>%), and N-limited lakes show an insignificant decrease</w:t>
      </w:r>
      <w:r w:rsidR="008B2133">
        <w:t>; indicating a difference in N vs P-limited lake shifts when assessing the full population rather than the resampled population only</w:t>
      </w:r>
      <w:r w:rsidR="00233ADA">
        <w:t xml:space="preserve">. </w:t>
      </w:r>
      <w:r w:rsidR="00200BD5">
        <w:t xml:space="preserve">The trends of the resampled lakes </w:t>
      </w:r>
      <w:r w:rsidR="00B708CD">
        <w:t xml:space="preserve">were </w:t>
      </w:r>
      <w:r w:rsidR="00200BD5">
        <w:t>generally representative of the full population</w:t>
      </w:r>
      <w:r w:rsidR="008B2133">
        <w:t xml:space="preserve"> in the ecoregions</w:t>
      </w:r>
      <w:r w:rsidR="00B708CD">
        <w:t>, though magnitudes differed and there were a few stark differences</w:t>
      </w:r>
      <w:r w:rsidR="008B2133">
        <w:t xml:space="preserve"> (solid lines in Figure </w:t>
      </w:r>
      <w:r w:rsidR="00D12498">
        <w:t>6</w:t>
      </w:r>
      <w:r w:rsidR="008B2133">
        <w:t>b)</w:t>
      </w:r>
      <w:r w:rsidR="00200BD5">
        <w:t xml:space="preserve">. </w:t>
      </w:r>
      <w:r w:rsidR="00B708CD">
        <w:t>There was a change sign of the significant shift in co-nutrient limited lakes in the Northern Appalachians so that among the full population assessment, there was a 16% increase.</w:t>
      </w:r>
      <w:r w:rsidR="00E74B93">
        <w:t xml:space="preserve"> N-limited lakes in the Southern Appalachians and Western Mountains changed signs in the full population assessment compared to the resampled lakes assessment, but the shifts remained insignificant. Shifts in P-limited lakes in the Northern Appalachians, Temperate Plains, </w:t>
      </w:r>
      <w:r w:rsidR="00DE4DBE">
        <w:t>Northern Plains, and Western Mountains</w:t>
      </w:r>
      <w:r w:rsidR="00E74B93">
        <w:t xml:space="preserve"> were insignificant in the full population assessment, </w:t>
      </w:r>
      <w:r w:rsidR="00DE4DBE">
        <w:t xml:space="preserve">compared to the resampled population where the shifts were positive, positive, negative, and negative, respectively. Finally, in the Xeric ecoregion, N-limited lakes increase significantly (16.5%) in the full population assessment. </w:t>
      </w:r>
    </w:p>
    <w:p w14:paraId="73C19FAA" w14:textId="2F5C1630" w:rsidR="00A27B73" w:rsidRDefault="00A27B73" w:rsidP="00A27B73">
      <w:pPr>
        <w:pStyle w:val="Heading3"/>
      </w:pPr>
      <w:r>
        <w:lastRenderedPageBreak/>
        <w:t>Shifts in trophic status at the national scale</w:t>
      </w:r>
    </w:p>
    <w:p w14:paraId="7C2E8CC5" w14:textId="570F5474" w:rsidR="001E720A" w:rsidRDefault="001E720A" w:rsidP="001E720A">
      <w:pPr>
        <w:pStyle w:val="Heading4"/>
      </w:pPr>
      <w:r>
        <w:t>Lakes sampled in both 2007 and 2017</w:t>
      </w:r>
    </w:p>
    <w:p w14:paraId="0227C7B4" w14:textId="32646532" w:rsidR="001E720A" w:rsidRPr="001E720A" w:rsidRDefault="001E720A" w:rsidP="001E720A">
      <w:r>
        <w:t>At the national scale, resampled lakes became less hypereutrophic (-8.3%) and more mesotrophic (9%), while showing no significant change in oligotrophic and eutrophic lakes.</w:t>
      </w:r>
      <w:r>
        <w:t xml:space="preserve"> Co-nutrient limited lakes followed the overall </w:t>
      </w:r>
      <w:r w:rsidR="00844206">
        <w:t xml:space="preserve">national </w:t>
      </w:r>
      <w:r>
        <w:t xml:space="preserve">pattern, with these lakes becoming less hypereutrophic (-10.4%) and more mesotrophic (14%) and there was not significant change in oligotrophic or eutrophic co-limited lakes. N-limited lakes only had a significant increase in shifting toward </w:t>
      </w:r>
      <w:proofErr w:type="spellStart"/>
      <w:r>
        <w:t>hypereutrophy</w:t>
      </w:r>
      <w:proofErr w:type="spellEnd"/>
      <w:r>
        <w:t xml:space="preserve"> (13.7%). P-limited lakes showed now significant change in mesotrophic </w:t>
      </w:r>
      <w:proofErr w:type="gramStart"/>
      <w:r>
        <w:t>state, but</w:t>
      </w:r>
      <w:proofErr w:type="gramEnd"/>
      <w:r>
        <w:t xml:space="preserve"> decreased in oligotrophic (-</w:t>
      </w:r>
      <w:r w:rsidR="00844206">
        <w:t>12.9</w:t>
      </w:r>
      <w:r>
        <w:t>%) and hypereutrophic (-</w:t>
      </w:r>
      <w:r w:rsidR="00844206">
        <w:t>23.9</w:t>
      </w:r>
      <w:r>
        <w:t xml:space="preserve">%) states and increased in eutrophic </w:t>
      </w:r>
      <w:r w:rsidR="00844206">
        <w:t>state (35%)</w:t>
      </w:r>
      <w:r w:rsidR="00AC03F2">
        <w:t xml:space="preserve"> (Figure 7)</w:t>
      </w:r>
      <w:r w:rsidR="00844206">
        <w:t>.</w:t>
      </w:r>
      <w:r>
        <w:t xml:space="preserve"> </w:t>
      </w:r>
    </w:p>
    <w:p w14:paraId="3FC2381C" w14:textId="77777777" w:rsidR="001E720A" w:rsidRPr="00853C76" w:rsidRDefault="001E720A" w:rsidP="001E720A">
      <w:pPr>
        <w:pStyle w:val="Heading4"/>
      </w:pPr>
      <w:r>
        <w:t xml:space="preserve">Full population of lakes </w:t>
      </w:r>
    </w:p>
    <w:p w14:paraId="7BD6B781" w14:textId="02598C49"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 When considering all the lakes in the NLA survey years 2007 and 2017,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r w:rsidR="00AC03F2">
        <w:t xml:space="preserve"> (Figure 7)</w:t>
      </w:r>
      <w:r w:rsidR="008D734E">
        <w:t xml:space="preserve">. </w:t>
      </w:r>
    </w:p>
    <w:p w14:paraId="6F19B3B5" w14:textId="2772545E" w:rsidR="00735EBD" w:rsidRDefault="00735EBD" w:rsidP="00735EBD">
      <w:pPr>
        <w:pStyle w:val="Heading1"/>
      </w:pPr>
      <w:r>
        <w:t>Discussion</w:t>
      </w:r>
    </w:p>
    <w:p w14:paraId="681B6EE4" w14:textId="3BC3E21F" w:rsidR="001968F8" w:rsidRDefault="008D547F" w:rsidP="008D547F">
      <w:pPr>
        <w:pStyle w:val="Heading1"/>
      </w:pPr>
      <w:r>
        <w:t>References</w:t>
      </w:r>
    </w:p>
    <w:p w14:paraId="2C60BF16" w14:textId="77777777" w:rsidR="00EB2480" w:rsidRPr="00EB2480" w:rsidRDefault="00A10F84" w:rsidP="00EB2480">
      <w:pPr>
        <w:pStyle w:val="Bibliography"/>
        <w:rPr>
          <w:rFonts w:ascii="Calibri" w:hAnsi="Calibri" w:cs="Calibri"/>
        </w:rPr>
      </w:pPr>
      <w:r>
        <w:fldChar w:fldCharType="begin"/>
      </w:r>
      <w:r w:rsidR="00EC0347">
        <w:instrText xml:space="preserve"> ADDIN ZOTERO_BIBL {"uncited":[],"omitted":[],"custom":[]} CSL_BIBLIOGRAPHY </w:instrText>
      </w:r>
      <w:r>
        <w:fldChar w:fldCharType="separate"/>
      </w:r>
      <w:proofErr w:type="spellStart"/>
      <w:r w:rsidR="00EB2480" w:rsidRPr="00EB2480">
        <w:rPr>
          <w:rFonts w:ascii="Calibri" w:hAnsi="Calibri" w:cs="Calibri"/>
        </w:rPr>
        <w:t>Bergström</w:t>
      </w:r>
      <w:proofErr w:type="spellEnd"/>
      <w:r w:rsidR="00EB2480" w:rsidRPr="00EB2480">
        <w:rPr>
          <w:rFonts w:ascii="Calibri" w:hAnsi="Calibri" w:cs="Calibri"/>
        </w:rPr>
        <w:t xml:space="preserve">, A. K. (2010). The use of TN:TP and DIN:TP ratios as indicators for phytoplankton nutrient limitation in oligotrophic lakes affected by N deposition. </w:t>
      </w:r>
      <w:r w:rsidR="00EB2480" w:rsidRPr="00EB2480">
        <w:rPr>
          <w:rFonts w:ascii="Calibri" w:hAnsi="Calibri" w:cs="Calibri"/>
          <w:i/>
          <w:iCs/>
        </w:rPr>
        <w:t>Aquatic Sciences</w:t>
      </w:r>
      <w:r w:rsidR="00EB2480" w:rsidRPr="00EB2480">
        <w:rPr>
          <w:rFonts w:ascii="Calibri" w:hAnsi="Calibri" w:cs="Calibri"/>
        </w:rPr>
        <w:t xml:space="preserve">, </w:t>
      </w:r>
      <w:r w:rsidR="00EB2480" w:rsidRPr="00EB2480">
        <w:rPr>
          <w:rFonts w:ascii="Calibri" w:hAnsi="Calibri" w:cs="Calibri"/>
          <w:i/>
          <w:iCs/>
        </w:rPr>
        <w:t>72</w:t>
      </w:r>
      <w:r w:rsidR="00EB2480" w:rsidRPr="00EB2480">
        <w:rPr>
          <w:rFonts w:ascii="Calibri" w:hAnsi="Calibri" w:cs="Calibri"/>
        </w:rPr>
        <w:t>(3), 277–281. https://doi.org/10.1007/S00027-010-0132-0/FIGURES/1</w:t>
      </w:r>
    </w:p>
    <w:p w14:paraId="168F7DBF" w14:textId="77777777" w:rsidR="00EB2480" w:rsidRPr="00EB2480" w:rsidRDefault="00EB2480" w:rsidP="00EB2480">
      <w:pPr>
        <w:pStyle w:val="Bibliography"/>
        <w:rPr>
          <w:rFonts w:ascii="Calibri" w:hAnsi="Calibri" w:cs="Calibri"/>
        </w:rPr>
      </w:pPr>
      <w:r w:rsidRPr="00EB2480">
        <w:rPr>
          <w:rFonts w:ascii="Calibri" w:hAnsi="Calibri" w:cs="Calibri"/>
        </w:rPr>
        <w:t xml:space="preserve">Camargo, J. A., &amp; Alonso, Á. (2006). Ecological and toxicological effects of inorganic nitrogen pollution in aquatic ecosystems: A global assessment. </w:t>
      </w:r>
      <w:r w:rsidRPr="00EB2480">
        <w:rPr>
          <w:rFonts w:ascii="Calibri" w:hAnsi="Calibri" w:cs="Calibri"/>
          <w:i/>
          <w:iCs/>
        </w:rPr>
        <w:t>Environment International</w:t>
      </w:r>
      <w:r w:rsidRPr="00EB2480">
        <w:rPr>
          <w:rFonts w:ascii="Calibri" w:hAnsi="Calibri" w:cs="Calibri"/>
        </w:rPr>
        <w:t xml:space="preserve">, </w:t>
      </w:r>
      <w:r w:rsidRPr="00EB2480">
        <w:rPr>
          <w:rFonts w:ascii="Calibri" w:hAnsi="Calibri" w:cs="Calibri"/>
          <w:i/>
          <w:iCs/>
        </w:rPr>
        <w:t>32</w:t>
      </w:r>
      <w:r w:rsidRPr="00EB2480">
        <w:rPr>
          <w:rFonts w:ascii="Calibri" w:hAnsi="Calibri" w:cs="Calibri"/>
        </w:rPr>
        <w:t>(6), 831–849. https://doi.org/10.1016/J.ENVINT.2006.05.002</w:t>
      </w:r>
    </w:p>
    <w:p w14:paraId="19D7B832"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Correll</w:t>
      </w:r>
      <w:proofErr w:type="spellEnd"/>
      <w:r w:rsidRPr="00EB2480">
        <w:rPr>
          <w:rFonts w:ascii="Calibri" w:hAnsi="Calibri" w:cs="Calibri"/>
        </w:rPr>
        <w:t xml:space="preserve">, D. (1999). Phosphorus: A rate limiting nutrient in surface waters. </w:t>
      </w:r>
      <w:r w:rsidRPr="00EB2480">
        <w:rPr>
          <w:rFonts w:ascii="Calibri" w:hAnsi="Calibri" w:cs="Calibri"/>
          <w:i/>
          <w:iCs/>
        </w:rPr>
        <w:t>Poultry Science</w:t>
      </w:r>
      <w:r w:rsidRPr="00EB2480">
        <w:rPr>
          <w:rFonts w:ascii="Calibri" w:hAnsi="Calibri" w:cs="Calibri"/>
        </w:rPr>
        <w:t xml:space="preserve">, </w:t>
      </w:r>
      <w:r w:rsidRPr="00EB2480">
        <w:rPr>
          <w:rFonts w:ascii="Calibri" w:hAnsi="Calibri" w:cs="Calibri"/>
          <w:i/>
          <w:iCs/>
        </w:rPr>
        <w:t>78</w:t>
      </w:r>
      <w:r w:rsidRPr="00EB2480">
        <w:rPr>
          <w:rFonts w:ascii="Calibri" w:hAnsi="Calibri" w:cs="Calibri"/>
        </w:rPr>
        <w:t>(5), 674–682. https://doi.org/10.1093/ps/78.5.674</w:t>
      </w:r>
    </w:p>
    <w:p w14:paraId="03C2054C"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Dodds</w:t>
      </w:r>
      <w:proofErr w:type="spellEnd"/>
      <w:r w:rsidRPr="00EB2480">
        <w:rPr>
          <w:rFonts w:ascii="Calibri" w:hAnsi="Calibri" w:cs="Calibri"/>
        </w:rPr>
        <w:t xml:space="preserve">, W. K., </w:t>
      </w:r>
      <w:proofErr w:type="spellStart"/>
      <w:r w:rsidRPr="00EB2480">
        <w:rPr>
          <w:rFonts w:ascii="Calibri" w:hAnsi="Calibri" w:cs="Calibri"/>
        </w:rPr>
        <w:t>Bouska</w:t>
      </w:r>
      <w:proofErr w:type="spellEnd"/>
      <w:r w:rsidRPr="00EB2480">
        <w:rPr>
          <w:rFonts w:ascii="Calibri" w:hAnsi="Calibri" w:cs="Calibri"/>
        </w:rPr>
        <w:t xml:space="preserve">, W. W., </w:t>
      </w:r>
      <w:proofErr w:type="spellStart"/>
      <w:r w:rsidRPr="00EB2480">
        <w:rPr>
          <w:rFonts w:ascii="Calibri" w:hAnsi="Calibri" w:cs="Calibri"/>
        </w:rPr>
        <w:t>Eitzmann</w:t>
      </w:r>
      <w:proofErr w:type="spellEnd"/>
      <w:r w:rsidRPr="00EB2480">
        <w:rPr>
          <w:rFonts w:ascii="Calibri" w:hAnsi="Calibri" w:cs="Calibri"/>
        </w:rPr>
        <w:t xml:space="preserve">, J. L., Pilger, T. J., Pitts, K. L., Riley, A. J., </w:t>
      </w:r>
      <w:proofErr w:type="spellStart"/>
      <w:r w:rsidRPr="00EB2480">
        <w:rPr>
          <w:rFonts w:ascii="Calibri" w:hAnsi="Calibri" w:cs="Calibri"/>
        </w:rPr>
        <w:t>Schloesser</w:t>
      </w:r>
      <w:proofErr w:type="spellEnd"/>
      <w:r w:rsidRPr="00EB2480">
        <w:rPr>
          <w:rFonts w:ascii="Calibri" w:hAnsi="Calibri" w:cs="Calibri"/>
        </w:rPr>
        <w:t xml:space="preserve">, J. T., &amp; </w:t>
      </w:r>
      <w:proofErr w:type="spellStart"/>
      <w:r w:rsidRPr="00EB2480">
        <w:rPr>
          <w:rFonts w:ascii="Calibri" w:hAnsi="Calibri" w:cs="Calibri"/>
        </w:rPr>
        <w:t>Thornbrugh</w:t>
      </w:r>
      <w:proofErr w:type="spellEnd"/>
      <w:r w:rsidRPr="00EB2480">
        <w:rPr>
          <w:rFonts w:ascii="Calibri" w:hAnsi="Calibri" w:cs="Calibri"/>
        </w:rPr>
        <w:t xml:space="preserve">, D. J. (2008). Eutrophication of U.S. Freshwaters: Analysis of Potential Economic Damages. </w:t>
      </w:r>
      <w:r w:rsidRPr="00EB2480">
        <w:rPr>
          <w:rFonts w:ascii="Calibri" w:hAnsi="Calibri" w:cs="Calibri"/>
          <w:i/>
          <w:iCs/>
        </w:rPr>
        <w:t>Environmental Science and Technology</w:t>
      </w:r>
      <w:r w:rsidRPr="00EB2480">
        <w:rPr>
          <w:rFonts w:ascii="Calibri" w:hAnsi="Calibri" w:cs="Calibri"/>
        </w:rPr>
        <w:t xml:space="preserve">, </w:t>
      </w:r>
      <w:r w:rsidRPr="00EB2480">
        <w:rPr>
          <w:rFonts w:ascii="Calibri" w:hAnsi="Calibri" w:cs="Calibri"/>
          <w:i/>
          <w:iCs/>
        </w:rPr>
        <w:t>43</w:t>
      </w:r>
      <w:r w:rsidRPr="00EB2480">
        <w:rPr>
          <w:rFonts w:ascii="Calibri" w:hAnsi="Calibri" w:cs="Calibri"/>
        </w:rPr>
        <w:t>(1), 12–19. https://doi.org/10.1021/ES801217Q</w:t>
      </w:r>
    </w:p>
    <w:p w14:paraId="4551F1C0" w14:textId="77777777" w:rsidR="00EB2480" w:rsidRPr="00EB2480" w:rsidRDefault="00EB2480" w:rsidP="00EB2480">
      <w:pPr>
        <w:pStyle w:val="Bibliography"/>
        <w:rPr>
          <w:rFonts w:ascii="Calibri" w:hAnsi="Calibri" w:cs="Calibri"/>
        </w:rPr>
      </w:pPr>
      <w:r w:rsidRPr="00EB2480">
        <w:rPr>
          <w:rFonts w:ascii="Calibri" w:hAnsi="Calibri" w:cs="Calibri"/>
        </w:rPr>
        <w:t xml:space="preserve">Downing, J. A., &amp; McCauley, E. (1992). The nitrogen: Phosphorus relationship in lakes. </w:t>
      </w:r>
      <w:r w:rsidRPr="00EB2480">
        <w:rPr>
          <w:rFonts w:ascii="Calibri" w:hAnsi="Calibri" w:cs="Calibri"/>
          <w:i/>
          <w:iCs/>
        </w:rPr>
        <w:t>Limnology and Oceanography</w:t>
      </w:r>
      <w:r w:rsidRPr="00EB2480">
        <w:rPr>
          <w:rFonts w:ascii="Calibri" w:hAnsi="Calibri" w:cs="Calibri"/>
        </w:rPr>
        <w:t xml:space="preserve">, </w:t>
      </w:r>
      <w:r w:rsidRPr="00EB2480">
        <w:rPr>
          <w:rFonts w:ascii="Calibri" w:hAnsi="Calibri" w:cs="Calibri"/>
          <w:i/>
          <w:iCs/>
        </w:rPr>
        <w:t>37</w:t>
      </w:r>
      <w:r w:rsidRPr="00EB2480">
        <w:rPr>
          <w:rFonts w:ascii="Calibri" w:hAnsi="Calibri" w:cs="Calibri"/>
        </w:rPr>
        <w:t>(5), 936–945. https://doi.org/10.4319/LO.1992.37.5.0936</w:t>
      </w:r>
    </w:p>
    <w:p w14:paraId="73B434FA"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Dumelle</w:t>
      </w:r>
      <w:proofErr w:type="spellEnd"/>
      <w:r w:rsidRPr="00EB2480">
        <w:rPr>
          <w:rFonts w:ascii="Calibri" w:hAnsi="Calibri" w:cs="Calibri"/>
        </w:rPr>
        <w:t xml:space="preserve">, M., Kincaid, T. M., Olsen, A. R., &amp; Weber, M. H. (2022). </w:t>
      </w:r>
      <w:proofErr w:type="spellStart"/>
      <w:r w:rsidRPr="00EB2480">
        <w:rPr>
          <w:rFonts w:ascii="Calibri" w:hAnsi="Calibri" w:cs="Calibri"/>
          <w:i/>
          <w:iCs/>
        </w:rPr>
        <w:t>spsurvey</w:t>
      </w:r>
      <w:proofErr w:type="spellEnd"/>
      <w:r w:rsidRPr="00EB2480">
        <w:rPr>
          <w:rFonts w:ascii="Calibri" w:hAnsi="Calibri" w:cs="Calibri"/>
          <w:i/>
          <w:iCs/>
        </w:rPr>
        <w:t>: Spatial Sampling Design and Analysis</w:t>
      </w:r>
      <w:r w:rsidRPr="00EB2480">
        <w:rPr>
          <w:rFonts w:ascii="Calibri" w:hAnsi="Calibri" w:cs="Calibri"/>
        </w:rPr>
        <w:t>.</w:t>
      </w:r>
    </w:p>
    <w:p w14:paraId="6361600A"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Elser</w:t>
      </w:r>
      <w:proofErr w:type="spellEnd"/>
      <w:r w:rsidRPr="00EB2480">
        <w:rPr>
          <w:rFonts w:ascii="Calibri" w:hAnsi="Calibri" w:cs="Calibri"/>
        </w:rPr>
        <w:t xml:space="preserve">, J. J., </w:t>
      </w:r>
      <w:proofErr w:type="spellStart"/>
      <w:r w:rsidRPr="00EB2480">
        <w:rPr>
          <w:rFonts w:ascii="Calibri" w:hAnsi="Calibri" w:cs="Calibri"/>
        </w:rPr>
        <w:t>Marzolf</w:t>
      </w:r>
      <w:proofErr w:type="spellEnd"/>
      <w:r w:rsidRPr="00EB2480">
        <w:rPr>
          <w:rFonts w:ascii="Calibri" w:hAnsi="Calibri" w:cs="Calibri"/>
        </w:rPr>
        <w:t xml:space="preserve">, E. R., </w:t>
      </w:r>
      <w:proofErr w:type="spellStart"/>
      <w:r w:rsidRPr="00EB2480">
        <w:rPr>
          <w:rFonts w:ascii="Calibri" w:hAnsi="Calibri" w:cs="Calibri"/>
        </w:rPr>
        <w:t>Goldrnan</w:t>
      </w:r>
      <w:proofErr w:type="spellEnd"/>
      <w:r w:rsidRPr="00EB2480">
        <w:rPr>
          <w:rFonts w:ascii="Calibri" w:hAnsi="Calibri" w:cs="Calibri"/>
        </w:rPr>
        <w:t xml:space="preserve">, C. R., </w:t>
      </w:r>
      <w:proofErr w:type="spellStart"/>
      <w:r w:rsidRPr="00EB2480">
        <w:rPr>
          <w:rFonts w:ascii="Calibri" w:hAnsi="Calibri" w:cs="Calibri"/>
        </w:rPr>
        <w:t>Marnoif</w:t>
      </w:r>
      <w:proofErr w:type="spellEnd"/>
      <w:r w:rsidRPr="00EB2480">
        <w:rPr>
          <w:rFonts w:ascii="Calibri" w:hAnsi="Calibri" w:cs="Calibri"/>
        </w:rPr>
        <w:t xml:space="preserve">, E. R., &amp; Goldman, C. 8. (2011). Phosphorus and Nitrogen Limitation of Phytoplankton Growth in the Freshwaters of North America: A Review and Critique of Experimental Enrichments. </w:t>
      </w:r>
      <w:r w:rsidRPr="00EB2480">
        <w:rPr>
          <w:rFonts w:ascii="Calibri" w:hAnsi="Calibri" w:cs="Calibri"/>
          <w:i/>
          <w:iCs/>
        </w:rPr>
        <w:t>Https://Doi.Org/10.1139/F90-165</w:t>
      </w:r>
      <w:r w:rsidRPr="00EB2480">
        <w:rPr>
          <w:rFonts w:ascii="Calibri" w:hAnsi="Calibri" w:cs="Calibri"/>
        </w:rPr>
        <w:t xml:space="preserve">, </w:t>
      </w:r>
      <w:r w:rsidRPr="00EB2480">
        <w:rPr>
          <w:rFonts w:ascii="Calibri" w:hAnsi="Calibri" w:cs="Calibri"/>
          <w:i/>
          <w:iCs/>
        </w:rPr>
        <w:t>47</w:t>
      </w:r>
      <w:r w:rsidRPr="00EB2480">
        <w:rPr>
          <w:rFonts w:ascii="Calibri" w:hAnsi="Calibri" w:cs="Calibri"/>
        </w:rPr>
        <w:t>(7), 1468–1477. https://doi.org/10.1139/F90-165</w:t>
      </w:r>
    </w:p>
    <w:p w14:paraId="29AE5E57" w14:textId="77777777" w:rsidR="00EB2480" w:rsidRPr="00EB2480" w:rsidRDefault="00EB2480" w:rsidP="00EB2480">
      <w:pPr>
        <w:pStyle w:val="Bibliography"/>
        <w:rPr>
          <w:rFonts w:ascii="Calibri" w:hAnsi="Calibri" w:cs="Calibri"/>
        </w:rPr>
      </w:pPr>
      <w:r w:rsidRPr="00EB2480">
        <w:rPr>
          <w:rFonts w:ascii="Calibri" w:hAnsi="Calibri" w:cs="Calibri"/>
        </w:rPr>
        <w:lastRenderedPageBreak/>
        <w:t xml:space="preserve">Fenn, M. E., Baron, J. S., Allen, E. B., </w:t>
      </w:r>
      <w:proofErr w:type="spellStart"/>
      <w:r w:rsidRPr="00EB2480">
        <w:rPr>
          <w:rFonts w:ascii="Calibri" w:hAnsi="Calibri" w:cs="Calibri"/>
        </w:rPr>
        <w:t>Rueth</w:t>
      </w:r>
      <w:proofErr w:type="spellEnd"/>
      <w:r w:rsidRPr="00EB2480">
        <w:rPr>
          <w:rFonts w:ascii="Calibri" w:hAnsi="Calibri" w:cs="Calibri"/>
        </w:rPr>
        <w:t xml:space="preserve">, H. M., </w:t>
      </w:r>
      <w:proofErr w:type="spellStart"/>
      <w:r w:rsidRPr="00EB2480">
        <w:rPr>
          <w:rFonts w:ascii="Calibri" w:hAnsi="Calibri" w:cs="Calibri"/>
        </w:rPr>
        <w:t>Nydick</w:t>
      </w:r>
      <w:proofErr w:type="spellEnd"/>
      <w:r w:rsidRPr="00EB2480">
        <w:rPr>
          <w:rFonts w:ascii="Calibri" w:hAnsi="Calibri" w:cs="Calibri"/>
        </w:rPr>
        <w:t xml:space="preserve">, K. R., Geiser, L., Bowman, W. D., </w:t>
      </w:r>
      <w:proofErr w:type="spellStart"/>
      <w:r w:rsidRPr="00EB2480">
        <w:rPr>
          <w:rFonts w:ascii="Calibri" w:hAnsi="Calibri" w:cs="Calibri"/>
        </w:rPr>
        <w:t>Sickman</w:t>
      </w:r>
      <w:proofErr w:type="spellEnd"/>
      <w:r w:rsidRPr="00EB2480">
        <w:rPr>
          <w:rFonts w:ascii="Calibri" w:hAnsi="Calibri" w:cs="Calibri"/>
        </w:rPr>
        <w:t xml:space="preserve">, J. O., </w:t>
      </w:r>
      <w:proofErr w:type="spellStart"/>
      <w:r w:rsidRPr="00EB2480">
        <w:rPr>
          <w:rFonts w:ascii="Calibri" w:hAnsi="Calibri" w:cs="Calibri"/>
        </w:rPr>
        <w:t>Meixner</w:t>
      </w:r>
      <w:proofErr w:type="spellEnd"/>
      <w:r w:rsidRPr="00EB2480">
        <w:rPr>
          <w:rFonts w:ascii="Calibri" w:hAnsi="Calibri" w:cs="Calibri"/>
        </w:rPr>
        <w:t xml:space="preserve">, T., Johnson, D. W., &amp; </w:t>
      </w:r>
      <w:proofErr w:type="spellStart"/>
      <w:r w:rsidRPr="00EB2480">
        <w:rPr>
          <w:rFonts w:ascii="Calibri" w:hAnsi="Calibri" w:cs="Calibri"/>
        </w:rPr>
        <w:t>Neitlich</w:t>
      </w:r>
      <w:proofErr w:type="spellEnd"/>
      <w:r w:rsidRPr="00EB2480">
        <w:rPr>
          <w:rFonts w:ascii="Calibri" w:hAnsi="Calibri" w:cs="Calibri"/>
        </w:rPr>
        <w:t xml:space="preserve">, P. (2003). Ecological Effects of Nitrogen Deposition in the Western United States. </w:t>
      </w:r>
      <w:proofErr w:type="spellStart"/>
      <w:r w:rsidRPr="00EB2480">
        <w:rPr>
          <w:rFonts w:ascii="Calibri" w:hAnsi="Calibri" w:cs="Calibri"/>
          <w:i/>
          <w:iCs/>
        </w:rPr>
        <w:t>BioScience</w:t>
      </w:r>
      <w:proofErr w:type="spellEnd"/>
      <w:r w:rsidRPr="00EB2480">
        <w:rPr>
          <w:rFonts w:ascii="Calibri" w:hAnsi="Calibri" w:cs="Calibri"/>
        </w:rPr>
        <w:t xml:space="preserve">, </w:t>
      </w:r>
      <w:r w:rsidRPr="00EB2480">
        <w:rPr>
          <w:rFonts w:ascii="Calibri" w:hAnsi="Calibri" w:cs="Calibri"/>
          <w:i/>
          <w:iCs/>
        </w:rPr>
        <w:t>53</w:t>
      </w:r>
      <w:r w:rsidRPr="00EB2480">
        <w:rPr>
          <w:rFonts w:ascii="Calibri" w:hAnsi="Calibri" w:cs="Calibri"/>
        </w:rPr>
        <w:t>(4), 404–420. https://doi.org/10.1641/0006-3568(2003)053[</w:t>
      </w:r>
      <w:proofErr w:type="gramStart"/>
      <w:r w:rsidRPr="00EB2480">
        <w:rPr>
          <w:rFonts w:ascii="Calibri" w:hAnsi="Calibri" w:cs="Calibri"/>
        </w:rPr>
        <w:t>0404:EEONDI</w:t>
      </w:r>
      <w:proofErr w:type="gramEnd"/>
      <w:r w:rsidRPr="00EB2480">
        <w:rPr>
          <w:rFonts w:ascii="Calibri" w:hAnsi="Calibri" w:cs="Calibri"/>
        </w:rPr>
        <w:t>]2.0.CO;2</w:t>
      </w:r>
    </w:p>
    <w:p w14:paraId="2165E901" w14:textId="77777777" w:rsidR="00EB2480" w:rsidRPr="00EB2480" w:rsidRDefault="00EB2480" w:rsidP="00EB2480">
      <w:pPr>
        <w:pStyle w:val="Bibliography"/>
        <w:rPr>
          <w:rFonts w:ascii="Calibri" w:hAnsi="Calibri" w:cs="Calibri"/>
        </w:rPr>
      </w:pPr>
      <w:r w:rsidRPr="00EB2480">
        <w:rPr>
          <w:rFonts w:ascii="Calibri" w:hAnsi="Calibri" w:cs="Calibri"/>
        </w:rPr>
        <w:t xml:space="preserve">Finlay, J. C., Small, G. E., &amp; Sterner, R. W. (2013). Human influences on nitrogen removal in lakes. </w:t>
      </w:r>
      <w:r w:rsidRPr="00EB2480">
        <w:rPr>
          <w:rFonts w:ascii="Calibri" w:hAnsi="Calibri" w:cs="Calibri"/>
          <w:i/>
          <w:iCs/>
        </w:rPr>
        <w:t>Science</w:t>
      </w:r>
      <w:r w:rsidRPr="00EB2480">
        <w:rPr>
          <w:rFonts w:ascii="Calibri" w:hAnsi="Calibri" w:cs="Calibri"/>
        </w:rPr>
        <w:t xml:space="preserve">, </w:t>
      </w:r>
      <w:r w:rsidRPr="00EB2480">
        <w:rPr>
          <w:rFonts w:ascii="Calibri" w:hAnsi="Calibri" w:cs="Calibri"/>
          <w:i/>
          <w:iCs/>
        </w:rPr>
        <w:t>342</w:t>
      </w:r>
      <w:r w:rsidRPr="00EB2480">
        <w:rPr>
          <w:rFonts w:ascii="Calibri" w:hAnsi="Calibri" w:cs="Calibri"/>
        </w:rPr>
        <w:t>(6155), 247–250. https://doi.org/10.1126/SCIENCE.1242575</w:t>
      </w:r>
    </w:p>
    <w:p w14:paraId="5DA88415" w14:textId="77777777" w:rsidR="00EB2480" w:rsidRPr="00EB2480" w:rsidRDefault="00EB2480" w:rsidP="00EB2480">
      <w:pPr>
        <w:pStyle w:val="Bibliography"/>
        <w:rPr>
          <w:rFonts w:ascii="Calibri" w:hAnsi="Calibri" w:cs="Calibri"/>
        </w:rPr>
      </w:pPr>
      <w:r w:rsidRPr="00EB2480">
        <w:rPr>
          <w:rFonts w:ascii="Calibri" w:hAnsi="Calibri" w:cs="Calibri"/>
        </w:rPr>
        <w:t xml:space="preserve">Guildford, S. J., &amp; </w:t>
      </w:r>
      <w:proofErr w:type="spellStart"/>
      <w:r w:rsidRPr="00EB2480">
        <w:rPr>
          <w:rFonts w:ascii="Calibri" w:hAnsi="Calibri" w:cs="Calibri"/>
        </w:rPr>
        <w:t>Hecky</w:t>
      </w:r>
      <w:proofErr w:type="spellEnd"/>
      <w:r w:rsidRPr="00EB2480">
        <w:rPr>
          <w:rFonts w:ascii="Calibri" w:hAnsi="Calibri" w:cs="Calibri"/>
        </w:rPr>
        <w:t xml:space="preserve">, R. E. (2000). Total nitrogen, total phosphorus, and nutrient limitation in lakes and oceans: Is there a common relationship? </w:t>
      </w:r>
      <w:r w:rsidRPr="00EB2480">
        <w:rPr>
          <w:rFonts w:ascii="Calibri" w:hAnsi="Calibri" w:cs="Calibri"/>
          <w:i/>
          <w:iCs/>
        </w:rPr>
        <w:t>Limnology and Oceanography</w:t>
      </w:r>
      <w:r w:rsidRPr="00EB2480">
        <w:rPr>
          <w:rFonts w:ascii="Calibri" w:hAnsi="Calibri" w:cs="Calibri"/>
        </w:rPr>
        <w:t xml:space="preserve">, </w:t>
      </w:r>
      <w:r w:rsidRPr="00EB2480">
        <w:rPr>
          <w:rFonts w:ascii="Calibri" w:hAnsi="Calibri" w:cs="Calibri"/>
          <w:i/>
          <w:iCs/>
        </w:rPr>
        <w:t>45</w:t>
      </w:r>
      <w:r w:rsidRPr="00EB2480">
        <w:rPr>
          <w:rFonts w:ascii="Calibri" w:hAnsi="Calibri" w:cs="Calibri"/>
        </w:rPr>
        <w:t>(6), 1213–1223. https://doi.org/10.4319/lo.2000.45.6.1213</w:t>
      </w:r>
    </w:p>
    <w:p w14:paraId="24E006BA" w14:textId="77777777" w:rsidR="00EB2480" w:rsidRPr="00EB2480" w:rsidRDefault="00EB2480" w:rsidP="00EB2480">
      <w:pPr>
        <w:pStyle w:val="Bibliography"/>
        <w:rPr>
          <w:rFonts w:ascii="Calibri" w:hAnsi="Calibri" w:cs="Calibri"/>
        </w:rPr>
      </w:pPr>
      <w:r w:rsidRPr="00EB2480">
        <w:rPr>
          <w:rFonts w:ascii="Calibri" w:hAnsi="Calibri" w:cs="Calibri"/>
        </w:rPr>
        <w:t xml:space="preserve">Havens, K. E. (1995). Secondary nitrogen limitation in a subtropical lake impacted by non-point source agricultural pollution. </w:t>
      </w:r>
      <w:r w:rsidRPr="00EB2480">
        <w:rPr>
          <w:rFonts w:ascii="Calibri" w:hAnsi="Calibri" w:cs="Calibri"/>
          <w:i/>
          <w:iCs/>
        </w:rPr>
        <w:t>Environmental Pollution</w:t>
      </w:r>
      <w:r w:rsidRPr="00EB2480">
        <w:rPr>
          <w:rFonts w:ascii="Calibri" w:hAnsi="Calibri" w:cs="Calibri"/>
        </w:rPr>
        <w:t xml:space="preserve">, </w:t>
      </w:r>
      <w:r w:rsidRPr="00EB2480">
        <w:rPr>
          <w:rFonts w:ascii="Calibri" w:hAnsi="Calibri" w:cs="Calibri"/>
          <w:i/>
          <w:iCs/>
        </w:rPr>
        <w:t>89</w:t>
      </w:r>
      <w:r w:rsidRPr="00EB2480">
        <w:rPr>
          <w:rFonts w:ascii="Calibri" w:hAnsi="Calibri" w:cs="Calibri"/>
        </w:rPr>
        <w:t>(3), 241–246. https://doi.org/10.1016/0269-7491(94)00076-P</w:t>
      </w:r>
    </w:p>
    <w:p w14:paraId="416ED307"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Hellström</w:t>
      </w:r>
      <w:proofErr w:type="spellEnd"/>
      <w:r w:rsidRPr="00EB2480">
        <w:rPr>
          <w:rFonts w:ascii="Calibri" w:hAnsi="Calibri" w:cs="Calibri"/>
        </w:rPr>
        <w:t xml:space="preserve">, T. (1996). An empirical study of nitrogen dynamics in lakes. </w:t>
      </w:r>
      <w:r w:rsidRPr="00EB2480">
        <w:rPr>
          <w:rFonts w:ascii="Calibri" w:hAnsi="Calibri" w:cs="Calibri"/>
          <w:i/>
          <w:iCs/>
        </w:rPr>
        <w:t>Water Environment Research</w:t>
      </w:r>
      <w:r w:rsidRPr="00EB2480">
        <w:rPr>
          <w:rFonts w:ascii="Calibri" w:hAnsi="Calibri" w:cs="Calibri"/>
        </w:rPr>
        <w:t xml:space="preserve">, </w:t>
      </w:r>
      <w:r w:rsidRPr="00EB2480">
        <w:rPr>
          <w:rFonts w:ascii="Calibri" w:hAnsi="Calibri" w:cs="Calibri"/>
          <w:i/>
          <w:iCs/>
        </w:rPr>
        <w:t>68</w:t>
      </w:r>
      <w:r w:rsidRPr="00EB2480">
        <w:rPr>
          <w:rFonts w:ascii="Calibri" w:hAnsi="Calibri" w:cs="Calibri"/>
        </w:rPr>
        <w:t>(1), 55–65. https://doi.org/10.2175/106143096X127208</w:t>
      </w:r>
    </w:p>
    <w:p w14:paraId="53A29BFE" w14:textId="77777777" w:rsidR="00EB2480" w:rsidRPr="00EB2480" w:rsidRDefault="00EB2480" w:rsidP="00EB2480">
      <w:pPr>
        <w:pStyle w:val="Bibliography"/>
        <w:rPr>
          <w:rFonts w:ascii="Calibri" w:hAnsi="Calibri" w:cs="Calibri"/>
        </w:rPr>
      </w:pPr>
      <w:r w:rsidRPr="00EB2480">
        <w:rPr>
          <w:rFonts w:ascii="Calibri" w:hAnsi="Calibri" w:cs="Calibri"/>
        </w:rPr>
        <w:t xml:space="preserve">Keiser, D. A., Kling, C. L., &amp; Shapiro, J. S. (2019). The low but uncertain measured benefits of US water quality policy. </w:t>
      </w:r>
      <w:r w:rsidRPr="00EB2480">
        <w:rPr>
          <w:rFonts w:ascii="Calibri" w:hAnsi="Calibri" w:cs="Calibri"/>
          <w:i/>
          <w:iCs/>
        </w:rPr>
        <w:t>Proceedings of the National Academy of Sciences</w:t>
      </w:r>
      <w:r w:rsidRPr="00EB2480">
        <w:rPr>
          <w:rFonts w:ascii="Calibri" w:hAnsi="Calibri" w:cs="Calibri"/>
        </w:rPr>
        <w:t xml:space="preserve">, </w:t>
      </w:r>
      <w:r w:rsidRPr="00EB2480">
        <w:rPr>
          <w:rFonts w:ascii="Calibri" w:hAnsi="Calibri" w:cs="Calibri"/>
          <w:i/>
          <w:iCs/>
        </w:rPr>
        <w:t>116</w:t>
      </w:r>
      <w:r w:rsidRPr="00EB2480">
        <w:rPr>
          <w:rFonts w:ascii="Calibri" w:hAnsi="Calibri" w:cs="Calibri"/>
        </w:rPr>
        <w:t>(12), 5262–5269. https://doi.org/10.1073/pnas.1802870115</w:t>
      </w:r>
    </w:p>
    <w:p w14:paraId="2047410F"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Omernik</w:t>
      </w:r>
      <w:proofErr w:type="spellEnd"/>
      <w:r w:rsidRPr="00EB2480">
        <w:rPr>
          <w:rFonts w:ascii="Calibri" w:hAnsi="Calibri" w:cs="Calibri"/>
        </w:rPr>
        <w:t xml:space="preserve">, J. M. (1987). Ecoregions of the Conterminous United States. </w:t>
      </w:r>
      <w:r w:rsidRPr="00EB2480">
        <w:rPr>
          <w:rFonts w:ascii="Calibri" w:hAnsi="Calibri" w:cs="Calibri"/>
          <w:i/>
          <w:iCs/>
        </w:rPr>
        <w:t>Annals of the Association of American Geographers</w:t>
      </w:r>
      <w:r w:rsidRPr="00EB2480">
        <w:rPr>
          <w:rFonts w:ascii="Calibri" w:hAnsi="Calibri" w:cs="Calibri"/>
        </w:rPr>
        <w:t xml:space="preserve">, </w:t>
      </w:r>
      <w:r w:rsidRPr="00EB2480">
        <w:rPr>
          <w:rFonts w:ascii="Calibri" w:hAnsi="Calibri" w:cs="Calibri"/>
          <w:i/>
          <w:iCs/>
        </w:rPr>
        <w:t>77</w:t>
      </w:r>
      <w:r w:rsidRPr="00EB2480">
        <w:rPr>
          <w:rFonts w:ascii="Calibri" w:hAnsi="Calibri" w:cs="Calibri"/>
        </w:rPr>
        <w:t>(1), 118–125. https://doi.org/10.1111/J.1467-8306.1987.TB00149.X</w:t>
      </w:r>
    </w:p>
    <w:p w14:paraId="6897917F" w14:textId="77777777" w:rsidR="00EB2480" w:rsidRPr="00EB2480" w:rsidRDefault="00EB2480" w:rsidP="00EB2480">
      <w:pPr>
        <w:pStyle w:val="Bibliography"/>
        <w:rPr>
          <w:rFonts w:ascii="Calibri" w:hAnsi="Calibri" w:cs="Calibri"/>
        </w:rPr>
      </w:pPr>
      <w:r w:rsidRPr="00EB2480">
        <w:rPr>
          <w:rFonts w:ascii="Calibri" w:hAnsi="Calibri" w:cs="Calibri"/>
        </w:rPr>
        <w:t xml:space="preserve">Oviedo-Vargas, D., Royer, T. V., &amp; Johnson, L. T. (2013). Dissolved organic carbon manipulation reveals coupled cycling of carbon, nitrogen, and phosphorus in a nitrogen-rich stream. </w:t>
      </w:r>
      <w:r w:rsidRPr="00EB2480">
        <w:rPr>
          <w:rFonts w:ascii="Calibri" w:hAnsi="Calibri" w:cs="Calibri"/>
          <w:i/>
          <w:iCs/>
        </w:rPr>
        <w:t>Limnology and Oceanography</w:t>
      </w:r>
      <w:r w:rsidRPr="00EB2480">
        <w:rPr>
          <w:rFonts w:ascii="Calibri" w:hAnsi="Calibri" w:cs="Calibri"/>
        </w:rPr>
        <w:t xml:space="preserve">, </w:t>
      </w:r>
      <w:r w:rsidRPr="00EB2480">
        <w:rPr>
          <w:rFonts w:ascii="Calibri" w:hAnsi="Calibri" w:cs="Calibri"/>
          <w:i/>
          <w:iCs/>
        </w:rPr>
        <w:t>58</w:t>
      </w:r>
      <w:r w:rsidRPr="00EB2480">
        <w:rPr>
          <w:rFonts w:ascii="Calibri" w:hAnsi="Calibri" w:cs="Calibri"/>
        </w:rPr>
        <w:t>(4), 1196–1206. https://doi.org/10.4319/LO.2013.58.4.1196</w:t>
      </w:r>
    </w:p>
    <w:p w14:paraId="19B5A60E"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Pebesma</w:t>
      </w:r>
      <w:proofErr w:type="spellEnd"/>
      <w:r w:rsidRPr="00EB2480">
        <w:rPr>
          <w:rFonts w:ascii="Calibri" w:hAnsi="Calibri" w:cs="Calibri"/>
        </w:rPr>
        <w:t xml:space="preserve">, E. (2018). Simple Features for R: Standardized Support for Spatial Vector Data. </w:t>
      </w:r>
      <w:r w:rsidRPr="00EB2480">
        <w:rPr>
          <w:rFonts w:ascii="Calibri" w:hAnsi="Calibri" w:cs="Calibri"/>
          <w:i/>
          <w:iCs/>
        </w:rPr>
        <w:t>The R Journal</w:t>
      </w:r>
      <w:r w:rsidRPr="00EB2480">
        <w:rPr>
          <w:rFonts w:ascii="Calibri" w:hAnsi="Calibri" w:cs="Calibri"/>
        </w:rPr>
        <w:t xml:space="preserve">, </w:t>
      </w:r>
      <w:r w:rsidRPr="00EB2480">
        <w:rPr>
          <w:rFonts w:ascii="Calibri" w:hAnsi="Calibri" w:cs="Calibri"/>
          <w:i/>
          <w:iCs/>
        </w:rPr>
        <w:t>10</w:t>
      </w:r>
      <w:r w:rsidRPr="00EB2480">
        <w:rPr>
          <w:rFonts w:ascii="Calibri" w:hAnsi="Calibri" w:cs="Calibri"/>
        </w:rPr>
        <w:t>(1), 439–446. https://doi.org/10.32614/RJ-2018-009</w:t>
      </w:r>
    </w:p>
    <w:p w14:paraId="68B036A8"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Ptacnik</w:t>
      </w:r>
      <w:proofErr w:type="spellEnd"/>
      <w:r w:rsidRPr="00EB2480">
        <w:rPr>
          <w:rFonts w:ascii="Calibri" w:hAnsi="Calibri" w:cs="Calibri"/>
        </w:rPr>
        <w:t xml:space="preserve">, R., Andersen, T., &amp; </w:t>
      </w:r>
      <w:proofErr w:type="spellStart"/>
      <w:r w:rsidRPr="00EB2480">
        <w:rPr>
          <w:rFonts w:ascii="Calibri" w:hAnsi="Calibri" w:cs="Calibri"/>
        </w:rPr>
        <w:t>Tamminen</w:t>
      </w:r>
      <w:proofErr w:type="spellEnd"/>
      <w:r w:rsidRPr="00EB2480">
        <w:rPr>
          <w:rFonts w:ascii="Calibri" w:hAnsi="Calibri" w:cs="Calibri"/>
        </w:rPr>
        <w:t xml:space="preserve">, T. (2010). Performance of the Redfield Ratio and a Family of Nutrient Limitation Indicators as Thresholds for Phytoplankton N vs. P Limitation. </w:t>
      </w:r>
      <w:r w:rsidRPr="00EB2480">
        <w:rPr>
          <w:rFonts w:ascii="Calibri" w:hAnsi="Calibri" w:cs="Calibri"/>
          <w:i/>
          <w:iCs/>
        </w:rPr>
        <w:t>Ecosystems</w:t>
      </w:r>
      <w:r w:rsidRPr="00EB2480">
        <w:rPr>
          <w:rFonts w:ascii="Calibri" w:hAnsi="Calibri" w:cs="Calibri"/>
        </w:rPr>
        <w:t xml:space="preserve">, </w:t>
      </w:r>
      <w:r w:rsidRPr="00EB2480">
        <w:rPr>
          <w:rFonts w:ascii="Calibri" w:hAnsi="Calibri" w:cs="Calibri"/>
          <w:i/>
          <w:iCs/>
        </w:rPr>
        <w:t>13</w:t>
      </w:r>
      <w:r w:rsidRPr="00EB2480">
        <w:rPr>
          <w:rFonts w:ascii="Calibri" w:hAnsi="Calibri" w:cs="Calibri"/>
        </w:rPr>
        <w:t>(8), 1201–1214. https://doi.org/10.1007/S10021-010-9380-Z/FIGURES/5</w:t>
      </w:r>
    </w:p>
    <w:p w14:paraId="4B2DC77D" w14:textId="77777777" w:rsidR="00EB2480" w:rsidRPr="00EB2480" w:rsidRDefault="00EB2480" w:rsidP="00EB2480">
      <w:pPr>
        <w:pStyle w:val="Bibliography"/>
        <w:rPr>
          <w:rFonts w:ascii="Calibri" w:hAnsi="Calibri" w:cs="Calibri"/>
        </w:rPr>
      </w:pPr>
      <w:r w:rsidRPr="00EB2480">
        <w:rPr>
          <w:rFonts w:ascii="Calibri" w:hAnsi="Calibri" w:cs="Calibri"/>
        </w:rPr>
        <w:t xml:space="preserve">R Core Team. (2022). </w:t>
      </w:r>
      <w:r w:rsidRPr="00EB2480">
        <w:rPr>
          <w:rFonts w:ascii="Calibri" w:hAnsi="Calibri" w:cs="Calibri"/>
          <w:i/>
          <w:iCs/>
        </w:rPr>
        <w:t>R: A Language and Environment for Statistical Computing</w:t>
      </w:r>
      <w:r w:rsidRPr="00EB2480">
        <w:rPr>
          <w:rFonts w:ascii="Calibri" w:hAnsi="Calibri" w:cs="Calibri"/>
        </w:rPr>
        <w:t>. https://www.R-project.org/</w:t>
      </w:r>
    </w:p>
    <w:p w14:paraId="364AD4F0" w14:textId="77777777" w:rsidR="00EB2480" w:rsidRPr="00EB2480" w:rsidRDefault="00EB2480" w:rsidP="00EB2480">
      <w:pPr>
        <w:pStyle w:val="Bibliography"/>
        <w:rPr>
          <w:rFonts w:ascii="Calibri" w:hAnsi="Calibri" w:cs="Calibri"/>
        </w:rPr>
      </w:pPr>
      <w:r w:rsidRPr="00EB2480">
        <w:rPr>
          <w:rFonts w:ascii="Calibri" w:hAnsi="Calibri" w:cs="Calibri"/>
        </w:rPr>
        <w:t xml:space="preserve">Redfield, A. C. (1958). THE BIOLOGICAL CONTROL OF CHEMICAL FACTORS IN THE ENVIRONMENT. </w:t>
      </w:r>
      <w:r w:rsidRPr="00EB2480">
        <w:rPr>
          <w:rFonts w:ascii="Calibri" w:hAnsi="Calibri" w:cs="Calibri"/>
          <w:i/>
          <w:iCs/>
        </w:rPr>
        <w:t>American Scientist</w:t>
      </w:r>
      <w:r w:rsidRPr="00EB2480">
        <w:rPr>
          <w:rFonts w:ascii="Calibri" w:hAnsi="Calibri" w:cs="Calibri"/>
        </w:rPr>
        <w:t xml:space="preserve">, </w:t>
      </w:r>
      <w:r w:rsidRPr="00EB2480">
        <w:rPr>
          <w:rFonts w:ascii="Calibri" w:hAnsi="Calibri" w:cs="Calibri"/>
          <w:i/>
          <w:iCs/>
        </w:rPr>
        <w:t>46</w:t>
      </w:r>
      <w:r w:rsidRPr="00EB2480">
        <w:rPr>
          <w:rFonts w:ascii="Calibri" w:hAnsi="Calibri" w:cs="Calibri"/>
        </w:rPr>
        <w:t>(3), 230A – 221.</w:t>
      </w:r>
    </w:p>
    <w:p w14:paraId="6FD7BC73"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Redoglio</w:t>
      </w:r>
      <w:proofErr w:type="spellEnd"/>
      <w:r w:rsidRPr="00EB2480">
        <w:rPr>
          <w:rFonts w:ascii="Calibri" w:hAnsi="Calibri" w:cs="Calibri"/>
        </w:rPr>
        <w:t xml:space="preserve">, A., Radtke, K., &amp; </w:t>
      </w:r>
      <w:proofErr w:type="spellStart"/>
      <w:r w:rsidRPr="00EB2480">
        <w:rPr>
          <w:rFonts w:ascii="Calibri" w:hAnsi="Calibri" w:cs="Calibri"/>
        </w:rPr>
        <w:t>Sperfeld</w:t>
      </w:r>
      <w:proofErr w:type="spellEnd"/>
      <w:r w:rsidRPr="00EB2480">
        <w:rPr>
          <w:rFonts w:ascii="Calibri" w:hAnsi="Calibri" w:cs="Calibri"/>
        </w:rPr>
        <w:t xml:space="preserve">, E. (2022). How nitrogen and phosphorus supply to nutrient-limited autotroph communities affects herbivore growth: Testing stoichiometric and co-limitation theory across trophic levels. </w:t>
      </w:r>
      <w:r w:rsidRPr="00EB2480">
        <w:rPr>
          <w:rFonts w:ascii="Calibri" w:hAnsi="Calibri" w:cs="Calibri"/>
          <w:i/>
          <w:iCs/>
        </w:rPr>
        <w:t>Oikos</w:t>
      </w:r>
      <w:r w:rsidRPr="00EB2480">
        <w:rPr>
          <w:rFonts w:ascii="Calibri" w:hAnsi="Calibri" w:cs="Calibri"/>
        </w:rPr>
        <w:t xml:space="preserve">, </w:t>
      </w:r>
      <w:r w:rsidRPr="00EB2480">
        <w:rPr>
          <w:rFonts w:ascii="Calibri" w:hAnsi="Calibri" w:cs="Calibri"/>
          <w:i/>
          <w:iCs/>
        </w:rPr>
        <w:t>2022</w:t>
      </w:r>
      <w:r w:rsidRPr="00EB2480">
        <w:rPr>
          <w:rFonts w:ascii="Calibri" w:hAnsi="Calibri" w:cs="Calibri"/>
        </w:rPr>
        <w:t>(9), e09052. https://doi.org/10.1111/oik.09052</w:t>
      </w:r>
    </w:p>
    <w:p w14:paraId="426569A2" w14:textId="77777777" w:rsidR="00EB2480" w:rsidRPr="00EB2480" w:rsidRDefault="00EB2480" w:rsidP="00EB2480">
      <w:pPr>
        <w:pStyle w:val="Bibliography"/>
        <w:rPr>
          <w:rFonts w:ascii="Calibri" w:hAnsi="Calibri" w:cs="Calibri"/>
        </w:rPr>
      </w:pPr>
      <w:r w:rsidRPr="00EB2480">
        <w:rPr>
          <w:rFonts w:ascii="Calibri" w:hAnsi="Calibri" w:cs="Calibri"/>
        </w:rPr>
        <w:t xml:space="preserve">Reid, A. J., Carlson, A. K., Creed, I. F., Eliason, E. J., </w:t>
      </w:r>
      <w:proofErr w:type="spellStart"/>
      <w:r w:rsidRPr="00EB2480">
        <w:rPr>
          <w:rFonts w:ascii="Calibri" w:hAnsi="Calibri" w:cs="Calibri"/>
        </w:rPr>
        <w:t>Gell</w:t>
      </w:r>
      <w:proofErr w:type="spellEnd"/>
      <w:r w:rsidRPr="00EB2480">
        <w:rPr>
          <w:rFonts w:ascii="Calibri" w:hAnsi="Calibri" w:cs="Calibri"/>
        </w:rPr>
        <w:t xml:space="preserve">, P. A., Johnson, P. T. J., Kidd, K. A., </w:t>
      </w:r>
      <w:proofErr w:type="spellStart"/>
      <w:r w:rsidRPr="00EB2480">
        <w:rPr>
          <w:rFonts w:ascii="Calibri" w:hAnsi="Calibri" w:cs="Calibri"/>
        </w:rPr>
        <w:t>MacCormack</w:t>
      </w:r>
      <w:proofErr w:type="spellEnd"/>
      <w:r w:rsidRPr="00EB2480">
        <w:rPr>
          <w:rFonts w:ascii="Calibri" w:hAnsi="Calibri" w:cs="Calibri"/>
        </w:rPr>
        <w:t xml:space="preserve">, T. J., Olden, J. D., Ormerod, S. J., </w:t>
      </w:r>
      <w:proofErr w:type="spellStart"/>
      <w:r w:rsidRPr="00EB2480">
        <w:rPr>
          <w:rFonts w:ascii="Calibri" w:hAnsi="Calibri" w:cs="Calibri"/>
        </w:rPr>
        <w:t>Smol</w:t>
      </w:r>
      <w:proofErr w:type="spellEnd"/>
      <w:r w:rsidRPr="00EB2480">
        <w:rPr>
          <w:rFonts w:ascii="Calibri" w:hAnsi="Calibri" w:cs="Calibri"/>
        </w:rPr>
        <w:t xml:space="preserve">, J. P., Taylor, W. W., </w:t>
      </w:r>
      <w:proofErr w:type="spellStart"/>
      <w:r w:rsidRPr="00EB2480">
        <w:rPr>
          <w:rFonts w:ascii="Calibri" w:hAnsi="Calibri" w:cs="Calibri"/>
        </w:rPr>
        <w:t>Tockner</w:t>
      </w:r>
      <w:proofErr w:type="spellEnd"/>
      <w:r w:rsidRPr="00EB2480">
        <w:rPr>
          <w:rFonts w:ascii="Calibri" w:hAnsi="Calibri" w:cs="Calibri"/>
        </w:rPr>
        <w:t xml:space="preserve">, K., </w:t>
      </w:r>
      <w:proofErr w:type="spellStart"/>
      <w:r w:rsidRPr="00EB2480">
        <w:rPr>
          <w:rFonts w:ascii="Calibri" w:hAnsi="Calibri" w:cs="Calibri"/>
        </w:rPr>
        <w:t>Vermaire</w:t>
      </w:r>
      <w:proofErr w:type="spellEnd"/>
      <w:r w:rsidRPr="00EB2480">
        <w:rPr>
          <w:rFonts w:ascii="Calibri" w:hAnsi="Calibri" w:cs="Calibri"/>
        </w:rPr>
        <w:t xml:space="preserve">, J. C., Dudgeon, D., &amp; Cooke, S. J. (2019). Emerging threats and persistent conservation challenges for freshwater biodiversity. </w:t>
      </w:r>
      <w:r w:rsidRPr="00EB2480">
        <w:rPr>
          <w:rFonts w:ascii="Calibri" w:hAnsi="Calibri" w:cs="Calibri"/>
          <w:i/>
          <w:iCs/>
        </w:rPr>
        <w:t>Biological Reviews</w:t>
      </w:r>
      <w:r w:rsidRPr="00EB2480">
        <w:rPr>
          <w:rFonts w:ascii="Calibri" w:hAnsi="Calibri" w:cs="Calibri"/>
        </w:rPr>
        <w:t xml:space="preserve">, </w:t>
      </w:r>
      <w:r w:rsidRPr="00EB2480">
        <w:rPr>
          <w:rFonts w:ascii="Calibri" w:hAnsi="Calibri" w:cs="Calibri"/>
          <w:i/>
          <w:iCs/>
        </w:rPr>
        <w:t>94</w:t>
      </w:r>
      <w:r w:rsidRPr="00EB2480">
        <w:rPr>
          <w:rFonts w:ascii="Calibri" w:hAnsi="Calibri" w:cs="Calibri"/>
        </w:rPr>
        <w:t>(3), 849–873. https://doi.org/10.1111/brv.12480</w:t>
      </w:r>
    </w:p>
    <w:p w14:paraId="47924E62" w14:textId="77777777" w:rsidR="00EB2480" w:rsidRPr="00EB2480" w:rsidRDefault="00EB2480" w:rsidP="00EB2480">
      <w:pPr>
        <w:pStyle w:val="Bibliography"/>
        <w:rPr>
          <w:rFonts w:ascii="Calibri" w:hAnsi="Calibri" w:cs="Calibri"/>
        </w:rPr>
      </w:pPr>
      <w:proofErr w:type="spellStart"/>
      <w:r w:rsidRPr="00EB2480">
        <w:rPr>
          <w:rFonts w:ascii="Calibri" w:hAnsi="Calibri" w:cs="Calibri"/>
        </w:rPr>
        <w:t>Reiners</w:t>
      </w:r>
      <w:proofErr w:type="spellEnd"/>
      <w:r w:rsidRPr="00EB2480">
        <w:rPr>
          <w:rFonts w:ascii="Calibri" w:hAnsi="Calibri" w:cs="Calibri"/>
        </w:rPr>
        <w:t xml:space="preserve">, W. A. (1986). Complementary Models for Ecosystems. </w:t>
      </w:r>
      <w:r w:rsidRPr="00EB2480">
        <w:rPr>
          <w:rFonts w:ascii="Calibri" w:hAnsi="Calibri" w:cs="Calibri"/>
          <w:i/>
          <w:iCs/>
        </w:rPr>
        <w:t>Https://Doi.Org/10.1086/284467</w:t>
      </w:r>
      <w:r w:rsidRPr="00EB2480">
        <w:rPr>
          <w:rFonts w:ascii="Calibri" w:hAnsi="Calibri" w:cs="Calibri"/>
        </w:rPr>
        <w:t xml:space="preserve">, </w:t>
      </w:r>
      <w:r w:rsidRPr="00EB2480">
        <w:rPr>
          <w:rFonts w:ascii="Calibri" w:hAnsi="Calibri" w:cs="Calibri"/>
          <w:i/>
          <w:iCs/>
        </w:rPr>
        <w:t>127</w:t>
      </w:r>
      <w:r w:rsidRPr="00EB2480">
        <w:rPr>
          <w:rFonts w:ascii="Calibri" w:hAnsi="Calibri" w:cs="Calibri"/>
        </w:rPr>
        <w:t>(1), 59–73. https://doi.org/10.1086/284467</w:t>
      </w:r>
    </w:p>
    <w:p w14:paraId="52D5D9F8" w14:textId="77777777" w:rsidR="00EB2480" w:rsidRPr="00EB2480" w:rsidRDefault="00EB2480" w:rsidP="00EB2480">
      <w:pPr>
        <w:pStyle w:val="Bibliography"/>
        <w:rPr>
          <w:rFonts w:ascii="Calibri" w:hAnsi="Calibri" w:cs="Calibri"/>
        </w:rPr>
      </w:pPr>
      <w:r w:rsidRPr="00EB2480">
        <w:rPr>
          <w:rFonts w:ascii="Calibri" w:hAnsi="Calibri" w:cs="Calibri"/>
        </w:rPr>
        <w:t xml:space="preserve">Rhee, G. ‐Y, &amp; Gotham, I. J. (1980). OPTIMUM N:P RATIOS AND COEXISTENCE OF PLANKTONIC ALGAE1. </w:t>
      </w:r>
      <w:r w:rsidRPr="00EB2480">
        <w:rPr>
          <w:rFonts w:ascii="Calibri" w:hAnsi="Calibri" w:cs="Calibri"/>
          <w:i/>
          <w:iCs/>
        </w:rPr>
        <w:t>Journal of Phycology</w:t>
      </w:r>
      <w:r w:rsidRPr="00EB2480">
        <w:rPr>
          <w:rFonts w:ascii="Calibri" w:hAnsi="Calibri" w:cs="Calibri"/>
        </w:rPr>
        <w:t xml:space="preserve">, </w:t>
      </w:r>
      <w:r w:rsidRPr="00EB2480">
        <w:rPr>
          <w:rFonts w:ascii="Calibri" w:hAnsi="Calibri" w:cs="Calibri"/>
          <w:i/>
          <w:iCs/>
        </w:rPr>
        <w:t>16</w:t>
      </w:r>
      <w:r w:rsidRPr="00EB2480">
        <w:rPr>
          <w:rFonts w:ascii="Calibri" w:hAnsi="Calibri" w:cs="Calibri"/>
        </w:rPr>
        <w:t>(4), 486–489. https://doi.org/10.1111/J.1529-8817.1980.TB03065.X</w:t>
      </w:r>
    </w:p>
    <w:p w14:paraId="7117ED29" w14:textId="77777777" w:rsidR="00EB2480" w:rsidRPr="00EB2480" w:rsidRDefault="00EB2480" w:rsidP="00EB2480">
      <w:pPr>
        <w:pStyle w:val="Bibliography"/>
        <w:rPr>
          <w:rFonts w:ascii="Calibri" w:hAnsi="Calibri" w:cs="Calibri"/>
        </w:rPr>
      </w:pPr>
      <w:r w:rsidRPr="00EB2480">
        <w:rPr>
          <w:rFonts w:ascii="Calibri" w:hAnsi="Calibri" w:cs="Calibri"/>
        </w:rPr>
        <w:t xml:space="preserve">Sinha, E., Michalak, A. M., &amp; Balaji, V. (2017). Eutrophication will increase during the 21st century </w:t>
      </w:r>
      <w:proofErr w:type="gramStart"/>
      <w:r w:rsidRPr="00EB2480">
        <w:rPr>
          <w:rFonts w:ascii="Calibri" w:hAnsi="Calibri" w:cs="Calibri"/>
        </w:rPr>
        <w:t>as a result of</w:t>
      </w:r>
      <w:proofErr w:type="gramEnd"/>
      <w:r w:rsidRPr="00EB2480">
        <w:rPr>
          <w:rFonts w:ascii="Calibri" w:hAnsi="Calibri" w:cs="Calibri"/>
        </w:rPr>
        <w:t xml:space="preserve"> precipitation changes. </w:t>
      </w:r>
      <w:r w:rsidRPr="00EB2480">
        <w:rPr>
          <w:rFonts w:ascii="Calibri" w:hAnsi="Calibri" w:cs="Calibri"/>
          <w:i/>
          <w:iCs/>
        </w:rPr>
        <w:t>Science</w:t>
      </w:r>
      <w:r w:rsidRPr="00EB2480">
        <w:rPr>
          <w:rFonts w:ascii="Calibri" w:hAnsi="Calibri" w:cs="Calibri"/>
        </w:rPr>
        <w:t xml:space="preserve">, </w:t>
      </w:r>
      <w:r w:rsidRPr="00EB2480">
        <w:rPr>
          <w:rFonts w:ascii="Calibri" w:hAnsi="Calibri" w:cs="Calibri"/>
          <w:i/>
          <w:iCs/>
        </w:rPr>
        <w:t>357</w:t>
      </w:r>
      <w:r w:rsidRPr="00EB2480">
        <w:rPr>
          <w:rFonts w:ascii="Calibri" w:hAnsi="Calibri" w:cs="Calibri"/>
        </w:rPr>
        <w:t>(6349), 405–408. https://doi.org/10.1126/science.aan2409</w:t>
      </w:r>
    </w:p>
    <w:p w14:paraId="3DF23794" w14:textId="77777777" w:rsidR="00EB2480" w:rsidRPr="00EB2480" w:rsidRDefault="00EB2480" w:rsidP="00EB2480">
      <w:pPr>
        <w:pStyle w:val="Bibliography"/>
        <w:rPr>
          <w:rFonts w:ascii="Calibri" w:hAnsi="Calibri" w:cs="Calibri"/>
        </w:rPr>
      </w:pPr>
      <w:r w:rsidRPr="00EB2480">
        <w:rPr>
          <w:rFonts w:ascii="Calibri" w:hAnsi="Calibri" w:cs="Calibri"/>
        </w:rPr>
        <w:t xml:space="preserve">Smith, V. H., &amp; Schindler, D. W. (2009). Eutrophication science: Where do we go from here? </w:t>
      </w:r>
      <w:r w:rsidRPr="00EB2480">
        <w:rPr>
          <w:rFonts w:ascii="Calibri" w:hAnsi="Calibri" w:cs="Calibri"/>
          <w:i/>
          <w:iCs/>
        </w:rPr>
        <w:t>Trends in Ecology &amp; Evolution</w:t>
      </w:r>
      <w:r w:rsidRPr="00EB2480">
        <w:rPr>
          <w:rFonts w:ascii="Calibri" w:hAnsi="Calibri" w:cs="Calibri"/>
        </w:rPr>
        <w:t xml:space="preserve">, </w:t>
      </w:r>
      <w:r w:rsidRPr="00EB2480">
        <w:rPr>
          <w:rFonts w:ascii="Calibri" w:hAnsi="Calibri" w:cs="Calibri"/>
          <w:i/>
          <w:iCs/>
        </w:rPr>
        <w:t>24</w:t>
      </w:r>
      <w:r w:rsidRPr="00EB2480">
        <w:rPr>
          <w:rFonts w:ascii="Calibri" w:hAnsi="Calibri" w:cs="Calibri"/>
        </w:rPr>
        <w:t>(4), 201–207. https://doi.org/10.1016/J.TREE.2008.11.009</w:t>
      </w:r>
    </w:p>
    <w:p w14:paraId="104B0202" w14:textId="77777777" w:rsidR="00EB2480" w:rsidRPr="00EB2480" w:rsidRDefault="00EB2480" w:rsidP="00EB2480">
      <w:pPr>
        <w:pStyle w:val="Bibliography"/>
        <w:rPr>
          <w:rFonts w:ascii="Calibri" w:hAnsi="Calibri" w:cs="Calibri"/>
        </w:rPr>
      </w:pPr>
      <w:r w:rsidRPr="00EB2480">
        <w:rPr>
          <w:rFonts w:ascii="Calibri" w:hAnsi="Calibri" w:cs="Calibri"/>
        </w:rPr>
        <w:lastRenderedPageBreak/>
        <w:t xml:space="preserve">Sterner, R. Warner., &amp; </w:t>
      </w:r>
      <w:proofErr w:type="spellStart"/>
      <w:r w:rsidRPr="00EB2480">
        <w:rPr>
          <w:rFonts w:ascii="Calibri" w:hAnsi="Calibri" w:cs="Calibri"/>
        </w:rPr>
        <w:t>Elser</w:t>
      </w:r>
      <w:proofErr w:type="spellEnd"/>
      <w:r w:rsidRPr="00EB2480">
        <w:rPr>
          <w:rFonts w:ascii="Calibri" w:hAnsi="Calibri" w:cs="Calibri"/>
        </w:rPr>
        <w:t xml:space="preserve">, J. J. (2002). </w:t>
      </w:r>
      <w:r w:rsidRPr="00EB2480">
        <w:rPr>
          <w:rFonts w:ascii="Calibri" w:hAnsi="Calibri" w:cs="Calibri"/>
          <w:i/>
          <w:iCs/>
        </w:rPr>
        <w:t>Ecological stoichiometry: The biology of elements from molecules to the biosphere</w:t>
      </w:r>
      <w:r w:rsidRPr="00EB2480">
        <w:rPr>
          <w:rFonts w:ascii="Calibri" w:hAnsi="Calibri" w:cs="Calibri"/>
        </w:rPr>
        <w:t>.</w:t>
      </w:r>
    </w:p>
    <w:p w14:paraId="2898C704" w14:textId="77777777" w:rsidR="00EB2480" w:rsidRPr="00EB2480" w:rsidRDefault="00EB2480" w:rsidP="00EB2480">
      <w:pPr>
        <w:pStyle w:val="Bibliography"/>
        <w:rPr>
          <w:rFonts w:ascii="Calibri" w:hAnsi="Calibri" w:cs="Calibri"/>
        </w:rPr>
      </w:pPr>
      <w:r w:rsidRPr="00EB2480">
        <w:rPr>
          <w:rFonts w:ascii="Calibri" w:hAnsi="Calibri" w:cs="Calibri"/>
        </w:rPr>
        <w:t xml:space="preserve">Stutter, M. I., Graeber, D., Evans, C. D., Wade, A. J., &amp; Withers, P. J. A. (2018). Balancing macronutrient stoichiometry to alleviate eutrophication. </w:t>
      </w:r>
      <w:r w:rsidRPr="00EB2480">
        <w:rPr>
          <w:rFonts w:ascii="Calibri" w:hAnsi="Calibri" w:cs="Calibri"/>
          <w:i/>
          <w:iCs/>
        </w:rPr>
        <w:t>Science of The Total Environment</w:t>
      </w:r>
      <w:r w:rsidRPr="00EB2480">
        <w:rPr>
          <w:rFonts w:ascii="Calibri" w:hAnsi="Calibri" w:cs="Calibri"/>
        </w:rPr>
        <w:t xml:space="preserve">, </w:t>
      </w:r>
      <w:r w:rsidRPr="00EB2480">
        <w:rPr>
          <w:rFonts w:ascii="Calibri" w:hAnsi="Calibri" w:cs="Calibri"/>
          <w:i/>
          <w:iCs/>
        </w:rPr>
        <w:t>634</w:t>
      </w:r>
      <w:r w:rsidRPr="00EB2480">
        <w:rPr>
          <w:rFonts w:ascii="Calibri" w:hAnsi="Calibri" w:cs="Calibri"/>
        </w:rPr>
        <w:t>, 439–447. https://doi.org/10.1016/J.SCITOTENV.2018.03.298</w:t>
      </w:r>
    </w:p>
    <w:p w14:paraId="0817B874"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(2007a). Survey of the Nation’s Lakes. Field Operations Manual. EPA 841-B-07- 004. </w:t>
      </w:r>
      <w:r w:rsidRPr="00EB2480">
        <w:rPr>
          <w:rFonts w:ascii="Calibri" w:hAnsi="Calibri" w:cs="Calibri"/>
          <w:i/>
          <w:iCs/>
        </w:rPr>
        <w:t>U.S. Environmental Protection Agency, Washington, DC</w:t>
      </w:r>
      <w:r w:rsidRPr="00EB2480">
        <w:rPr>
          <w:rFonts w:ascii="Calibri" w:hAnsi="Calibri" w:cs="Calibri"/>
        </w:rPr>
        <w:t>. https://www.epa.gov/national-aquatic-resource-surveys/national-lakes-assessment-2007-field-operations-manual</w:t>
      </w:r>
    </w:p>
    <w:p w14:paraId="110BDF02"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(2007b). Survey of the Nation’s Lakes: Integrated Quality Assurance Project Plan. EPA/841-B-07-003. </w:t>
      </w:r>
      <w:r w:rsidRPr="00EB2480">
        <w:rPr>
          <w:rFonts w:ascii="Calibri" w:hAnsi="Calibri" w:cs="Calibri"/>
          <w:i/>
          <w:iCs/>
        </w:rPr>
        <w:t>U.S. Environmental Protection Agency, Office of Water and Office of Research and Development, Washington, DC</w:t>
      </w:r>
      <w:r w:rsidRPr="00EB2480">
        <w:rPr>
          <w:rFonts w:ascii="Calibri" w:hAnsi="Calibri" w:cs="Calibri"/>
        </w:rPr>
        <w:t>. https://www.epa.gov/national-aquatic-resource-surveys/national-lakes-assessment-2007-quality-assurance-project-plan</w:t>
      </w:r>
    </w:p>
    <w:p w14:paraId="0F77114B"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(2010). </w:t>
      </w:r>
      <w:r w:rsidRPr="00EB2480">
        <w:rPr>
          <w:rFonts w:ascii="Calibri" w:hAnsi="Calibri" w:cs="Calibri"/>
          <w:i/>
          <w:iCs/>
        </w:rPr>
        <w:t>National Aquatic Resource Surveys. National Lakes Assessment 2007 (data and metadata files)</w:t>
      </w:r>
      <w:r w:rsidRPr="00EB2480">
        <w:rPr>
          <w:rFonts w:ascii="Calibri" w:hAnsi="Calibri" w:cs="Calibri"/>
        </w:rPr>
        <w:t>. Available from U.S. EPA website: http://www.epa.gov/national-aquatic-resource-surveys/data-national-aquatic-resource-surveys</w:t>
      </w:r>
    </w:p>
    <w:p w14:paraId="65DF1B3F"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(2017a). National Lakes Assessment 2017. Field Operations Manual. EPA 841-B-16-002. </w:t>
      </w:r>
      <w:r w:rsidRPr="00EB2480">
        <w:rPr>
          <w:rFonts w:ascii="Calibri" w:hAnsi="Calibri" w:cs="Calibri"/>
          <w:i/>
          <w:iCs/>
        </w:rPr>
        <w:t>U.S. Environmental Protection Agency, Washington, DC</w:t>
      </w:r>
      <w:r w:rsidRPr="00EB2480">
        <w:rPr>
          <w:rFonts w:ascii="Calibri" w:hAnsi="Calibri" w:cs="Calibri"/>
        </w:rPr>
        <w:t>. https://www.epa.gov/national-aquatic-resource-surveys/national-lakes-assessment-2017-field-operations-manual</w:t>
      </w:r>
    </w:p>
    <w:p w14:paraId="3B253826"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(2017b). National Lakes Assessment 2017. Laboratory Operations Manual. V.1.1. EPA 841‐B‐16‐ 004. </w:t>
      </w:r>
      <w:r w:rsidRPr="00EB2480">
        <w:rPr>
          <w:rFonts w:ascii="Calibri" w:hAnsi="Calibri" w:cs="Calibri"/>
          <w:i/>
          <w:iCs/>
        </w:rPr>
        <w:t>U.S. Environmental Protection Agency, Washington, DC</w:t>
      </w:r>
      <w:r w:rsidRPr="00EB2480">
        <w:rPr>
          <w:rFonts w:ascii="Calibri" w:hAnsi="Calibri" w:cs="Calibri"/>
        </w:rPr>
        <w:t>. https://www.epa.gov/national-aquatic-resource-surveys/national-lakes-assessment-2017-laboratory-operations-manual</w:t>
      </w:r>
    </w:p>
    <w:p w14:paraId="1DE7D1BD"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(2022a). </w:t>
      </w:r>
      <w:r w:rsidRPr="00EB2480">
        <w:rPr>
          <w:rFonts w:ascii="Calibri" w:hAnsi="Calibri" w:cs="Calibri"/>
          <w:i/>
          <w:iCs/>
        </w:rPr>
        <w:t>National Aquatic Resource Surveys. National Lakes Assessment 2017 (data and metadata files)</w:t>
      </w:r>
      <w:r w:rsidRPr="00EB2480">
        <w:rPr>
          <w:rFonts w:ascii="Calibri" w:hAnsi="Calibri" w:cs="Calibri"/>
        </w:rPr>
        <w:t>. Available from U.S. EPA website: http://www.epa.gov/national-aquatic-resource-surveys/data-national-aquatic-resource-surveys</w:t>
      </w:r>
    </w:p>
    <w:p w14:paraId="61660185"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(2022b). National Lakes Assessment 2017: Technical Support Document. EPA 841‐R‐22‐001. </w:t>
      </w:r>
      <w:r w:rsidRPr="00EB2480">
        <w:rPr>
          <w:rFonts w:ascii="Calibri" w:hAnsi="Calibri" w:cs="Calibri"/>
          <w:i/>
          <w:iCs/>
        </w:rPr>
        <w:t>U.S. Environmental Protection Agency, Office of Water and Office of Research and Development</w:t>
      </w:r>
      <w:r w:rsidRPr="00EB2480">
        <w:rPr>
          <w:rFonts w:ascii="Calibri" w:hAnsi="Calibri" w:cs="Calibri"/>
        </w:rPr>
        <w:t>. https://www.epa.gov/national-aquatic-resource-surveys/national-lakes-assessment-2017-technical-support-document</w:t>
      </w:r>
    </w:p>
    <w:p w14:paraId="21553E8F" w14:textId="77777777" w:rsidR="00EB2480" w:rsidRPr="00EB2480" w:rsidRDefault="00EB2480" w:rsidP="00EB2480">
      <w:pPr>
        <w:pStyle w:val="Bibliography"/>
        <w:rPr>
          <w:rFonts w:ascii="Calibri" w:hAnsi="Calibri" w:cs="Calibri"/>
        </w:rPr>
      </w:pPr>
      <w:r w:rsidRPr="00EB2480">
        <w:rPr>
          <w:rFonts w:ascii="Calibri" w:hAnsi="Calibri" w:cs="Calibri"/>
        </w:rPr>
        <w:t xml:space="preserve">USEPA, Gibson, G., Carlson, R., Simpson, J., Smeltzer, E., </w:t>
      </w:r>
      <w:proofErr w:type="spellStart"/>
      <w:r w:rsidRPr="00EB2480">
        <w:rPr>
          <w:rFonts w:ascii="Calibri" w:hAnsi="Calibri" w:cs="Calibri"/>
        </w:rPr>
        <w:t>Gerritson</w:t>
      </w:r>
      <w:proofErr w:type="spellEnd"/>
      <w:r w:rsidRPr="00EB2480">
        <w:rPr>
          <w:rFonts w:ascii="Calibri" w:hAnsi="Calibri" w:cs="Calibri"/>
        </w:rPr>
        <w:t xml:space="preserve">, J., </w:t>
      </w:r>
      <w:proofErr w:type="spellStart"/>
      <w:r w:rsidRPr="00EB2480">
        <w:rPr>
          <w:rFonts w:ascii="Calibri" w:hAnsi="Calibri" w:cs="Calibri"/>
        </w:rPr>
        <w:t>Chapra</w:t>
      </w:r>
      <w:proofErr w:type="spellEnd"/>
      <w:r w:rsidRPr="00EB2480">
        <w:rPr>
          <w:rFonts w:ascii="Calibri" w:hAnsi="Calibri" w:cs="Calibri"/>
        </w:rPr>
        <w:t xml:space="preserve">, S., </w:t>
      </w:r>
      <w:proofErr w:type="spellStart"/>
      <w:r w:rsidRPr="00EB2480">
        <w:rPr>
          <w:rFonts w:ascii="Calibri" w:hAnsi="Calibri" w:cs="Calibri"/>
        </w:rPr>
        <w:t>Heiskary</w:t>
      </w:r>
      <w:proofErr w:type="spellEnd"/>
      <w:r w:rsidRPr="00EB2480">
        <w:rPr>
          <w:rFonts w:ascii="Calibri" w:hAnsi="Calibri" w:cs="Calibri"/>
        </w:rPr>
        <w:t xml:space="preserve">, S., Jones, J., &amp; Kennedy, R. (2000). </w:t>
      </w:r>
      <w:r w:rsidRPr="00EB2480">
        <w:rPr>
          <w:rFonts w:ascii="Calibri" w:hAnsi="Calibri" w:cs="Calibri"/>
          <w:i/>
          <w:iCs/>
        </w:rPr>
        <w:t>Nutrient Criteria Technical Guidance Manual Lakes and Reservoirs. EPA-822-B00-001.</w:t>
      </w:r>
      <w:r w:rsidRPr="00EB2480">
        <w:rPr>
          <w:rFonts w:ascii="Calibri" w:hAnsi="Calibri" w:cs="Calibri"/>
        </w:rPr>
        <w:t xml:space="preserve"> 232. https://doi.org/Available from U.S. EPA website: https://www.epa.gov/nutrient-policy-data/nutrient-criteria-development-document-lakes-and-reservoirs</w:t>
      </w:r>
    </w:p>
    <w:p w14:paraId="5E4DB55C" w14:textId="77777777" w:rsidR="00EB2480" w:rsidRPr="00EB2480" w:rsidRDefault="00EB2480" w:rsidP="00EB2480">
      <w:pPr>
        <w:pStyle w:val="Bibliography"/>
        <w:rPr>
          <w:rFonts w:ascii="Calibri" w:hAnsi="Calibri" w:cs="Calibri"/>
        </w:rPr>
      </w:pPr>
      <w:r w:rsidRPr="00EB2480">
        <w:rPr>
          <w:rFonts w:ascii="Calibri" w:hAnsi="Calibri" w:cs="Calibri"/>
        </w:rPr>
        <w:t xml:space="preserve">Wetzel, R. G. (2001). </w:t>
      </w:r>
      <w:r w:rsidRPr="00EB2480">
        <w:rPr>
          <w:rFonts w:ascii="Calibri" w:hAnsi="Calibri" w:cs="Calibri"/>
          <w:i/>
          <w:iCs/>
        </w:rPr>
        <w:t>Limnology</w:t>
      </w:r>
      <w:r w:rsidRPr="00EB2480">
        <w:rPr>
          <w:rFonts w:ascii="Calibri" w:hAnsi="Calibri" w:cs="Calibri"/>
        </w:rPr>
        <w:t>. Academic Press.</w:t>
      </w:r>
    </w:p>
    <w:p w14:paraId="66337A36" w14:textId="77777777" w:rsidR="00EB2480" w:rsidRPr="00EB2480" w:rsidRDefault="00EB2480" w:rsidP="00EB2480">
      <w:pPr>
        <w:pStyle w:val="Bibliography"/>
        <w:rPr>
          <w:rFonts w:ascii="Calibri" w:hAnsi="Calibri" w:cs="Calibri"/>
        </w:rPr>
      </w:pPr>
      <w:r w:rsidRPr="00EB2480">
        <w:rPr>
          <w:rFonts w:ascii="Calibri" w:hAnsi="Calibri" w:cs="Calibri"/>
        </w:rPr>
        <w:t xml:space="preserve">Wickham, H., </w:t>
      </w:r>
      <w:proofErr w:type="spellStart"/>
      <w:r w:rsidRPr="00EB2480">
        <w:rPr>
          <w:rFonts w:ascii="Calibri" w:hAnsi="Calibri" w:cs="Calibri"/>
        </w:rPr>
        <w:t>Averick</w:t>
      </w:r>
      <w:proofErr w:type="spellEnd"/>
      <w:r w:rsidRPr="00EB2480">
        <w:rPr>
          <w:rFonts w:ascii="Calibri" w:hAnsi="Calibri" w:cs="Calibri"/>
        </w:rPr>
        <w:t xml:space="preserve">, M., Bryan, J., Chang, W., McGowan, L. D., François, R., </w:t>
      </w:r>
      <w:proofErr w:type="spellStart"/>
      <w:r w:rsidRPr="00EB2480">
        <w:rPr>
          <w:rFonts w:ascii="Calibri" w:hAnsi="Calibri" w:cs="Calibri"/>
        </w:rPr>
        <w:t>Grolemund</w:t>
      </w:r>
      <w:proofErr w:type="spellEnd"/>
      <w:r w:rsidRPr="00EB2480">
        <w:rPr>
          <w:rFonts w:ascii="Calibri" w:hAnsi="Calibri" w:cs="Calibri"/>
        </w:rPr>
        <w:t xml:space="preserve">, G., Hayes, A., Henry, L., Hester, J., Kuhn, M., Pedersen, T. L., Miller, E., Bache, S. M., Müller, K., </w:t>
      </w:r>
      <w:proofErr w:type="spellStart"/>
      <w:r w:rsidRPr="00EB2480">
        <w:rPr>
          <w:rFonts w:ascii="Calibri" w:hAnsi="Calibri" w:cs="Calibri"/>
        </w:rPr>
        <w:t>Ooms</w:t>
      </w:r>
      <w:proofErr w:type="spellEnd"/>
      <w:r w:rsidRPr="00EB2480">
        <w:rPr>
          <w:rFonts w:ascii="Calibri" w:hAnsi="Calibri" w:cs="Calibri"/>
        </w:rPr>
        <w:t xml:space="preserve">, J., Robinson, D., Seidel, D. P., </w:t>
      </w:r>
      <w:proofErr w:type="spellStart"/>
      <w:r w:rsidRPr="00EB2480">
        <w:rPr>
          <w:rFonts w:ascii="Calibri" w:hAnsi="Calibri" w:cs="Calibri"/>
        </w:rPr>
        <w:t>Spinu</w:t>
      </w:r>
      <w:proofErr w:type="spellEnd"/>
      <w:r w:rsidRPr="00EB2480">
        <w:rPr>
          <w:rFonts w:ascii="Calibri" w:hAnsi="Calibri" w:cs="Calibri"/>
        </w:rPr>
        <w:t xml:space="preserve">, V., … </w:t>
      </w:r>
      <w:proofErr w:type="spellStart"/>
      <w:r w:rsidRPr="00EB2480">
        <w:rPr>
          <w:rFonts w:ascii="Calibri" w:hAnsi="Calibri" w:cs="Calibri"/>
        </w:rPr>
        <w:t>Yutani</w:t>
      </w:r>
      <w:proofErr w:type="spellEnd"/>
      <w:r w:rsidRPr="00EB2480">
        <w:rPr>
          <w:rFonts w:ascii="Calibri" w:hAnsi="Calibri" w:cs="Calibri"/>
        </w:rPr>
        <w:t xml:space="preserve">, H. (2019). Welcome to the </w:t>
      </w:r>
      <w:proofErr w:type="spellStart"/>
      <w:r w:rsidRPr="00EB2480">
        <w:rPr>
          <w:rFonts w:ascii="Calibri" w:hAnsi="Calibri" w:cs="Calibri"/>
        </w:rPr>
        <w:t>tidyverse</w:t>
      </w:r>
      <w:proofErr w:type="spellEnd"/>
      <w:r w:rsidRPr="00EB2480">
        <w:rPr>
          <w:rFonts w:ascii="Calibri" w:hAnsi="Calibri" w:cs="Calibri"/>
        </w:rPr>
        <w:t xml:space="preserve">. </w:t>
      </w:r>
      <w:r w:rsidRPr="00EB2480">
        <w:rPr>
          <w:rFonts w:ascii="Calibri" w:hAnsi="Calibri" w:cs="Calibri"/>
          <w:i/>
          <w:iCs/>
        </w:rPr>
        <w:t xml:space="preserve">Journal of </w:t>
      </w:r>
      <w:proofErr w:type="gramStart"/>
      <w:r w:rsidRPr="00EB2480">
        <w:rPr>
          <w:rFonts w:ascii="Calibri" w:hAnsi="Calibri" w:cs="Calibri"/>
          <w:i/>
          <w:iCs/>
        </w:rPr>
        <w:t>Open Source</w:t>
      </w:r>
      <w:proofErr w:type="gramEnd"/>
      <w:r w:rsidRPr="00EB2480">
        <w:rPr>
          <w:rFonts w:ascii="Calibri" w:hAnsi="Calibri" w:cs="Calibri"/>
          <w:i/>
          <w:iCs/>
        </w:rPr>
        <w:t xml:space="preserve"> Software</w:t>
      </w:r>
      <w:r w:rsidRPr="00EB2480">
        <w:rPr>
          <w:rFonts w:ascii="Calibri" w:hAnsi="Calibri" w:cs="Calibri"/>
        </w:rPr>
        <w:t xml:space="preserve">, </w:t>
      </w:r>
      <w:r w:rsidRPr="00EB2480">
        <w:rPr>
          <w:rFonts w:ascii="Calibri" w:hAnsi="Calibri" w:cs="Calibri"/>
          <w:i/>
          <w:iCs/>
        </w:rPr>
        <w:t>4</w:t>
      </w:r>
      <w:r w:rsidRPr="00EB2480">
        <w:rPr>
          <w:rFonts w:ascii="Calibri" w:hAnsi="Calibri" w:cs="Calibri"/>
        </w:rPr>
        <w:t>(43), 1686. https://doi.org/10.21105/joss.01686</w:t>
      </w:r>
    </w:p>
    <w:p w14:paraId="5FE46A1E" w14:textId="77777777" w:rsidR="00EB2480" w:rsidRPr="00EB2480" w:rsidRDefault="00EB2480" w:rsidP="00EB2480">
      <w:pPr>
        <w:pStyle w:val="Bibliography"/>
        <w:rPr>
          <w:rFonts w:ascii="Calibri" w:hAnsi="Calibri" w:cs="Calibri"/>
        </w:rPr>
      </w:pPr>
      <w:r w:rsidRPr="00EB2480">
        <w:rPr>
          <w:rFonts w:ascii="Calibri" w:hAnsi="Calibri" w:cs="Calibri"/>
        </w:rPr>
        <w:t xml:space="preserve">Yao, X., Zhang, Y., Zhang, L., &amp; Zhou, Y. (2018). A bibliometric review of nitrogen research in eutrophic lakes and reservoirs. </w:t>
      </w:r>
      <w:r w:rsidRPr="00EB2480">
        <w:rPr>
          <w:rFonts w:ascii="Calibri" w:hAnsi="Calibri" w:cs="Calibri"/>
          <w:i/>
          <w:iCs/>
        </w:rPr>
        <w:t>Journal of Environmental Sciences</w:t>
      </w:r>
      <w:r w:rsidRPr="00EB2480">
        <w:rPr>
          <w:rFonts w:ascii="Calibri" w:hAnsi="Calibri" w:cs="Calibri"/>
        </w:rPr>
        <w:t xml:space="preserve">, </w:t>
      </w:r>
      <w:r w:rsidRPr="00EB2480">
        <w:rPr>
          <w:rFonts w:ascii="Calibri" w:hAnsi="Calibri" w:cs="Calibri"/>
          <w:i/>
          <w:iCs/>
        </w:rPr>
        <w:t>66</w:t>
      </w:r>
      <w:r w:rsidRPr="00EB2480">
        <w:rPr>
          <w:rFonts w:ascii="Calibri" w:hAnsi="Calibri" w:cs="Calibri"/>
        </w:rPr>
        <w:t>, 274–285. https://doi.org/10.1016/j.jes.2016.10.022</w:t>
      </w:r>
    </w:p>
    <w:p w14:paraId="64C69534" w14:textId="1981A685" w:rsidR="008D547F" w:rsidRDefault="00A10F84" w:rsidP="008D547F">
      <w:r>
        <w:fldChar w:fldCharType="end"/>
      </w:r>
    </w:p>
    <w:p w14:paraId="1DDDFC3C" w14:textId="6208DE73" w:rsidR="00F01B93" w:rsidRDefault="00F01B93" w:rsidP="00F01B93">
      <w:pPr>
        <w:pStyle w:val="Heading1"/>
      </w:pPr>
      <w:r>
        <w:t>Figures and Tables</w:t>
      </w:r>
    </w:p>
    <w:p w14:paraId="094ABED8" w14:textId="7E11C878" w:rsidR="00F01B93" w:rsidRPr="00F01B93" w:rsidRDefault="00F01B93" w:rsidP="00F01B93"/>
    <w:p w14:paraId="43910F1B" w14:textId="5D560887" w:rsidR="00F01B93" w:rsidRDefault="00F01B93" w:rsidP="001968F8">
      <w:r>
        <w:rPr>
          <w:noProof/>
        </w:rPr>
        <w:lastRenderedPageBreak/>
        <w:drawing>
          <wp:anchor distT="0" distB="0" distL="114300" distR="114300" simplePos="0" relativeHeight="251659264" behindDoc="1" locked="0" layoutInCell="1" allowOverlap="1" wp14:anchorId="70342894" wp14:editId="489206EC">
            <wp:simplePos x="0" y="0"/>
            <wp:positionH relativeFrom="margin">
              <wp:align>left</wp:align>
            </wp:positionH>
            <wp:positionV relativeFrom="paragraph">
              <wp:posOffset>3175</wp:posOffset>
            </wp:positionV>
            <wp:extent cx="5848350" cy="4111625"/>
            <wp:effectExtent l="0" t="0" r="0" b="3175"/>
            <wp:wrapTight wrapText="bothSides">
              <wp:wrapPolygon edited="0">
                <wp:start x="0" y="0"/>
                <wp:lineTo x="0" y="21517"/>
                <wp:lineTo x="21530" y="2151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48350" cy="411162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323AD79F" wp14:editId="1938CA8A">
            <wp:simplePos x="0" y="0"/>
            <wp:positionH relativeFrom="margin">
              <wp:align>right</wp:align>
            </wp:positionH>
            <wp:positionV relativeFrom="paragraph">
              <wp:posOffset>4112260</wp:posOffset>
            </wp:positionV>
            <wp:extent cx="5943600" cy="4114165"/>
            <wp:effectExtent l="0" t="0" r="0" b="0"/>
            <wp:wrapTight wrapText="bothSides">
              <wp:wrapPolygon edited="0">
                <wp:start x="2077" y="2500"/>
                <wp:lineTo x="762" y="4301"/>
                <wp:lineTo x="762" y="4601"/>
                <wp:lineTo x="2285" y="5901"/>
                <wp:lineTo x="2631" y="5901"/>
                <wp:lineTo x="762" y="6701"/>
                <wp:lineTo x="762" y="7201"/>
                <wp:lineTo x="2492" y="7701"/>
                <wp:lineTo x="2700" y="9101"/>
                <wp:lineTo x="762" y="9101"/>
                <wp:lineTo x="762" y="9701"/>
                <wp:lineTo x="2908" y="10702"/>
                <wp:lineTo x="762" y="11602"/>
                <wp:lineTo x="762" y="12202"/>
                <wp:lineTo x="2631" y="12302"/>
                <wp:lineTo x="2285" y="13902"/>
                <wp:lineTo x="762" y="13902"/>
                <wp:lineTo x="762" y="14502"/>
                <wp:lineTo x="2077" y="15502"/>
                <wp:lineTo x="1385" y="16603"/>
                <wp:lineTo x="1592" y="17003"/>
                <wp:lineTo x="10800" y="17103"/>
                <wp:lineTo x="69" y="18103"/>
                <wp:lineTo x="69" y="18703"/>
                <wp:lineTo x="415" y="19003"/>
                <wp:lineTo x="17100" y="19003"/>
                <wp:lineTo x="17862" y="18703"/>
                <wp:lineTo x="17931" y="18403"/>
                <wp:lineTo x="16962" y="18103"/>
                <wp:lineTo x="10800" y="17103"/>
                <wp:lineTo x="14815" y="17003"/>
                <wp:lineTo x="15092" y="16703"/>
                <wp:lineTo x="14469" y="15502"/>
                <wp:lineTo x="16823" y="14502"/>
                <wp:lineTo x="16823" y="14202"/>
                <wp:lineTo x="14331" y="13902"/>
                <wp:lineTo x="16269" y="12302"/>
                <wp:lineTo x="16962" y="12302"/>
                <wp:lineTo x="19177" y="11102"/>
                <wp:lineTo x="19315" y="9601"/>
                <wp:lineTo x="18415" y="9101"/>
                <wp:lineTo x="20146" y="9101"/>
                <wp:lineTo x="21185" y="8801"/>
                <wp:lineTo x="21115" y="7501"/>
                <wp:lineTo x="15646" y="5901"/>
                <wp:lineTo x="16754" y="4801"/>
                <wp:lineTo x="16823" y="4501"/>
                <wp:lineTo x="15923" y="4301"/>
                <wp:lineTo x="15715" y="2500"/>
                <wp:lineTo x="2077" y="25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081346F5" w14:textId="25206A72" w:rsidR="001968F8" w:rsidRDefault="001968F8" w:rsidP="001968F8"/>
    <w:p w14:paraId="67A061AA" w14:textId="45D2EF03" w:rsidR="00F01B93" w:rsidRDefault="00F01B93" w:rsidP="001968F8"/>
    <w:p w14:paraId="48282DB7" w14:textId="486EA756" w:rsidR="00F01B93" w:rsidRDefault="00F01B93" w:rsidP="001968F8"/>
    <w:p w14:paraId="5816709F" w14:textId="6FEB708E" w:rsidR="00F01B93" w:rsidRDefault="00F01B93" w:rsidP="001968F8"/>
    <w:p w14:paraId="3649EDE6" w14:textId="4D386333" w:rsidR="00F01B93" w:rsidRDefault="00F01B93" w:rsidP="001968F8"/>
    <w:p w14:paraId="074282C8" w14:textId="1D9FF1AC" w:rsidR="00F01B93" w:rsidRDefault="00F01B93" w:rsidP="001968F8"/>
    <w:p w14:paraId="1C07241C" w14:textId="59010ABB" w:rsidR="00F01B93" w:rsidRDefault="00F01B93" w:rsidP="001968F8"/>
    <w:p w14:paraId="1805897E" w14:textId="27786D48" w:rsidR="00F01B93" w:rsidRDefault="00F01B93" w:rsidP="001968F8"/>
    <w:p w14:paraId="52053A13" w14:textId="2D91B95B" w:rsidR="00F01B93" w:rsidRDefault="00F01B93" w:rsidP="001968F8"/>
    <w:p w14:paraId="4A80925A" w14:textId="417B6CAC" w:rsidR="00F01B93" w:rsidRDefault="00F01B93" w:rsidP="001968F8"/>
    <w:p w14:paraId="3704E47E" w14:textId="51BE7FBA" w:rsidR="00F01B93" w:rsidRDefault="00F01B93" w:rsidP="001968F8"/>
    <w:p w14:paraId="1436E721" w14:textId="194D8753" w:rsidR="00F01B93" w:rsidRDefault="00F01B93" w:rsidP="001968F8"/>
    <w:p w14:paraId="4E4D46AE" w14:textId="3B3E3453" w:rsidR="00F01B93" w:rsidRDefault="00F01B93" w:rsidP="001968F8">
      <w:r>
        <w:rPr>
          <w:noProof/>
        </w:rPr>
        <w:lastRenderedPageBreak/>
        <w:drawing>
          <wp:anchor distT="0" distB="0" distL="114300" distR="114300" simplePos="0" relativeHeight="251661312" behindDoc="1" locked="0" layoutInCell="1" allowOverlap="1" wp14:anchorId="27683497" wp14:editId="71702F90">
            <wp:simplePos x="0" y="0"/>
            <wp:positionH relativeFrom="margin">
              <wp:align>right</wp:align>
            </wp:positionH>
            <wp:positionV relativeFrom="paragraph">
              <wp:posOffset>0</wp:posOffset>
            </wp:positionV>
            <wp:extent cx="5943600" cy="4114800"/>
            <wp:effectExtent l="0" t="0" r="0" b="0"/>
            <wp:wrapTight wrapText="bothSides">
              <wp:wrapPolygon edited="0">
                <wp:start x="2492" y="100"/>
                <wp:lineTo x="1592" y="1300"/>
                <wp:lineTo x="1592" y="1400"/>
                <wp:lineTo x="2492" y="1900"/>
                <wp:lineTo x="1108" y="3500"/>
                <wp:lineTo x="1108" y="3700"/>
                <wp:lineTo x="2354" y="5100"/>
                <wp:lineTo x="623" y="6100"/>
                <wp:lineTo x="69" y="6500"/>
                <wp:lineTo x="208" y="12000"/>
                <wp:lineTo x="1800" y="13100"/>
                <wp:lineTo x="2492" y="13100"/>
                <wp:lineTo x="1592" y="14500"/>
                <wp:lineTo x="1592" y="14700"/>
                <wp:lineTo x="2492" y="14700"/>
                <wp:lineTo x="2008" y="16300"/>
                <wp:lineTo x="1038" y="16500"/>
                <wp:lineTo x="1108" y="17100"/>
                <wp:lineTo x="3738" y="17900"/>
                <wp:lineTo x="3738" y="18300"/>
                <wp:lineTo x="6508" y="19500"/>
                <wp:lineTo x="7338" y="19500"/>
                <wp:lineTo x="69" y="19900"/>
                <wp:lineTo x="138" y="21300"/>
                <wp:lineTo x="10938" y="21300"/>
                <wp:lineTo x="10938" y="21100"/>
                <wp:lineTo x="21531" y="20600"/>
                <wp:lineTo x="21531" y="19900"/>
                <wp:lineTo x="10385" y="19500"/>
                <wp:lineTo x="11492" y="19500"/>
                <wp:lineTo x="15023" y="18300"/>
                <wp:lineTo x="14954" y="17900"/>
                <wp:lineTo x="15577" y="16900"/>
                <wp:lineTo x="15577" y="16500"/>
                <wp:lineTo x="14954" y="16300"/>
                <wp:lineTo x="14954" y="14700"/>
                <wp:lineTo x="15577" y="14700"/>
                <wp:lineTo x="15577" y="14300"/>
                <wp:lineTo x="14954" y="13100"/>
                <wp:lineTo x="15577" y="12700"/>
                <wp:lineTo x="15577" y="12300"/>
                <wp:lineTo x="14954" y="11500"/>
                <wp:lineTo x="19385" y="10900"/>
                <wp:lineTo x="19385" y="10300"/>
                <wp:lineTo x="14954" y="9900"/>
                <wp:lineTo x="18762" y="9900"/>
                <wp:lineTo x="21254" y="9300"/>
                <wp:lineTo x="21323" y="8100"/>
                <wp:lineTo x="14954" y="6700"/>
                <wp:lineTo x="15577" y="6100"/>
                <wp:lineTo x="15577" y="5700"/>
                <wp:lineTo x="15023" y="5100"/>
                <wp:lineTo x="15646" y="3500"/>
                <wp:lineTo x="14954" y="1900"/>
                <wp:lineTo x="15577" y="1800"/>
                <wp:lineTo x="15577" y="1300"/>
                <wp:lineTo x="14954" y="100"/>
                <wp:lineTo x="2492" y="1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6C3AE9E7" w14:textId="77777777" w:rsidR="00F01B93" w:rsidRDefault="00F01B93" w:rsidP="001968F8"/>
    <w:p w14:paraId="591290DF" w14:textId="77777777" w:rsidR="00F01B93" w:rsidRDefault="00F01B93" w:rsidP="001968F8"/>
    <w:p w14:paraId="6E645071" w14:textId="77777777" w:rsidR="00F01B93" w:rsidRDefault="00F01B93" w:rsidP="001968F8"/>
    <w:p w14:paraId="4E803D9C" w14:textId="77777777" w:rsidR="00F01B93" w:rsidRDefault="00F01B93" w:rsidP="001968F8"/>
    <w:p w14:paraId="2A790BF2" w14:textId="77777777" w:rsidR="00F01B93" w:rsidRDefault="00F01B93" w:rsidP="001968F8"/>
    <w:p w14:paraId="2DEE7286" w14:textId="77777777" w:rsidR="00F01B93" w:rsidRDefault="00F01B93" w:rsidP="001968F8"/>
    <w:p w14:paraId="00CCEF01" w14:textId="77777777" w:rsidR="00F01B93" w:rsidRDefault="00F01B93" w:rsidP="001968F8"/>
    <w:p w14:paraId="15027A5F" w14:textId="77777777" w:rsidR="00F01B93" w:rsidRDefault="00F01B93" w:rsidP="001968F8"/>
    <w:p w14:paraId="4FEEB0C0" w14:textId="77777777" w:rsidR="00F01B93" w:rsidRDefault="00F01B93" w:rsidP="001968F8"/>
    <w:p w14:paraId="70A4ABFE" w14:textId="238B6EB7" w:rsidR="00F01B93" w:rsidRDefault="00F01B93" w:rsidP="001968F8">
      <w:r>
        <w:rPr>
          <w:noProof/>
        </w:rPr>
        <w:drawing>
          <wp:anchor distT="0" distB="0" distL="114300" distR="114300" simplePos="0" relativeHeight="251660288" behindDoc="1" locked="0" layoutInCell="1" allowOverlap="1" wp14:anchorId="2A32C2ED" wp14:editId="12A0E391">
            <wp:simplePos x="0" y="0"/>
            <wp:positionH relativeFrom="margin">
              <wp:align>right</wp:align>
            </wp:positionH>
            <wp:positionV relativeFrom="paragraph">
              <wp:posOffset>734060</wp:posOffset>
            </wp:positionV>
            <wp:extent cx="5943600" cy="4114800"/>
            <wp:effectExtent l="0" t="0" r="0" b="0"/>
            <wp:wrapTight wrapText="bothSides">
              <wp:wrapPolygon edited="0">
                <wp:start x="0" y="0"/>
                <wp:lineTo x="0" y="21500"/>
                <wp:lineTo x="21531" y="2150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25E6577D" w14:textId="64CA0CD7" w:rsidR="00F01B93" w:rsidRDefault="00F01B93" w:rsidP="001968F8">
      <w:r>
        <w:rPr>
          <w:noProof/>
        </w:rPr>
        <w:lastRenderedPageBreak/>
        <w:drawing>
          <wp:inline distT="0" distB="0" distL="0" distR="0" wp14:anchorId="0DA84A90" wp14:editId="20C94789">
            <wp:extent cx="5943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B59003C" w14:textId="7EA9E086" w:rsidR="00F01B93" w:rsidRDefault="00F01B93" w:rsidP="001968F8"/>
    <w:p w14:paraId="2193EF36" w14:textId="2B273679" w:rsidR="00F01B93" w:rsidRDefault="00F01B93" w:rsidP="001968F8">
      <w:r>
        <w:rPr>
          <w:noProof/>
        </w:rPr>
        <w:lastRenderedPageBreak/>
        <w:drawing>
          <wp:inline distT="0" distB="0" distL="0" distR="0" wp14:anchorId="1CD82740" wp14:editId="26C9EA1E">
            <wp:extent cx="594360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70733832" w14:textId="0C98E03B" w:rsidR="00F01B93" w:rsidRDefault="00F01B93" w:rsidP="001968F8"/>
    <w:p w14:paraId="1D749851" w14:textId="49CCAEC1" w:rsidR="00F01B93" w:rsidRDefault="00F01B93" w:rsidP="001968F8">
      <w:r>
        <w:rPr>
          <w:noProof/>
        </w:rPr>
        <w:lastRenderedPageBreak/>
        <w:drawing>
          <wp:inline distT="0" distB="0" distL="0" distR="0" wp14:anchorId="17003F68" wp14:editId="256FB703">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6245E03" w14:textId="77777777" w:rsidR="00EE2ACD" w:rsidRDefault="00EE2ACD">
      <w:pPr>
        <w:sectPr w:rsidR="00EE2ACD">
          <w:pgSz w:w="12240" w:h="15840"/>
          <w:pgMar w:top="1440" w:right="1440" w:bottom="1440" w:left="1440" w:header="720" w:footer="720" w:gutter="0"/>
          <w:cols w:space="720"/>
          <w:docGrid w:linePitch="360"/>
        </w:sectPr>
      </w:pPr>
    </w:p>
    <w:p w14:paraId="41BF0E71" w14:textId="04B674BA" w:rsidR="00AC03F2" w:rsidRDefault="00AC03F2"/>
    <w:p w14:paraId="777EF64B" w14:textId="77777777" w:rsidR="00F01B93" w:rsidRDefault="00F01B93" w:rsidP="001968F8"/>
    <w:p w14:paraId="78793FC4" w14:textId="5158B0FC"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4050" w:type="dxa"/>
        <w:tblInd w:w="-1095" w:type="dxa"/>
        <w:tblLook w:val="04A0" w:firstRow="1" w:lastRow="0" w:firstColumn="1" w:lastColumn="0" w:noHBand="0" w:noVBand="1"/>
      </w:tblPr>
      <w:tblGrid>
        <w:gridCol w:w="1443"/>
        <w:gridCol w:w="744"/>
        <w:gridCol w:w="716"/>
        <w:gridCol w:w="908"/>
        <w:gridCol w:w="744"/>
        <w:gridCol w:w="786"/>
        <w:gridCol w:w="663"/>
        <w:gridCol w:w="764"/>
        <w:gridCol w:w="830"/>
        <w:gridCol w:w="749"/>
        <w:gridCol w:w="733"/>
        <w:gridCol w:w="870"/>
        <w:gridCol w:w="744"/>
        <w:gridCol w:w="839"/>
        <w:gridCol w:w="839"/>
        <w:gridCol w:w="839"/>
        <w:gridCol w:w="839"/>
      </w:tblGrid>
      <w:tr w:rsidR="00A470ED" w:rsidRPr="00EE2ACD" w14:paraId="10BE84CD" w14:textId="77777777" w:rsidTr="00A470ED">
        <w:trPr>
          <w:cnfStyle w:val="100000000000" w:firstRow="1" w:lastRow="0" w:firstColumn="0" w:lastColumn="0" w:oddVBand="0" w:evenVBand="0" w:oddHBand="0" w:evenHBand="0" w:firstRowFirstColumn="0" w:firstRowLastColumn="0" w:lastRowFirstColumn="0" w:lastRowLastColumn="0"/>
          <w:trHeight w:val="980"/>
        </w:trPr>
        <w:tc>
          <w:tcPr>
            <w:cnfStyle w:val="001000000100" w:firstRow="0" w:lastRow="0" w:firstColumn="1" w:lastColumn="0" w:oddVBand="0" w:evenVBand="0" w:oddHBand="0" w:evenHBand="0" w:firstRowFirstColumn="1" w:firstRowLastColumn="0" w:lastRowFirstColumn="0" w:lastRowLastColumn="0"/>
            <w:tcW w:w="1443" w:type="dxa"/>
            <w:tcBorders>
              <w:bottom w:val="none" w:sz="0" w:space="0" w:color="auto"/>
              <w:right w:val="single" w:sz="4" w:space="0" w:color="auto"/>
            </w:tcBorders>
            <w:noWrap/>
            <w:hideMark/>
          </w:tcPr>
          <w:p w14:paraId="5E028F94" w14:textId="77777777" w:rsidR="00AC03F2" w:rsidRPr="00AC03F2" w:rsidRDefault="00AC03F2" w:rsidP="00AC03F2">
            <w:pPr>
              <w:rPr>
                <w:rFonts w:ascii="Calibri" w:eastAsia="Times New Roman" w:hAnsi="Calibri" w:cs="Calibri"/>
                <w:b/>
                <w:bCs/>
              </w:rPr>
            </w:pPr>
            <w:r w:rsidRPr="00AC03F2">
              <w:rPr>
                <w:rFonts w:ascii="Calibri" w:eastAsia="Times New Roman" w:hAnsi="Calibri" w:cs="Calibri"/>
                <w:b/>
                <w:bCs/>
              </w:rPr>
              <w:t> </w:t>
            </w:r>
          </w:p>
        </w:tc>
        <w:tc>
          <w:tcPr>
            <w:tcW w:w="1460" w:type="dxa"/>
            <w:gridSpan w:val="2"/>
            <w:tcBorders>
              <w:top w:val="single" w:sz="4" w:space="0" w:color="auto"/>
              <w:left w:val="single" w:sz="4" w:space="0" w:color="auto"/>
              <w:bottom w:val="none" w:sz="0" w:space="0" w:color="auto"/>
              <w:right w:val="single" w:sz="4" w:space="0" w:color="auto"/>
            </w:tcBorders>
            <w:hideMark/>
          </w:tcPr>
          <w:p w14:paraId="234B0C24"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DIN:TP molar ratio</w:t>
            </w:r>
          </w:p>
        </w:tc>
        <w:tc>
          <w:tcPr>
            <w:tcW w:w="1652" w:type="dxa"/>
            <w:gridSpan w:val="2"/>
            <w:tcBorders>
              <w:top w:val="single" w:sz="4" w:space="0" w:color="auto"/>
              <w:left w:val="single" w:sz="4" w:space="0" w:color="auto"/>
              <w:bottom w:val="none" w:sz="0" w:space="0" w:color="auto"/>
              <w:right w:val="single" w:sz="4" w:space="0" w:color="auto"/>
            </w:tcBorders>
            <w:hideMark/>
          </w:tcPr>
          <w:p w14:paraId="111D7FB9"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TN:TP molar ratio</w:t>
            </w:r>
          </w:p>
        </w:tc>
        <w:tc>
          <w:tcPr>
            <w:tcW w:w="1449" w:type="dxa"/>
            <w:gridSpan w:val="2"/>
            <w:tcBorders>
              <w:top w:val="single" w:sz="4" w:space="0" w:color="auto"/>
              <w:left w:val="single" w:sz="4" w:space="0" w:color="auto"/>
              <w:bottom w:val="none" w:sz="0" w:space="0" w:color="auto"/>
              <w:right w:val="single" w:sz="4" w:space="0" w:color="auto"/>
            </w:tcBorders>
            <w:hideMark/>
          </w:tcPr>
          <w:p w14:paraId="33B989FD"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DIN mg L-1 from all lakes </w:t>
            </w:r>
          </w:p>
        </w:tc>
        <w:tc>
          <w:tcPr>
            <w:tcW w:w="1594" w:type="dxa"/>
            <w:gridSpan w:val="2"/>
            <w:tcBorders>
              <w:top w:val="single" w:sz="4" w:space="0" w:color="auto"/>
              <w:left w:val="single" w:sz="4" w:space="0" w:color="auto"/>
              <w:bottom w:val="none" w:sz="0" w:space="0" w:color="auto"/>
              <w:right w:val="single" w:sz="4" w:space="0" w:color="auto"/>
            </w:tcBorders>
            <w:hideMark/>
          </w:tcPr>
          <w:p w14:paraId="6FEF8812"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482" w:type="dxa"/>
            <w:gridSpan w:val="2"/>
            <w:tcBorders>
              <w:top w:val="single" w:sz="4" w:space="0" w:color="auto"/>
              <w:left w:val="single" w:sz="4" w:space="0" w:color="auto"/>
              <w:bottom w:val="none" w:sz="0" w:space="0" w:color="auto"/>
              <w:right w:val="single" w:sz="4" w:space="0" w:color="auto"/>
            </w:tcBorders>
            <w:hideMark/>
          </w:tcPr>
          <w:p w14:paraId="53442096"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14" w:type="dxa"/>
            <w:gridSpan w:val="2"/>
            <w:tcBorders>
              <w:top w:val="single" w:sz="4" w:space="0" w:color="auto"/>
              <w:left w:val="single" w:sz="4" w:space="0" w:color="auto"/>
              <w:bottom w:val="none" w:sz="0" w:space="0" w:color="auto"/>
              <w:right w:val="single" w:sz="4" w:space="0" w:color="auto"/>
            </w:tcBorders>
            <w:hideMark/>
          </w:tcPr>
          <w:p w14:paraId="77A2F2AE"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4144F56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0D870B0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A470ED" w:rsidRPr="00EE2ACD" w14:paraId="606D5D32"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bottom w:val="single" w:sz="4" w:space="0" w:color="auto"/>
              <w:right w:val="single" w:sz="4" w:space="0" w:color="auto"/>
            </w:tcBorders>
            <w:noWrap/>
            <w:hideMark/>
          </w:tcPr>
          <w:p w14:paraId="77F978F9" w14:textId="3ADD245D" w:rsidR="00AC03F2" w:rsidRPr="00AC03F2" w:rsidRDefault="00AC03F2" w:rsidP="00AC03F2">
            <w:pPr>
              <w:rPr>
                <w:rFonts w:ascii="Calibri" w:eastAsia="Times New Roman" w:hAnsi="Calibri" w:cs="Calibri"/>
                <w:b/>
                <w:bCs/>
                <w:color w:val="000000"/>
              </w:rPr>
            </w:pPr>
          </w:p>
        </w:tc>
        <w:tc>
          <w:tcPr>
            <w:tcW w:w="744" w:type="dxa"/>
            <w:tcBorders>
              <w:left w:val="single" w:sz="4" w:space="0" w:color="auto"/>
              <w:bottom w:val="single" w:sz="4" w:space="0" w:color="auto"/>
            </w:tcBorders>
            <w:noWrap/>
            <w:hideMark/>
          </w:tcPr>
          <w:p w14:paraId="38A2D3C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6" w:type="dxa"/>
            <w:tcBorders>
              <w:bottom w:val="single" w:sz="4" w:space="0" w:color="auto"/>
              <w:right w:val="single" w:sz="4" w:space="0" w:color="auto"/>
            </w:tcBorders>
            <w:noWrap/>
            <w:hideMark/>
          </w:tcPr>
          <w:p w14:paraId="59A2712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47DB971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E3F6654"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6" w:type="dxa"/>
            <w:tcBorders>
              <w:left w:val="single" w:sz="4" w:space="0" w:color="auto"/>
              <w:bottom w:val="single" w:sz="4" w:space="0" w:color="auto"/>
            </w:tcBorders>
            <w:noWrap/>
            <w:hideMark/>
          </w:tcPr>
          <w:p w14:paraId="714587B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63" w:type="dxa"/>
            <w:tcBorders>
              <w:bottom w:val="single" w:sz="4" w:space="0" w:color="auto"/>
              <w:right w:val="single" w:sz="4" w:space="0" w:color="auto"/>
            </w:tcBorders>
            <w:noWrap/>
            <w:hideMark/>
          </w:tcPr>
          <w:p w14:paraId="13748A9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4" w:type="dxa"/>
            <w:tcBorders>
              <w:left w:val="single" w:sz="4" w:space="0" w:color="auto"/>
              <w:bottom w:val="single" w:sz="4" w:space="0" w:color="auto"/>
            </w:tcBorders>
            <w:noWrap/>
            <w:hideMark/>
          </w:tcPr>
          <w:p w14:paraId="78F4A5B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0" w:type="dxa"/>
            <w:tcBorders>
              <w:bottom w:val="single" w:sz="4" w:space="0" w:color="auto"/>
              <w:right w:val="single" w:sz="4" w:space="0" w:color="auto"/>
            </w:tcBorders>
            <w:noWrap/>
            <w:hideMark/>
          </w:tcPr>
          <w:p w14:paraId="5C86D49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49" w:type="dxa"/>
            <w:tcBorders>
              <w:left w:val="single" w:sz="4" w:space="0" w:color="auto"/>
              <w:bottom w:val="single" w:sz="4" w:space="0" w:color="auto"/>
            </w:tcBorders>
            <w:noWrap/>
            <w:hideMark/>
          </w:tcPr>
          <w:p w14:paraId="3B96A72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3" w:type="dxa"/>
            <w:tcBorders>
              <w:bottom w:val="single" w:sz="4" w:space="0" w:color="auto"/>
              <w:right w:val="single" w:sz="4" w:space="0" w:color="auto"/>
            </w:tcBorders>
            <w:noWrap/>
            <w:hideMark/>
          </w:tcPr>
          <w:p w14:paraId="1D977E8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70" w:type="dxa"/>
            <w:tcBorders>
              <w:left w:val="single" w:sz="4" w:space="0" w:color="auto"/>
              <w:bottom w:val="single" w:sz="4" w:space="0" w:color="auto"/>
            </w:tcBorders>
            <w:noWrap/>
            <w:hideMark/>
          </w:tcPr>
          <w:p w14:paraId="57DCCD9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CC7F29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2DB1A74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136B194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0EB55B0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5E72427B"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A470ED" w:rsidRPr="00EE2ACD" w14:paraId="3E3A4D92" w14:textId="77777777" w:rsidTr="00A470ED">
        <w:trPr>
          <w:trHeight w:val="398"/>
        </w:trPr>
        <w:tc>
          <w:tcPr>
            <w:cnfStyle w:val="001000000000" w:firstRow="0" w:lastRow="0" w:firstColumn="1" w:lastColumn="0" w:oddVBand="0" w:evenVBand="0" w:oddHBand="0" w:evenHBand="0" w:firstRowFirstColumn="0" w:firstRowLastColumn="0" w:lastRowFirstColumn="0" w:lastRowLastColumn="0"/>
            <w:tcW w:w="1443" w:type="dxa"/>
            <w:tcBorders>
              <w:top w:val="single" w:sz="4" w:space="0" w:color="auto"/>
              <w:right w:val="single" w:sz="4" w:space="0" w:color="auto"/>
            </w:tcBorders>
            <w:noWrap/>
            <w:hideMark/>
          </w:tcPr>
          <w:p w14:paraId="5E9D324F"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44" w:type="dxa"/>
            <w:tcBorders>
              <w:top w:val="single" w:sz="4" w:space="0" w:color="auto"/>
              <w:left w:val="single" w:sz="4" w:space="0" w:color="auto"/>
            </w:tcBorders>
            <w:noWrap/>
            <w:hideMark/>
          </w:tcPr>
          <w:p w14:paraId="4F9FF729" w14:textId="20FABA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21.54</w:t>
            </w:r>
          </w:p>
        </w:tc>
        <w:tc>
          <w:tcPr>
            <w:tcW w:w="716" w:type="dxa"/>
            <w:tcBorders>
              <w:top w:val="single" w:sz="4" w:space="0" w:color="auto"/>
              <w:right w:val="single" w:sz="4" w:space="0" w:color="auto"/>
            </w:tcBorders>
            <w:noWrap/>
            <w:hideMark/>
          </w:tcPr>
          <w:p w14:paraId="46D9C067" w14:textId="04EC3C4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3.99</w:t>
            </w:r>
          </w:p>
        </w:tc>
        <w:tc>
          <w:tcPr>
            <w:tcW w:w="908" w:type="dxa"/>
            <w:tcBorders>
              <w:top w:val="single" w:sz="4" w:space="0" w:color="auto"/>
              <w:left w:val="single" w:sz="4" w:space="0" w:color="auto"/>
            </w:tcBorders>
            <w:noWrap/>
            <w:hideMark/>
          </w:tcPr>
          <w:p w14:paraId="2AB70776" w14:textId="6A52C6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108.49</w:t>
            </w:r>
          </w:p>
        </w:tc>
        <w:tc>
          <w:tcPr>
            <w:tcW w:w="744" w:type="dxa"/>
            <w:tcBorders>
              <w:top w:val="single" w:sz="4" w:space="0" w:color="auto"/>
              <w:right w:val="single" w:sz="4" w:space="0" w:color="auto"/>
            </w:tcBorders>
            <w:noWrap/>
            <w:hideMark/>
          </w:tcPr>
          <w:p w14:paraId="4AA5FDC0" w14:textId="136C324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62.62</w:t>
            </w:r>
          </w:p>
        </w:tc>
        <w:tc>
          <w:tcPr>
            <w:tcW w:w="786" w:type="dxa"/>
            <w:tcBorders>
              <w:top w:val="single" w:sz="4" w:space="0" w:color="auto"/>
              <w:left w:val="single" w:sz="4" w:space="0" w:color="auto"/>
            </w:tcBorders>
            <w:noWrap/>
            <w:hideMark/>
          </w:tcPr>
          <w:p w14:paraId="5D049E51" w14:textId="6C66DEC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top w:val="single" w:sz="4" w:space="0" w:color="auto"/>
              <w:right w:val="single" w:sz="4" w:space="0" w:color="auto"/>
            </w:tcBorders>
            <w:noWrap/>
            <w:hideMark/>
          </w:tcPr>
          <w:p w14:paraId="153A7507" w14:textId="698934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top w:val="single" w:sz="4" w:space="0" w:color="auto"/>
              <w:left w:val="single" w:sz="4" w:space="0" w:color="auto"/>
            </w:tcBorders>
            <w:noWrap/>
            <w:hideMark/>
          </w:tcPr>
          <w:p w14:paraId="7EA83AB9" w14:textId="3BDA7E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top w:val="single" w:sz="4" w:space="0" w:color="auto"/>
              <w:right w:val="single" w:sz="4" w:space="0" w:color="auto"/>
            </w:tcBorders>
            <w:noWrap/>
            <w:hideMark/>
          </w:tcPr>
          <w:p w14:paraId="16E1B95B" w14:textId="0B81531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top w:val="single" w:sz="4" w:space="0" w:color="auto"/>
              <w:left w:val="single" w:sz="4" w:space="0" w:color="auto"/>
            </w:tcBorders>
            <w:noWrap/>
            <w:hideMark/>
          </w:tcPr>
          <w:p w14:paraId="6C908C22" w14:textId="5667B49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top w:val="single" w:sz="4" w:space="0" w:color="auto"/>
              <w:right w:val="single" w:sz="4" w:space="0" w:color="auto"/>
            </w:tcBorders>
            <w:noWrap/>
            <w:hideMark/>
          </w:tcPr>
          <w:p w14:paraId="005CD769" w14:textId="0467E7A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top w:val="single" w:sz="4" w:space="0" w:color="auto"/>
              <w:left w:val="single" w:sz="4" w:space="0" w:color="auto"/>
            </w:tcBorders>
            <w:noWrap/>
            <w:hideMark/>
          </w:tcPr>
          <w:p w14:paraId="04C08FB8" w14:textId="7F01D1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744" w:type="dxa"/>
            <w:tcBorders>
              <w:top w:val="single" w:sz="4" w:space="0" w:color="auto"/>
              <w:right w:val="single" w:sz="4" w:space="0" w:color="auto"/>
            </w:tcBorders>
            <w:noWrap/>
            <w:hideMark/>
          </w:tcPr>
          <w:p w14:paraId="6A563EA3" w14:textId="7536870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839" w:type="dxa"/>
            <w:tcBorders>
              <w:top w:val="single" w:sz="4" w:space="0" w:color="auto"/>
              <w:left w:val="single" w:sz="4" w:space="0" w:color="auto"/>
            </w:tcBorders>
            <w:noWrap/>
            <w:hideMark/>
          </w:tcPr>
          <w:p w14:paraId="09ADF5A8" w14:textId="28BAADA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839" w:type="dxa"/>
            <w:tcBorders>
              <w:top w:val="single" w:sz="4" w:space="0" w:color="auto"/>
              <w:right w:val="single" w:sz="4" w:space="0" w:color="auto"/>
            </w:tcBorders>
            <w:noWrap/>
            <w:hideMark/>
          </w:tcPr>
          <w:p w14:paraId="71B5D3B8" w14:textId="672551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839" w:type="dxa"/>
            <w:tcBorders>
              <w:top w:val="single" w:sz="4" w:space="0" w:color="auto"/>
              <w:left w:val="single" w:sz="4" w:space="0" w:color="auto"/>
            </w:tcBorders>
            <w:noWrap/>
            <w:hideMark/>
          </w:tcPr>
          <w:p w14:paraId="678821B1" w14:textId="0BC2072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839" w:type="dxa"/>
            <w:tcBorders>
              <w:top w:val="single" w:sz="4" w:space="0" w:color="auto"/>
              <w:right w:val="single" w:sz="4" w:space="0" w:color="auto"/>
            </w:tcBorders>
            <w:noWrap/>
            <w:hideMark/>
          </w:tcPr>
          <w:p w14:paraId="6C817A36" w14:textId="0AC976B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A470ED" w:rsidRPr="00EE2ACD" w14:paraId="518F6574"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DBEBFD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44" w:type="dxa"/>
            <w:tcBorders>
              <w:left w:val="single" w:sz="4" w:space="0" w:color="auto"/>
            </w:tcBorders>
            <w:noWrap/>
            <w:hideMark/>
          </w:tcPr>
          <w:p w14:paraId="79D37BB7" w14:textId="0D5C2EB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38.07</w:t>
            </w:r>
          </w:p>
        </w:tc>
        <w:tc>
          <w:tcPr>
            <w:tcW w:w="716" w:type="dxa"/>
            <w:tcBorders>
              <w:right w:val="single" w:sz="4" w:space="0" w:color="auto"/>
            </w:tcBorders>
            <w:noWrap/>
            <w:hideMark/>
          </w:tcPr>
          <w:p w14:paraId="413E140A" w14:textId="6140E5F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14.14</w:t>
            </w:r>
          </w:p>
        </w:tc>
        <w:tc>
          <w:tcPr>
            <w:tcW w:w="908" w:type="dxa"/>
            <w:tcBorders>
              <w:left w:val="single" w:sz="4" w:space="0" w:color="auto"/>
            </w:tcBorders>
            <w:noWrap/>
            <w:hideMark/>
          </w:tcPr>
          <w:p w14:paraId="0593A784" w14:textId="2734E88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96.36</w:t>
            </w:r>
          </w:p>
        </w:tc>
        <w:tc>
          <w:tcPr>
            <w:tcW w:w="744" w:type="dxa"/>
            <w:tcBorders>
              <w:right w:val="single" w:sz="4" w:space="0" w:color="auto"/>
            </w:tcBorders>
            <w:noWrap/>
            <w:hideMark/>
          </w:tcPr>
          <w:p w14:paraId="0C8E2B4D" w14:textId="61FCC0F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61.84</w:t>
            </w:r>
          </w:p>
        </w:tc>
        <w:tc>
          <w:tcPr>
            <w:tcW w:w="786" w:type="dxa"/>
            <w:tcBorders>
              <w:left w:val="single" w:sz="4" w:space="0" w:color="auto"/>
            </w:tcBorders>
            <w:noWrap/>
            <w:hideMark/>
          </w:tcPr>
          <w:p w14:paraId="451FF33A" w14:textId="1C54B31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right w:val="single" w:sz="4" w:space="0" w:color="auto"/>
            </w:tcBorders>
            <w:noWrap/>
            <w:hideMark/>
          </w:tcPr>
          <w:p w14:paraId="75C2D222" w14:textId="367B1FE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E0448EE" w14:textId="7BBF339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156E9F91" w14:textId="0720F3E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4FEC2DA1" w14:textId="40522A6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329F5CEB" w14:textId="2DA2E4F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6BC7EA3" w14:textId="31F780C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744" w:type="dxa"/>
            <w:tcBorders>
              <w:right w:val="single" w:sz="4" w:space="0" w:color="auto"/>
            </w:tcBorders>
            <w:noWrap/>
            <w:hideMark/>
          </w:tcPr>
          <w:p w14:paraId="2852EFD5" w14:textId="5B6B577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839" w:type="dxa"/>
            <w:tcBorders>
              <w:left w:val="single" w:sz="4" w:space="0" w:color="auto"/>
            </w:tcBorders>
            <w:noWrap/>
            <w:hideMark/>
          </w:tcPr>
          <w:p w14:paraId="10C79633" w14:textId="7FB7D03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839" w:type="dxa"/>
            <w:tcBorders>
              <w:right w:val="single" w:sz="4" w:space="0" w:color="auto"/>
            </w:tcBorders>
            <w:noWrap/>
            <w:hideMark/>
          </w:tcPr>
          <w:p w14:paraId="53D9D182" w14:textId="1ED1293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839" w:type="dxa"/>
            <w:tcBorders>
              <w:left w:val="single" w:sz="4" w:space="0" w:color="auto"/>
            </w:tcBorders>
            <w:noWrap/>
            <w:hideMark/>
          </w:tcPr>
          <w:p w14:paraId="66473DCB" w14:textId="6662550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839" w:type="dxa"/>
            <w:tcBorders>
              <w:right w:val="single" w:sz="4" w:space="0" w:color="auto"/>
            </w:tcBorders>
            <w:noWrap/>
            <w:hideMark/>
          </w:tcPr>
          <w:p w14:paraId="561A7F38" w14:textId="6B0D350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A470ED" w:rsidRPr="00EE2ACD" w14:paraId="6DF8B3DE"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533F261"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44" w:type="dxa"/>
            <w:tcBorders>
              <w:left w:val="single" w:sz="4" w:space="0" w:color="auto"/>
            </w:tcBorders>
            <w:noWrap/>
            <w:hideMark/>
          </w:tcPr>
          <w:p w14:paraId="34E6218C" w14:textId="7AF977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w:t>
            </w:r>
          </w:p>
        </w:tc>
        <w:tc>
          <w:tcPr>
            <w:tcW w:w="716" w:type="dxa"/>
            <w:tcBorders>
              <w:right w:val="single" w:sz="4" w:space="0" w:color="auto"/>
            </w:tcBorders>
            <w:noWrap/>
            <w:hideMark/>
          </w:tcPr>
          <w:p w14:paraId="7BA1B513" w14:textId="6744FBB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5.90</w:t>
            </w:r>
          </w:p>
        </w:tc>
        <w:tc>
          <w:tcPr>
            <w:tcW w:w="908" w:type="dxa"/>
            <w:tcBorders>
              <w:left w:val="single" w:sz="4" w:space="0" w:color="auto"/>
            </w:tcBorders>
            <w:noWrap/>
            <w:hideMark/>
          </w:tcPr>
          <w:p w14:paraId="05AC831B" w14:textId="4C73EEB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43.78</w:t>
            </w:r>
          </w:p>
        </w:tc>
        <w:tc>
          <w:tcPr>
            <w:tcW w:w="744" w:type="dxa"/>
            <w:tcBorders>
              <w:right w:val="single" w:sz="4" w:space="0" w:color="auto"/>
            </w:tcBorders>
            <w:noWrap/>
            <w:hideMark/>
          </w:tcPr>
          <w:p w14:paraId="462E572F" w14:textId="121108C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46.17</w:t>
            </w:r>
          </w:p>
        </w:tc>
        <w:tc>
          <w:tcPr>
            <w:tcW w:w="786" w:type="dxa"/>
            <w:tcBorders>
              <w:left w:val="single" w:sz="4" w:space="0" w:color="auto"/>
            </w:tcBorders>
            <w:noWrap/>
            <w:hideMark/>
          </w:tcPr>
          <w:p w14:paraId="7AD37EA3" w14:textId="2F3B9A1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1EAE27E1" w14:textId="3486CB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1A3CB589" w14:textId="181F16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260D1799" w14:textId="2D6EDD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5F4EFF5A" w14:textId="5C033F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74A7176E" w14:textId="55C77A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493ABAD7" w14:textId="1CDAD29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744" w:type="dxa"/>
            <w:tcBorders>
              <w:right w:val="single" w:sz="4" w:space="0" w:color="auto"/>
            </w:tcBorders>
            <w:noWrap/>
            <w:hideMark/>
          </w:tcPr>
          <w:p w14:paraId="6D1EA8E3" w14:textId="0CF436A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839" w:type="dxa"/>
            <w:tcBorders>
              <w:left w:val="single" w:sz="4" w:space="0" w:color="auto"/>
            </w:tcBorders>
            <w:noWrap/>
            <w:hideMark/>
          </w:tcPr>
          <w:p w14:paraId="4C42040D" w14:textId="590F8F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839" w:type="dxa"/>
            <w:tcBorders>
              <w:right w:val="single" w:sz="4" w:space="0" w:color="auto"/>
            </w:tcBorders>
            <w:noWrap/>
            <w:hideMark/>
          </w:tcPr>
          <w:p w14:paraId="1BA23CAB" w14:textId="09E909D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839" w:type="dxa"/>
            <w:tcBorders>
              <w:left w:val="single" w:sz="4" w:space="0" w:color="auto"/>
            </w:tcBorders>
            <w:noWrap/>
            <w:hideMark/>
          </w:tcPr>
          <w:p w14:paraId="39FE2CB6" w14:textId="1390DCB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839" w:type="dxa"/>
            <w:tcBorders>
              <w:right w:val="single" w:sz="4" w:space="0" w:color="auto"/>
            </w:tcBorders>
            <w:noWrap/>
            <w:hideMark/>
          </w:tcPr>
          <w:p w14:paraId="67060B9F" w14:textId="063095E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A470ED" w:rsidRPr="00EE2ACD" w14:paraId="5ECC6CB5"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79193512"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44" w:type="dxa"/>
            <w:tcBorders>
              <w:left w:val="single" w:sz="4" w:space="0" w:color="auto"/>
            </w:tcBorders>
            <w:noWrap/>
            <w:hideMark/>
          </w:tcPr>
          <w:p w14:paraId="5715E342" w14:textId="0176A77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6.34</w:t>
            </w:r>
          </w:p>
        </w:tc>
        <w:tc>
          <w:tcPr>
            <w:tcW w:w="716" w:type="dxa"/>
            <w:tcBorders>
              <w:right w:val="single" w:sz="4" w:space="0" w:color="auto"/>
            </w:tcBorders>
            <w:noWrap/>
            <w:hideMark/>
          </w:tcPr>
          <w:p w14:paraId="7DBC2E38" w14:textId="5A2D8706"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6.67</w:t>
            </w:r>
          </w:p>
        </w:tc>
        <w:tc>
          <w:tcPr>
            <w:tcW w:w="908" w:type="dxa"/>
            <w:tcBorders>
              <w:left w:val="single" w:sz="4" w:space="0" w:color="auto"/>
            </w:tcBorders>
            <w:noWrap/>
            <w:hideMark/>
          </w:tcPr>
          <w:p w14:paraId="374612FB" w14:textId="1E691FC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46.14</w:t>
            </w:r>
          </w:p>
        </w:tc>
        <w:tc>
          <w:tcPr>
            <w:tcW w:w="744" w:type="dxa"/>
            <w:tcBorders>
              <w:right w:val="single" w:sz="4" w:space="0" w:color="auto"/>
            </w:tcBorders>
            <w:noWrap/>
            <w:hideMark/>
          </w:tcPr>
          <w:p w14:paraId="1652EBBF" w14:textId="158584D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46.36</w:t>
            </w:r>
          </w:p>
        </w:tc>
        <w:tc>
          <w:tcPr>
            <w:tcW w:w="786" w:type="dxa"/>
            <w:tcBorders>
              <w:left w:val="single" w:sz="4" w:space="0" w:color="auto"/>
            </w:tcBorders>
            <w:noWrap/>
            <w:hideMark/>
          </w:tcPr>
          <w:p w14:paraId="062AB995" w14:textId="352A4B9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301E4FA3" w14:textId="024282E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15E1F722" w14:textId="5C62777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30" w:type="dxa"/>
            <w:tcBorders>
              <w:right w:val="single" w:sz="4" w:space="0" w:color="auto"/>
            </w:tcBorders>
            <w:noWrap/>
            <w:hideMark/>
          </w:tcPr>
          <w:p w14:paraId="18D2A1CE" w14:textId="6DD0EC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49" w:type="dxa"/>
            <w:tcBorders>
              <w:left w:val="single" w:sz="4" w:space="0" w:color="auto"/>
            </w:tcBorders>
            <w:noWrap/>
            <w:hideMark/>
          </w:tcPr>
          <w:p w14:paraId="63961621" w14:textId="18C670F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33" w:type="dxa"/>
            <w:tcBorders>
              <w:right w:val="single" w:sz="4" w:space="0" w:color="auto"/>
            </w:tcBorders>
            <w:noWrap/>
            <w:hideMark/>
          </w:tcPr>
          <w:p w14:paraId="0FDBD5F8" w14:textId="3CC70F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70" w:type="dxa"/>
            <w:tcBorders>
              <w:left w:val="single" w:sz="4" w:space="0" w:color="auto"/>
            </w:tcBorders>
            <w:noWrap/>
            <w:hideMark/>
          </w:tcPr>
          <w:p w14:paraId="7FAC46BC" w14:textId="07A3B78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744" w:type="dxa"/>
            <w:tcBorders>
              <w:right w:val="single" w:sz="4" w:space="0" w:color="auto"/>
            </w:tcBorders>
            <w:noWrap/>
            <w:hideMark/>
          </w:tcPr>
          <w:p w14:paraId="0F228A9E" w14:textId="643304D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839" w:type="dxa"/>
            <w:tcBorders>
              <w:left w:val="single" w:sz="4" w:space="0" w:color="auto"/>
            </w:tcBorders>
            <w:noWrap/>
            <w:hideMark/>
          </w:tcPr>
          <w:p w14:paraId="3B2C8DAA" w14:textId="5C5A5F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839" w:type="dxa"/>
            <w:tcBorders>
              <w:right w:val="single" w:sz="4" w:space="0" w:color="auto"/>
            </w:tcBorders>
            <w:noWrap/>
            <w:hideMark/>
          </w:tcPr>
          <w:p w14:paraId="37438A6D" w14:textId="798A5A0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839" w:type="dxa"/>
            <w:tcBorders>
              <w:left w:val="single" w:sz="4" w:space="0" w:color="auto"/>
            </w:tcBorders>
            <w:noWrap/>
            <w:hideMark/>
          </w:tcPr>
          <w:p w14:paraId="35223F01" w14:textId="672892E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839" w:type="dxa"/>
            <w:tcBorders>
              <w:right w:val="single" w:sz="4" w:space="0" w:color="auto"/>
            </w:tcBorders>
            <w:noWrap/>
            <w:hideMark/>
          </w:tcPr>
          <w:p w14:paraId="7DD7E72C" w14:textId="1B5A8E6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A470ED" w:rsidRPr="00EE2ACD" w14:paraId="397E9B2B"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637340F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44" w:type="dxa"/>
            <w:tcBorders>
              <w:left w:val="single" w:sz="4" w:space="0" w:color="auto"/>
            </w:tcBorders>
            <w:noWrap/>
            <w:hideMark/>
          </w:tcPr>
          <w:p w14:paraId="5790C63B" w14:textId="4B6228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17.81</w:t>
            </w:r>
          </w:p>
        </w:tc>
        <w:tc>
          <w:tcPr>
            <w:tcW w:w="716" w:type="dxa"/>
            <w:tcBorders>
              <w:right w:val="single" w:sz="4" w:space="0" w:color="auto"/>
            </w:tcBorders>
            <w:noWrap/>
            <w:hideMark/>
          </w:tcPr>
          <w:p w14:paraId="6811B899" w14:textId="14D1643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13.83</w:t>
            </w:r>
          </w:p>
        </w:tc>
        <w:tc>
          <w:tcPr>
            <w:tcW w:w="908" w:type="dxa"/>
            <w:tcBorders>
              <w:left w:val="single" w:sz="4" w:space="0" w:color="auto"/>
            </w:tcBorders>
            <w:noWrap/>
            <w:hideMark/>
          </w:tcPr>
          <w:p w14:paraId="0AE3A665" w14:textId="056589E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132.50</w:t>
            </w:r>
          </w:p>
        </w:tc>
        <w:tc>
          <w:tcPr>
            <w:tcW w:w="744" w:type="dxa"/>
            <w:tcBorders>
              <w:right w:val="single" w:sz="4" w:space="0" w:color="auto"/>
            </w:tcBorders>
            <w:noWrap/>
            <w:hideMark/>
          </w:tcPr>
          <w:p w14:paraId="5A7317E1" w14:textId="488381B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88.94</w:t>
            </w:r>
          </w:p>
        </w:tc>
        <w:tc>
          <w:tcPr>
            <w:tcW w:w="786" w:type="dxa"/>
            <w:tcBorders>
              <w:left w:val="single" w:sz="4" w:space="0" w:color="auto"/>
            </w:tcBorders>
            <w:noWrap/>
            <w:hideMark/>
          </w:tcPr>
          <w:p w14:paraId="0C67EC81" w14:textId="416C21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09E8DB92" w14:textId="2149CD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53C2730" w14:textId="52D30BE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30" w:type="dxa"/>
            <w:tcBorders>
              <w:right w:val="single" w:sz="4" w:space="0" w:color="auto"/>
            </w:tcBorders>
            <w:noWrap/>
            <w:hideMark/>
          </w:tcPr>
          <w:p w14:paraId="2FB82A4A" w14:textId="7F9A605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749" w:type="dxa"/>
            <w:tcBorders>
              <w:left w:val="single" w:sz="4" w:space="0" w:color="auto"/>
            </w:tcBorders>
            <w:noWrap/>
            <w:hideMark/>
          </w:tcPr>
          <w:p w14:paraId="473B2828" w14:textId="0626E1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33" w:type="dxa"/>
            <w:tcBorders>
              <w:right w:val="single" w:sz="4" w:space="0" w:color="auto"/>
            </w:tcBorders>
            <w:noWrap/>
            <w:hideMark/>
          </w:tcPr>
          <w:p w14:paraId="4380671D" w14:textId="62A9C73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870" w:type="dxa"/>
            <w:tcBorders>
              <w:left w:val="single" w:sz="4" w:space="0" w:color="auto"/>
            </w:tcBorders>
            <w:noWrap/>
            <w:hideMark/>
          </w:tcPr>
          <w:p w14:paraId="3000A28C" w14:textId="743A26C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744" w:type="dxa"/>
            <w:tcBorders>
              <w:right w:val="single" w:sz="4" w:space="0" w:color="auto"/>
            </w:tcBorders>
            <w:noWrap/>
            <w:hideMark/>
          </w:tcPr>
          <w:p w14:paraId="236894A0" w14:textId="764408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839" w:type="dxa"/>
            <w:tcBorders>
              <w:left w:val="single" w:sz="4" w:space="0" w:color="auto"/>
            </w:tcBorders>
            <w:noWrap/>
            <w:hideMark/>
          </w:tcPr>
          <w:p w14:paraId="7E1A87B3" w14:textId="5CBFA5D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839" w:type="dxa"/>
            <w:tcBorders>
              <w:right w:val="single" w:sz="4" w:space="0" w:color="auto"/>
            </w:tcBorders>
            <w:noWrap/>
            <w:hideMark/>
          </w:tcPr>
          <w:p w14:paraId="5AD4EC77" w14:textId="208BEE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839" w:type="dxa"/>
            <w:tcBorders>
              <w:left w:val="single" w:sz="4" w:space="0" w:color="auto"/>
            </w:tcBorders>
            <w:noWrap/>
            <w:hideMark/>
          </w:tcPr>
          <w:p w14:paraId="3580769C" w14:textId="7BFE141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839" w:type="dxa"/>
            <w:tcBorders>
              <w:right w:val="single" w:sz="4" w:space="0" w:color="auto"/>
            </w:tcBorders>
            <w:noWrap/>
            <w:hideMark/>
          </w:tcPr>
          <w:p w14:paraId="1C530F4C" w14:textId="26FC73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A470ED" w:rsidRPr="00EE2ACD" w14:paraId="6756E5D7"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4913A22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44" w:type="dxa"/>
            <w:tcBorders>
              <w:left w:val="single" w:sz="4" w:space="0" w:color="auto"/>
            </w:tcBorders>
            <w:noWrap/>
            <w:hideMark/>
          </w:tcPr>
          <w:p w14:paraId="11418539" w14:textId="3765078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4.43</w:t>
            </w:r>
          </w:p>
        </w:tc>
        <w:tc>
          <w:tcPr>
            <w:tcW w:w="716" w:type="dxa"/>
            <w:tcBorders>
              <w:right w:val="single" w:sz="4" w:space="0" w:color="auto"/>
            </w:tcBorders>
            <w:noWrap/>
            <w:hideMark/>
          </w:tcPr>
          <w:p w14:paraId="19A08C43" w14:textId="2B74E09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23.89</w:t>
            </w:r>
          </w:p>
        </w:tc>
        <w:tc>
          <w:tcPr>
            <w:tcW w:w="908" w:type="dxa"/>
            <w:tcBorders>
              <w:left w:val="single" w:sz="4" w:space="0" w:color="auto"/>
            </w:tcBorders>
            <w:noWrap/>
            <w:hideMark/>
          </w:tcPr>
          <w:p w14:paraId="3F31B4CA" w14:textId="62CF65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48.86</w:t>
            </w:r>
          </w:p>
        </w:tc>
        <w:tc>
          <w:tcPr>
            <w:tcW w:w="744" w:type="dxa"/>
            <w:tcBorders>
              <w:right w:val="single" w:sz="4" w:space="0" w:color="auto"/>
            </w:tcBorders>
            <w:noWrap/>
            <w:hideMark/>
          </w:tcPr>
          <w:p w14:paraId="70F18A0A" w14:textId="38BDFA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67.02</w:t>
            </w:r>
          </w:p>
        </w:tc>
        <w:tc>
          <w:tcPr>
            <w:tcW w:w="786" w:type="dxa"/>
            <w:tcBorders>
              <w:left w:val="single" w:sz="4" w:space="0" w:color="auto"/>
            </w:tcBorders>
            <w:noWrap/>
            <w:hideMark/>
          </w:tcPr>
          <w:p w14:paraId="7D49879B" w14:textId="0FFCC22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663" w:type="dxa"/>
            <w:tcBorders>
              <w:right w:val="single" w:sz="4" w:space="0" w:color="auto"/>
            </w:tcBorders>
            <w:noWrap/>
            <w:hideMark/>
          </w:tcPr>
          <w:p w14:paraId="08E44DC2" w14:textId="3C1AFF0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3987B61D" w14:textId="625C2845"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0" w:type="dxa"/>
            <w:tcBorders>
              <w:right w:val="single" w:sz="4" w:space="0" w:color="auto"/>
            </w:tcBorders>
            <w:noWrap/>
            <w:hideMark/>
          </w:tcPr>
          <w:p w14:paraId="26623793" w14:textId="0006E94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49" w:type="dxa"/>
            <w:tcBorders>
              <w:left w:val="single" w:sz="4" w:space="0" w:color="auto"/>
            </w:tcBorders>
            <w:noWrap/>
            <w:hideMark/>
          </w:tcPr>
          <w:p w14:paraId="20FACF5B" w14:textId="031E5F7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50F19E70" w14:textId="135B14E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70" w:type="dxa"/>
            <w:tcBorders>
              <w:left w:val="single" w:sz="4" w:space="0" w:color="auto"/>
            </w:tcBorders>
            <w:noWrap/>
            <w:hideMark/>
          </w:tcPr>
          <w:p w14:paraId="60581A5C" w14:textId="468BBED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744" w:type="dxa"/>
            <w:tcBorders>
              <w:right w:val="single" w:sz="4" w:space="0" w:color="auto"/>
            </w:tcBorders>
            <w:noWrap/>
            <w:hideMark/>
          </w:tcPr>
          <w:p w14:paraId="2EF815F0" w14:textId="2757DE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839" w:type="dxa"/>
            <w:tcBorders>
              <w:left w:val="single" w:sz="4" w:space="0" w:color="auto"/>
            </w:tcBorders>
            <w:noWrap/>
            <w:hideMark/>
          </w:tcPr>
          <w:p w14:paraId="7E6E5BD8" w14:textId="6BA7C074"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9" w:type="dxa"/>
            <w:tcBorders>
              <w:right w:val="single" w:sz="4" w:space="0" w:color="auto"/>
            </w:tcBorders>
            <w:noWrap/>
            <w:hideMark/>
          </w:tcPr>
          <w:p w14:paraId="6AC66E7E" w14:textId="1633E695"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839" w:type="dxa"/>
            <w:tcBorders>
              <w:left w:val="single" w:sz="4" w:space="0" w:color="auto"/>
            </w:tcBorders>
            <w:noWrap/>
            <w:hideMark/>
          </w:tcPr>
          <w:p w14:paraId="5989CFE2" w14:textId="0491C02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39" w:type="dxa"/>
            <w:tcBorders>
              <w:right w:val="single" w:sz="4" w:space="0" w:color="auto"/>
            </w:tcBorders>
            <w:noWrap/>
            <w:hideMark/>
          </w:tcPr>
          <w:p w14:paraId="16F8F189" w14:textId="4CFA43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A470ED" w:rsidRPr="00EE2ACD" w14:paraId="7BA0859D"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BBC577A"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44" w:type="dxa"/>
            <w:tcBorders>
              <w:left w:val="single" w:sz="4" w:space="0" w:color="auto"/>
            </w:tcBorders>
            <w:noWrap/>
            <w:hideMark/>
          </w:tcPr>
          <w:p w14:paraId="5374AC26" w14:textId="1037293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3.61</w:t>
            </w:r>
          </w:p>
        </w:tc>
        <w:tc>
          <w:tcPr>
            <w:tcW w:w="716" w:type="dxa"/>
            <w:tcBorders>
              <w:right w:val="single" w:sz="4" w:space="0" w:color="auto"/>
            </w:tcBorders>
            <w:noWrap/>
            <w:hideMark/>
          </w:tcPr>
          <w:p w14:paraId="3DFD1CEC" w14:textId="416C278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1.99</w:t>
            </w:r>
          </w:p>
        </w:tc>
        <w:tc>
          <w:tcPr>
            <w:tcW w:w="908" w:type="dxa"/>
            <w:tcBorders>
              <w:left w:val="single" w:sz="4" w:space="0" w:color="auto"/>
            </w:tcBorders>
            <w:noWrap/>
            <w:hideMark/>
          </w:tcPr>
          <w:p w14:paraId="324B71E3" w14:textId="12417C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41.37</w:t>
            </w:r>
          </w:p>
        </w:tc>
        <w:tc>
          <w:tcPr>
            <w:tcW w:w="744" w:type="dxa"/>
            <w:tcBorders>
              <w:right w:val="single" w:sz="4" w:space="0" w:color="auto"/>
            </w:tcBorders>
            <w:noWrap/>
            <w:hideMark/>
          </w:tcPr>
          <w:p w14:paraId="135CD760" w14:textId="7A8E560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37.89</w:t>
            </w:r>
          </w:p>
        </w:tc>
        <w:tc>
          <w:tcPr>
            <w:tcW w:w="786" w:type="dxa"/>
            <w:tcBorders>
              <w:left w:val="single" w:sz="4" w:space="0" w:color="auto"/>
            </w:tcBorders>
            <w:noWrap/>
            <w:hideMark/>
          </w:tcPr>
          <w:p w14:paraId="6BBF4368" w14:textId="014230F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389DC34" w14:textId="349D08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7AD16E42" w14:textId="61200EB6"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30" w:type="dxa"/>
            <w:tcBorders>
              <w:right w:val="single" w:sz="4" w:space="0" w:color="auto"/>
            </w:tcBorders>
            <w:noWrap/>
            <w:hideMark/>
          </w:tcPr>
          <w:p w14:paraId="4F7FE318" w14:textId="4C7542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749" w:type="dxa"/>
            <w:tcBorders>
              <w:left w:val="single" w:sz="4" w:space="0" w:color="auto"/>
            </w:tcBorders>
            <w:noWrap/>
            <w:hideMark/>
          </w:tcPr>
          <w:p w14:paraId="7837F924" w14:textId="2629FBE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165DC9B9" w14:textId="68C66B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70" w:type="dxa"/>
            <w:tcBorders>
              <w:left w:val="single" w:sz="4" w:space="0" w:color="auto"/>
            </w:tcBorders>
            <w:noWrap/>
            <w:hideMark/>
          </w:tcPr>
          <w:p w14:paraId="27108A90" w14:textId="6BBF55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744" w:type="dxa"/>
            <w:tcBorders>
              <w:right w:val="single" w:sz="4" w:space="0" w:color="auto"/>
            </w:tcBorders>
            <w:noWrap/>
            <w:hideMark/>
          </w:tcPr>
          <w:p w14:paraId="40A06D4F" w14:textId="040BAE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839" w:type="dxa"/>
            <w:tcBorders>
              <w:left w:val="single" w:sz="4" w:space="0" w:color="auto"/>
            </w:tcBorders>
            <w:noWrap/>
            <w:hideMark/>
          </w:tcPr>
          <w:p w14:paraId="658E55F9" w14:textId="0A4B6D2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839" w:type="dxa"/>
            <w:tcBorders>
              <w:right w:val="single" w:sz="4" w:space="0" w:color="auto"/>
            </w:tcBorders>
            <w:noWrap/>
            <w:hideMark/>
          </w:tcPr>
          <w:p w14:paraId="20852F57" w14:textId="4AB3EE6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839" w:type="dxa"/>
            <w:tcBorders>
              <w:left w:val="single" w:sz="4" w:space="0" w:color="auto"/>
            </w:tcBorders>
            <w:noWrap/>
            <w:hideMark/>
          </w:tcPr>
          <w:p w14:paraId="3075D614" w14:textId="46B685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839" w:type="dxa"/>
            <w:tcBorders>
              <w:right w:val="single" w:sz="4" w:space="0" w:color="auto"/>
            </w:tcBorders>
            <w:noWrap/>
            <w:hideMark/>
          </w:tcPr>
          <w:p w14:paraId="33A27CF5" w14:textId="634BB02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A470ED" w:rsidRPr="00EE2ACD" w14:paraId="582C6AC9"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832C43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44" w:type="dxa"/>
            <w:tcBorders>
              <w:left w:val="single" w:sz="4" w:space="0" w:color="auto"/>
            </w:tcBorders>
            <w:noWrap/>
            <w:hideMark/>
          </w:tcPr>
          <w:p w14:paraId="2E9EF05D" w14:textId="0FE640E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29.05</w:t>
            </w:r>
          </w:p>
        </w:tc>
        <w:tc>
          <w:tcPr>
            <w:tcW w:w="716" w:type="dxa"/>
            <w:tcBorders>
              <w:right w:val="single" w:sz="4" w:space="0" w:color="auto"/>
            </w:tcBorders>
            <w:noWrap/>
            <w:hideMark/>
          </w:tcPr>
          <w:p w14:paraId="2277ECF7" w14:textId="54EBAF6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6.45</w:t>
            </w:r>
          </w:p>
        </w:tc>
        <w:tc>
          <w:tcPr>
            <w:tcW w:w="908" w:type="dxa"/>
            <w:tcBorders>
              <w:left w:val="single" w:sz="4" w:space="0" w:color="auto"/>
            </w:tcBorders>
            <w:noWrap/>
            <w:hideMark/>
          </w:tcPr>
          <w:p w14:paraId="6DCA76A7" w14:textId="41F73A5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78.38</w:t>
            </w:r>
          </w:p>
        </w:tc>
        <w:tc>
          <w:tcPr>
            <w:tcW w:w="744" w:type="dxa"/>
            <w:tcBorders>
              <w:right w:val="single" w:sz="4" w:space="0" w:color="auto"/>
            </w:tcBorders>
            <w:noWrap/>
            <w:hideMark/>
          </w:tcPr>
          <w:p w14:paraId="0B36C3FB" w14:textId="4236D7E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43.61</w:t>
            </w:r>
          </w:p>
        </w:tc>
        <w:tc>
          <w:tcPr>
            <w:tcW w:w="786" w:type="dxa"/>
            <w:tcBorders>
              <w:left w:val="single" w:sz="4" w:space="0" w:color="auto"/>
            </w:tcBorders>
            <w:noWrap/>
            <w:hideMark/>
          </w:tcPr>
          <w:p w14:paraId="4F092975" w14:textId="55B7162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D884CF7" w14:textId="230C9DA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60FD62F1" w14:textId="688C2C3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73C98EC4" w14:textId="596DE5A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tcBorders>
            <w:noWrap/>
            <w:hideMark/>
          </w:tcPr>
          <w:p w14:paraId="1676DF87" w14:textId="714DC65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696A0E4A" w14:textId="56504E2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4B31B54" w14:textId="591A492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744" w:type="dxa"/>
            <w:tcBorders>
              <w:right w:val="single" w:sz="4" w:space="0" w:color="auto"/>
            </w:tcBorders>
            <w:noWrap/>
            <w:hideMark/>
          </w:tcPr>
          <w:p w14:paraId="062C3551" w14:textId="7884977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839" w:type="dxa"/>
            <w:tcBorders>
              <w:left w:val="single" w:sz="4" w:space="0" w:color="auto"/>
            </w:tcBorders>
            <w:noWrap/>
            <w:hideMark/>
          </w:tcPr>
          <w:p w14:paraId="6906290F" w14:textId="1B40F27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839" w:type="dxa"/>
            <w:tcBorders>
              <w:right w:val="single" w:sz="4" w:space="0" w:color="auto"/>
            </w:tcBorders>
            <w:noWrap/>
            <w:hideMark/>
          </w:tcPr>
          <w:p w14:paraId="2C620CFA" w14:textId="0DC29B8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839" w:type="dxa"/>
            <w:tcBorders>
              <w:left w:val="single" w:sz="4" w:space="0" w:color="auto"/>
            </w:tcBorders>
            <w:noWrap/>
            <w:hideMark/>
          </w:tcPr>
          <w:p w14:paraId="48989535" w14:textId="5264819A"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839" w:type="dxa"/>
            <w:tcBorders>
              <w:right w:val="single" w:sz="4" w:space="0" w:color="auto"/>
            </w:tcBorders>
            <w:noWrap/>
            <w:hideMark/>
          </w:tcPr>
          <w:p w14:paraId="20A0E98C" w14:textId="6F69D4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A470ED" w:rsidRPr="00EE2ACD" w14:paraId="2ECCCE59" w14:textId="77777777" w:rsidTr="00A470ED">
        <w:trPr>
          <w:trHeight w:val="351"/>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3B099370"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44" w:type="dxa"/>
            <w:tcBorders>
              <w:left w:val="single" w:sz="4" w:space="0" w:color="auto"/>
              <w:bottom w:val="single" w:sz="4" w:space="0" w:color="auto"/>
            </w:tcBorders>
            <w:noWrap/>
            <w:hideMark/>
          </w:tcPr>
          <w:p w14:paraId="7969F12C" w14:textId="04B736E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15.16</w:t>
            </w:r>
          </w:p>
        </w:tc>
        <w:tc>
          <w:tcPr>
            <w:tcW w:w="716" w:type="dxa"/>
            <w:tcBorders>
              <w:bottom w:val="single" w:sz="4" w:space="0" w:color="auto"/>
              <w:right w:val="single" w:sz="4" w:space="0" w:color="auto"/>
            </w:tcBorders>
            <w:noWrap/>
            <w:hideMark/>
          </w:tcPr>
          <w:p w14:paraId="70561BBE" w14:textId="519134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4.38</w:t>
            </w:r>
          </w:p>
        </w:tc>
        <w:tc>
          <w:tcPr>
            <w:tcW w:w="908" w:type="dxa"/>
            <w:tcBorders>
              <w:left w:val="single" w:sz="4" w:space="0" w:color="auto"/>
              <w:bottom w:val="single" w:sz="4" w:space="0" w:color="auto"/>
            </w:tcBorders>
            <w:noWrap/>
            <w:hideMark/>
          </w:tcPr>
          <w:p w14:paraId="3273447B" w14:textId="49821900"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71.70</w:t>
            </w:r>
          </w:p>
        </w:tc>
        <w:tc>
          <w:tcPr>
            <w:tcW w:w="744" w:type="dxa"/>
            <w:tcBorders>
              <w:bottom w:val="single" w:sz="4" w:space="0" w:color="auto"/>
              <w:right w:val="single" w:sz="4" w:space="0" w:color="auto"/>
            </w:tcBorders>
            <w:noWrap/>
            <w:hideMark/>
          </w:tcPr>
          <w:p w14:paraId="0B16F149" w14:textId="3FCE35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44.22</w:t>
            </w:r>
          </w:p>
        </w:tc>
        <w:tc>
          <w:tcPr>
            <w:tcW w:w="786" w:type="dxa"/>
            <w:tcBorders>
              <w:left w:val="single" w:sz="4" w:space="0" w:color="auto"/>
              <w:bottom w:val="single" w:sz="4" w:space="0" w:color="auto"/>
            </w:tcBorders>
            <w:noWrap/>
            <w:hideMark/>
          </w:tcPr>
          <w:p w14:paraId="0A3345C1" w14:textId="62E82C5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bottom w:val="single" w:sz="4" w:space="0" w:color="auto"/>
              <w:right w:val="single" w:sz="4" w:space="0" w:color="auto"/>
            </w:tcBorders>
            <w:noWrap/>
            <w:hideMark/>
          </w:tcPr>
          <w:p w14:paraId="6C07B47C" w14:textId="3478D67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bottom w:val="single" w:sz="4" w:space="0" w:color="auto"/>
            </w:tcBorders>
            <w:noWrap/>
            <w:hideMark/>
          </w:tcPr>
          <w:p w14:paraId="7EA3DBCD" w14:textId="3389899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30" w:type="dxa"/>
            <w:tcBorders>
              <w:bottom w:val="single" w:sz="4" w:space="0" w:color="auto"/>
              <w:right w:val="single" w:sz="4" w:space="0" w:color="auto"/>
            </w:tcBorders>
            <w:noWrap/>
            <w:hideMark/>
          </w:tcPr>
          <w:p w14:paraId="6F3430E5" w14:textId="03F221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bottom w:val="single" w:sz="4" w:space="0" w:color="auto"/>
            </w:tcBorders>
            <w:noWrap/>
            <w:hideMark/>
          </w:tcPr>
          <w:p w14:paraId="4044B0E9" w14:textId="363876F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33" w:type="dxa"/>
            <w:tcBorders>
              <w:bottom w:val="single" w:sz="4" w:space="0" w:color="auto"/>
              <w:right w:val="single" w:sz="4" w:space="0" w:color="auto"/>
            </w:tcBorders>
            <w:noWrap/>
            <w:hideMark/>
          </w:tcPr>
          <w:p w14:paraId="2643ADE4" w14:textId="47D57D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bottom w:val="single" w:sz="4" w:space="0" w:color="auto"/>
            </w:tcBorders>
            <w:noWrap/>
            <w:hideMark/>
          </w:tcPr>
          <w:p w14:paraId="0D72D61A" w14:textId="16ABBEE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744" w:type="dxa"/>
            <w:tcBorders>
              <w:bottom w:val="single" w:sz="4" w:space="0" w:color="auto"/>
              <w:right w:val="single" w:sz="4" w:space="0" w:color="auto"/>
            </w:tcBorders>
            <w:noWrap/>
            <w:hideMark/>
          </w:tcPr>
          <w:p w14:paraId="098C67DC" w14:textId="530A701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839" w:type="dxa"/>
            <w:tcBorders>
              <w:left w:val="single" w:sz="4" w:space="0" w:color="auto"/>
              <w:bottom w:val="single" w:sz="4" w:space="0" w:color="auto"/>
            </w:tcBorders>
            <w:noWrap/>
            <w:hideMark/>
          </w:tcPr>
          <w:p w14:paraId="6A79102D" w14:textId="609D80E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416E8376" w14:textId="2BF08B7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839" w:type="dxa"/>
            <w:tcBorders>
              <w:left w:val="single" w:sz="4" w:space="0" w:color="auto"/>
              <w:bottom w:val="single" w:sz="4" w:space="0" w:color="auto"/>
            </w:tcBorders>
            <w:noWrap/>
            <w:hideMark/>
          </w:tcPr>
          <w:p w14:paraId="47B61C09" w14:textId="74F5413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305E5AC4" w14:textId="7035857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4B5A822B" w14:textId="29BA5A5F" w:rsidR="00F01B93" w:rsidRPr="001968F8" w:rsidRDefault="00F01B93" w:rsidP="001968F8"/>
    <w:sectPr w:rsidR="00F01B93" w:rsidRPr="001968F8" w:rsidSect="00EE2AC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377935">
    <w:abstractNumId w:val="7"/>
  </w:num>
  <w:num w:numId="2" w16cid:durableId="1941983387">
    <w:abstractNumId w:val="4"/>
  </w:num>
  <w:num w:numId="3" w16cid:durableId="551697791">
    <w:abstractNumId w:val="9"/>
  </w:num>
  <w:num w:numId="4" w16cid:durableId="2115439323">
    <w:abstractNumId w:val="12"/>
  </w:num>
  <w:num w:numId="5" w16cid:durableId="2049334333">
    <w:abstractNumId w:val="5"/>
  </w:num>
  <w:num w:numId="6" w16cid:durableId="243340068">
    <w:abstractNumId w:val="0"/>
  </w:num>
  <w:num w:numId="7" w16cid:durableId="2026393720">
    <w:abstractNumId w:val="1"/>
  </w:num>
  <w:num w:numId="8" w16cid:durableId="1932352361">
    <w:abstractNumId w:val="3"/>
  </w:num>
  <w:num w:numId="9" w16cid:durableId="174851795">
    <w:abstractNumId w:val="6"/>
  </w:num>
  <w:num w:numId="10" w16cid:durableId="691684824">
    <w:abstractNumId w:val="8"/>
  </w:num>
  <w:num w:numId="11" w16cid:durableId="531848095">
    <w:abstractNumId w:val="13"/>
  </w:num>
  <w:num w:numId="12" w16cid:durableId="2026785767">
    <w:abstractNumId w:val="2"/>
  </w:num>
  <w:num w:numId="13" w16cid:durableId="1589387621">
    <w:abstractNumId w:val="11"/>
  </w:num>
  <w:num w:numId="14" w16cid:durableId="540946276">
    <w:abstractNumId w:val="10"/>
  </w:num>
  <w:num w:numId="15" w16cid:durableId="1480269036">
    <w:abstractNumId w:val="14"/>
  </w:num>
  <w:num w:numId="16" w16cid:durableId="7168556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816BF"/>
    <w:rsid w:val="000A669B"/>
    <w:rsid w:val="000B3480"/>
    <w:rsid w:val="000C22CC"/>
    <w:rsid w:val="00141849"/>
    <w:rsid w:val="001968F8"/>
    <w:rsid w:val="001A3189"/>
    <w:rsid w:val="001B5462"/>
    <w:rsid w:val="001C1A71"/>
    <w:rsid w:val="001D3902"/>
    <w:rsid w:val="001D47DD"/>
    <w:rsid w:val="001D4AC9"/>
    <w:rsid w:val="001E720A"/>
    <w:rsid w:val="00200BD5"/>
    <w:rsid w:val="00201673"/>
    <w:rsid w:val="0021058E"/>
    <w:rsid w:val="00221025"/>
    <w:rsid w:val="00233ADA"/>
    <w:rsid w:val="00256BB4"/>
    <w:rsid w:val="002C106F"/>
    <w:rsid w:val="002E4B2D"/>
    <w:rsid w:val="002F7A57"/>
    <w:rsid w:val="003021C4"/>
    <w:rsid w:val="00305C79"/>
    <w:rsid w:val="00310E04"/>
    <w:rsid w:val="00325FCF"/>
    <w:rsid w:val="00357C01"/>
    <w:rsid w:val="00361DB9"/>
    <w:rsid w:val="00390615"/>
    <w:rsid w:val="003A161B"/>
    <w:rsid w:val="003A2BD5"/>
    <w:rsid w:val="003A6212"/>
    <w:rsid w:val="003B7B33"/>
    <w:rsid w:val="003B7F52"/>
    <w:rsid w:val="003D544E"/>
    <w:rsid w:val="003E0D8B"/>
    <w:rsid w:val="003E4FB6"/>
    <w:rsid w:val="00427BBB"/>
    <w:rsid w:val="00451CE3"/>
    <w:rsid w:val="00455523"/>
    <w:rsid w:val="004752CD"/>
    <w:rsid w:val="0048247B"/>
    <w:rsid w:val="00492F74"/>
    <w:rsid w:val="004D6FD3"/>
    <w:rsid w:val="004E7F3D"/>
    <w:rsid w:val="0052032E"/>
    <w:rsid w:val="00565272"/>
    <w:rsid w:val="00575935"/>
    <w:rsid w:val="00596DBE"/>
    <w:rsid w:val="005A62B7"/>
    <w:rsid w:val="005B3F11"/>
    <w:rsid w:val="005B4759"/>
    <w:rsid w:val="005B7E59"/>
    <w:rsid w:val="005C0824"/>
    <w:rsid w:val="005D04F5"/>
    <w:rsid w:val="00640D61"/>
    <w:rsid w:val="00644FCB"/>
    <w:rsid w:val="006641FE"/>
    <w:rsid w:val="00664BC8"/>
    <w:rsid w:val="006650A6"/>
    <w:rsid w:val="006C36B7"/>
    <w:rsid w:val="006C3BD0"/>
    <w:rsid w:val="006C4B42"/>
    <w:rsid w:val="006D4131"/>
    <w:rsid w:val="00703E6C"/>
    <w:rsid w:val="00735EBD"/>
    <w:rsid w:val="00742F60"/>
    <w:rsid w:val="00752333"/>
    <w:rsid w:val="007769A5"/>
    <w:rsid w:val="00787BE9"/>
    <w:rsid w:val="00791955"/>
    <w:rsid w:val="007A7F97"/>
    <w:rsid w:val="007E507F"/>
    <w:rsid w:val="007F4820"/>
    <w:rsid w:val="007F5518"/>
    <w:rsid w:val="00824110"/>
    <w:rsid w:val="00844206"/>
    <w:rsid w:val="008448B5"/>
    <w:rsid w:val="0085131D"/>
    <w:rsid w:val="00853C76"/>
    <w:rsid w:val="0086514E"/>
    <w:rsid w:val="0087244E"/>
    <w:rsid w:val="008941B9"/>
    <w:rsid w:val="008B2133"/>
    <w:rsid w:val="008C05B2"/>
    <w:rsid w:val="008D34FA"/>
    <w:rsid w:val="008D547F"/>
    <w:rsid w:val="008D734E"/>
    <w:rsid w:val="008E03D0"/>
    <w:rsid w:val="00912B6C"/>
    <w:rsid w:val="0093094F"/>
    <w:rsid w:val="009734DF"/>
    <w:rsid w:val="00992DD8"/>
    <w:rsid w:val="00A033DA"/>
    <w:rsid w:val="00A10F84"/>
    <w:rsid w:val="00A25C3D"/>
    <w:rsid w:val="00A27B73"/>
    <w:rsid w:val="00A30A90"/>
    <w:rsid w:val="00A470ED"/>
    <w:rsid w:val="00A670CF"/>
    <w:rsid w:val="00A77AEC"/>
    <w:rsid w:val="00AA3482"/>
    <w:rsid w:val="00AA73D8"/>
    <w:rsid w:val="00AC03F2"/>
    <w:rsid w:val="00AE1B10"/>
    <w:rsid w:val="00B15CBE"/>
    <w:rsid w:val="00B20878"/>
    <w:rsid w:val="00B436C1"/>
    <w:rsid w:val="00B51575"/>
    <w:rsid w:val="00B708CD"/>
    <w:rsid w:val="00B75E43"/>
    <w:rsid w:val="00B80922"/>
    <w:rsid w:val="00B848AE"/>
    <w:rsid w:val="00B974CA"/>
    <w:rsid w:val="00BA76D4"/>
    <w:rsid w:val="00BB1F4A"/>
    <w:rsid w:val="00BD30A4"/>
    <w:rsid w:val="00BF16B2"/>
    <w:rsid w:val="00BF16CA"/>
    <w:rsid w:val="00BF27B3"/>
    <w:rsid w:val="00C00FA4"/>
    <w:rsid w:val="00C4231F"/>
    <w:rsid w:val="00C644E7"/>
    <w:rsid w:val="00C819A4"/>
    <w:rsid w:val="00C960A4"/>
    <w:rsid w:val="00CA635E"/>
    <w:rsid w:val="00CE5B67"/>
    <w:rsid w:val="00CF283A"/>
    <w:rsid w:val="00D12498"/>
    <w:rsid w:val="00D25D79"/>
    <w:rsid w:val="00D63893"/>
    <w:rsid w:val="00D63C89"/>
    <w:rsid w:val="00D7757D"/>
    <w:rsid w:val="00D85DE2"/>
    <w:rsid w:val="00D872F3"/>
    <w:rsid w:val="00DA0D96"/>
    <w:rsid w:val="00DB4CA8"/>
    <w:rsid w:val="00DD160A"/>
    <w:rsid w:val="00DD40B2"/>
    <w:rsid w:val="00DE4DBE"/>
    <w:rsid w:val="00DF2AF1"/>
    <w:rsid w:val="00E13A62"/>
    <w:rsid w:val="00E2775A"/>
    <w:rsid w:val="00E319D0"/>
    <w:rsid w:val="00E4184A"/>
    <w:rsid w:val="00E43AE8"/>
    <w:rsid w:val="00E575A1"/>
    <w:rsid w:val="00E71EEF"/>
    <w:rsid w:val="00E74B93"/>
    <w:rsid w:val="00E91D94"/>
    <w:rsid w:val="00EA2C6F"/>
    <w:rsid w:val="00EB2480"/>
    <w:rsid w:val="00EC0347"/>
    <w:rsid w:val="00EC11F4"/>
    <w:rsid w:val="00ED1642"/>
    <w:rsid w:val="00EE2ACD"/>
    <w:rsid w:val="00F01B93"/>
    <w:rsid w:val="00F01F11"/>
    <w:rsid w:val="00F319BB"/>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E2BC5B75C4ECBBE0AE52BD9529A68"/>
        <w:category>
          <w:name w:val="General"/>
          <w:gallery w:val="placeholder"/>
        </w:category>
        <w:types>
          <w:type w:val="bbPlcHdr"/>
        </w:types>
        <w:behaviors>
          <w:behavior w:val="content"/>
        </w:behaviors>
        <w:guid w:val="{D51AB1C8-B457-4F48-BD55-CDAFF813025E}"/>
      </w:docPartPr>
      <w:docPartBody>
        <w:p w:rsidR="006F28EE" w:rsidRDefault="006C1001" w:rsidP="006C1001">
          <w:pPr>
            <w:pStyle w:val="0C6E2BC5B75C4ECBBE0AE52BD9529A68"/>
          </w:pPr>
          <w:r w:rsidRPr="005C0980">
            <w:rPr>
              <w:rStyle w:val="PlaceholderText"/>
            </w:rPr>
            <w:t>Click or tap here to enter text.</w:t>
          </w:r>
        </w:p>
      </w:docPartBody>
    </w:docPart>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739B9"/>
    <w:rsid w:val="002170FF"/>
    <w:rsid w:val="00274579"/>
    <w:rsid w:val="002A72EE"/>
    <w:rsid w:val="003138CB"/>
    <w:rsid w:val="003F0F52"/>
    <w:rsid w:val="00473EA0"/>
    <w:rsid w:val="00474331"/>
    <w:rsid w:val="00487F6A"/>
    <w:rsid w:val="004950A2"/>
    <w:rsid w:val="00523C51"/>
    <w:rsid w:val="00600E1E"/>
    <w:rsid w:val="006421CF"/>
    <w:rsid w:val="00687E0A"/>
    <w:rsid w:val="006C1001"/>
    <w:rsid w:val="006F28EE"/>
    <w:rsid w:val="0074259F"/>
    <w:rsid w:val="007F5BCB"/>
    <w:rsid w:val="009D2428"/>
    <w:rsid w:val="00AA42B9"/>
    <w:rsid w:val="00C03422"/>
    <w:rsid w:val="00C66EC9"/>
    <w:rsid w:val="00DB07B4"/>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0C6E2BC5B75C4ECBBE0AE52BD9529A68">
    <w:name w:val="0C6E2BC5B75C4ECBBE0AE52BD9529A68"/>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2514</TotalTime>
  <Pages>14</Pages>
  <Words>15659</Words>
  <Characters>89258</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62</cp:revision>
  <dcterms:created xsi:type="dcterms:W3CDTF">2022-07-18T19:40:00Z</dcterms:created>
  <dcterms:modified xsi:type="dcterms:W3CDTF">2022-09-11T18:41:00Z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id="u4CucnXl"/&gt;&lt;style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