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F2C2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Knowledge Base Entry — Glostrup Hospital</w:t>
      </w:r>
    </w:p>
    <w:p w14:paraId="2995C48F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Functional Imaging Unit &amp; Clinic for Clinical Physiology, Nuclear Medicine and PET</w:t>
      </w:r>
    </w:p>
    <w:p w14:paraId="71A271BF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Role Overview</w:t>
      </w:r>
    </w:p>
    <w:p w14:paraId="7FF29761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Biomedical Engineering Student Assistant / Research Assistant and Engineering Intern within a highly regulated hospital environment, supporting clinical research and advanced medical imaging across MRI, CT, PET, SPECT, and nuclear medicine modalities. Operated at the intersection of patient-facing clinical work, medical device quality assurance, and data-driven research, with a strong emphasis on patient safety, protocol standardization, and analytical rigor.</w:t>
      </w:r>
    </w:p>
    <w:p w14:paraId="18A67321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pict w14:anchorId="08CC448A">
          <v:rect id="_x0000_i1061" style="width:0;height:1.5pt" o:hralign="center" o:hrstd="t" o:hr="t" fillcolor="#a0a0a0" stroked="f"/>
        </w:pict>
      </w:r>
    </w:p>
    <w:p w14:paraId="449B7B73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Clinical Imaging &amp; Patient-Facing Responsibilities</w:t>
      </w:r>
    </w:p>
    <w:p w14:paraId="1BDBC90A" w14:textId="77777777" w:rsidR="001F1274" w:rsidRPr="001F1274" w:rsidRDefault="001F1274" w:rsidP="001F127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Performed </w:t>
      </w:r>
      <w:r w:rsidRPr="001F1274">
        <w:rPr>
          <w:rFonts w:ascii="Calibri" w:hAnsi="Calibri" w:cs="Calibri"/>
          <w:b/>
          <w:bCs/>
          <w:sz w:val="22"/>
          <w:szCs w:val="22"/>
        </w:rPr>
        <w:t>independent MRI scanning</w:t>
      </w:r>
      <w:r w:rsidRPr="001F1274">
        <w:rPr>
          <w:rFonts w:ascii="Calibri" w:hAnsi="Calibri" w:cs="Calibri"/>
          <w:sz w:val="22"/>
          <w:szCs w:val="22"/>
        </w:rPr>
        <w:t xml:space="preserve"> (always dual-staffed for safety compliance) on a </w:t>
      </w:r>
      <w:r w:rsidRPr="001F1274">
        <w:rPr>
          <w:rFonts w:ascii="Calibri" w:hAnsi="Calibri" w:cs="Calibri"/>
          <w:b/>
          <w:bCs/>
          <w:sz w:val="22"/>
          <w:szCs w:val="22"/>
        </w:rPr>
        <w:t>Philips 3T system</w:t>
      </w:r>
      <w:r w:rsidRPr="001F1274">
        <w:rPr>
          <w:rFonts w:ascii="Calibri" w:hAnsi="Calibri" w:cs="Calibri"/>
          <w:sz w:val="22"/>
          <w:szCs w:val="22"/>
        </w:rPr>
        <w:t>, primarily supporting renal functional MRI and flow-based imaging in clinical research trials.</w:t>
      </w:r>
    </w:p>
    <w:p w14:paraId="59BC4B70" w14:textId="77777777" w:rsidR="001F1274" w:rsidRPr="001F1274" w:rsidRDefault="001F1274" w:rsidP="001F127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Prepared and received patients for scans, including:</w:t>
      </w:r>
    </w:p>
    <w:p w14:paraId="27A6FA7B" w14:textId="77777777" w:rsidR="001F1274" w:rsidRPr="001F1274" w:rsidRDefault="001F1274" w:rsidP="001F1274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Comprehensive </w:t>
      </w:r>
      <w:r w:rsidRPr="001F1274">
        <w:rPr>
          <w:rFonts w:ascii="Calibri" w:hAnsi="Calibri" w:cs="Calibri"/>
          <w:b/>
          <w:bCs/>
          <w:sz w:val="22"/>
          <w:szCs w:val="22"/>
        </w:rPr>
        <w:t>MR safety screening</w:t>
      </w:r>
      <w:r w:rsidRPr="001F1274">
        <w:rPr>
          <w:rFonts w:ascii="Calibri" w:hAnsi="Calibri" w:cs="Calibri"/>
          <w:sz w:val="22"/>
          <w:szCs w:val="22"/>
        </w:rPr>
        <w:t xml:space="preserve"> (metal objects, implants, tattoos, contraindications).</w:t>
      </w:r>
    </w:p>
    <w:p w14:paraId="4BE3FEA6" w14:textId="77777777" w:rsidR="001F1274" w:rsidRPr="001F1274" w:rsidRDefault="001F1274" w:rsidP="001F1274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Patient instruction, reassurance, and monitoring, including managing claustrophobia-related distress and terminating scans when required for patient wellbeing.</w:t>
      </w:r>
    </w:p>
    <w:p w14:paraId="04AD0877" w14:textId="77777777" w:rsidR="001F1274" w:rsidRPr="001F1274" w:rsidRDefault="001F1274" w:rsidP="001F127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Configured and applied </w:t>
      </w:r>
      <w:r w:rsidRPr="001F1274">
        <w:rPr>
          <w:rFonts w:ascii="Calibri" w:hAnsi="Calibri" w:cs="Calibri"/>
          <w:b/>
          <w:bCs/>
          <w:sz w:val="22"/>
          <w:szCs w:val="22"/>
        </w:rPr>
        <w:t>physiological monitoring equipment</w:t>
      </w:r>
      <w:r w:rsidRPr="001F1274">
        <w:rPr>
          <w:rFonts w:ascii="Calibri" w:hAnsi="Calibri" w:cs="Calibri"/>
          <w:sz w:val="22"/>
          <w:szCs w:val="22"/>
        </w:rPr>
        <w:t>, including:</w:t>
      </w:r>
    </w:p>
    <w:p w14:paraId="7D2A6EC1" w14:textId="77777777" w:rsidR="001F1274" w:rsidRPr="001F1274" w:rsidRDefault="001F1274" w:rsidP="001F1274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4-point ECG, pulse oximetry, and blood pressure monitoring.</w:t>
      </w:r>
    </w:p>
    <w:p w14:paraId="5FE7E4C9" w14:textId="77777777" w:rsidR="001F1274" w:rsidRPr="001F1274" w:rsidRDefault="001F1274" w:rsidP="001F1274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Continuous assessment and mitigation of motion, contact, and signal artefacts to ensure diagnostic-quality data.</w:t>
      </w:r>
    </w:p>
    <w:p w14:paraId="5E40EAD4" w14:textId="77777777" w:rsidR="001F1274" w:rsidRPr="001F1274" w:rsidRDefault="001F1274" w:rsidP="001F127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Executed predefined research protocols to ensure </w:t>
      </w:r>
      <w:r w:rsidRPr="001F1274">
        <w:rPr>
          <w:rFonts w:ascii="Calibri" w:hAnsi="Calibri" w:cs="Calibri"/>
          <w:b/>
          <w:bCs/>
          <w:sz w:val="22"/>
          <w:szCs w:val="22"/>
        </w:rPr>
        <w:t>data equivalence across all subjects</w:t>
      </w:r>
      <w:r w:rsidRPr="001F1274">
        <w:rPr>
          <w:rFonts w:ascii="Calibri" w:hAnsi="Calibri" w:cs="Calibri"/>
          <w:sz w:val="22"/>
          <w:szCs w:val="22"/>
        </w:rPr>
        <w:t>, while adjusting slice positioning and anatomical coverage to achieve accurate organ representation.</w:t>
      </w:r>
    </w:p>
    <w:p w14:paraId="7B7DB1DC" w14:textId="77777777" w:rsidR="001F1274" w:rsidRPr="001F1274" w:rsidRDefault="001F1274" w:rsidP="001F127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Managed post-scan workflows, including secure transfer of imaging data to project repositories and structured research folders.</w:t>
      </w:r>
    </w:p>
    <w:p w14:paraId="201D45E0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pict w14:anchorId="1F6E0640">
          <v:rect id="_x0000_i1062" style="width:0;height:1.5pt" o:hralign="center" o:hrstd="t" o:hr="t" fillcolor="#a0a0a0" stroked="f"/>
        </w:pict>
      </w:r>
    </w:p>
    <w:p w14:paraId="1E0E6D15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Data Analysis, Image Processing &amp; Research Support</w:t>
      </w:r>
    </w:p>
    <w:p w14:paraId="2A7B75C7" w14:textId="77777777" w:rsidR="001F1274" w:rsidRPr="001F1274" w:rsidRDefault="001F1274" w:rsidP="001F127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Conducted post-processing and quantitative analysis of MRI data, including </w:t>
      </w:r>
      <w:r w:rsidRPr="001F1274">
        <w:rPr>
          <w:rFonts w:ascii="Calibri" w:hAnsi="Calibri" w:cs="Calibri"/>
          <w:b/>
          <w:bCs/>
          <w:sz w:val="22"/>
          <w:szCs w:val="22"/>
        </w:rPr>
        <w:t>renal perfusion and flow metrics</w:t>
      </w:r>
      <w:r w:rsidRPr="001F1274">
        <w:rPr>
          <w:rFonts w:ascii="Calibri" w:hAnsi="Calibri" w:cs="Calibri"/>
          <w:sz w:val="22"/>
          <w:szCs w:val="22"/>
        </w:rPr>
        <w:t xml:space="preserve">, using </w:t>
      </w:r>
      <w:r w:rsidRPr="001F1274">
        <w:rPr>
          <w:rFonts w:ascii="Calibri" w:hAnsi="Calibri" w:cs="Calibri"/>
          <w:b/>
          <w:bCs/>
          <w:sz w:val="22"/>
          <w:szCs w:val="22"/>
        </w:rPr>
        <w:t>MATLAB</w:t>
      </w:r>
      <w:r w:rsidRPr="001F1274">
        <w:rPr>
          <w:rFonts w:ascii="Calibri" w:hAnsi="Calibri" w:cs="Calibri"/>
          <w:sz w:val="22"/>
          <w:szCs w:val="22"/>
        </w:rPr>
        <w:t>, FSL, and custom in-house analysis software.</w:t>
      </w:r>
    </w:p>
    <w:p w14:paraId="5D622124" w14:textId="77777777" w:rsidR="001F1274" w:rsidRPr="001F1274" w:rsidRDefault="001F1274" w:rsidP="001F127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Annotated and curated research datasets to support blinded clinical trials and PhD-level research projects.</w:t>
      </w:r>
    </w:p>
    <w:p w14:paraId="189E57B8" w14:textId="77777777" w:rsidR="001F1274" w:rsidRPr="001F1274" w:rsidRDefault="001F1274" w:rsidP="001F127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Identified systematic sources of error and variability in imaging-based perfusion analysis, contributing directly to improved research reliability.</w:t>
      </w:r>
    </w:p>
    <w:p w14:paraId="0D97E811" w14:textId="77777777" w:rsidR="001F1274" w:rsidRPr="001F1274" w:rsidRDefault="001F1274" w:rsidP="001F127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Authored a bachelor thesis based on observed analytical bottlenecks, developing a </w:t>
      </w:r>
      <w:r w:rsidRPr="001F1274">
        <w:rPr>
          <w:rFonts w:ascii="Calibri" w:hAnsi="Calibri" w:cs="Calibri"/>
          <w:b/>
          <w:bCs/>
          <w:sz w:val="22"/>
          <w:szCs w:val="22"/>
        </w:rPr>
        <w:t>deep learning–based segmentation and co-registration pipeline</w:t>
      </w:r>
      <w:r w:rsidRPr="001F1274">
        <w:rPr>
          <w:rFonts w:ascii="Calibri" w:hAnsi="Calibri" w:cs="Calibri"/>
          <w:sz w:val="22"/>
          <w:szCs w:val="22"/>
        </w:rPr>
        <w:t xml:space="preserve"> for renal MRI time series:</w:t>
      </w:r>
    </w:p>
    <w:p w14:paraId="17AE8CD3" w14:textId="77777777" w:rsidR="001F1274" w:rsidRPr="001F1274" w:rsidRDefault="001F1274" w:rsidP="001F1274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Automated kidney segmentation and alignment across 50+ image series per scan.</w:t>
      </w:r>
    </w:p>
    <w:p w14:paraId="1E5D3A6B" w14:textId="77777777" w:rsidR="001F1274" w:rsidRPr="001F1274" w:rsidRDefault="001F1274" w:rsidP="001F1274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lastRenderedPageBreak/>
        <w:t>Significantly reduced manual workload and uncertainty in perfusion calculations.</w:t>
      </w:r>
    </w:p>
    <w:p w14:paraId="7996E473" w14:textId="77777777" w:rsidR="001F1274" w:rsidRPr="001F1274" w:rsidRDefault="001F1274" w:rsidP="001F1274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Model was later implemented into the department’s analysis workflow, improving robustness of clinical trial outcomes.</w:t>
      </w:r>
    </w:p>
    <w:p w14:paraId="2CC6F7DB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pict w14:anchorId="5AF28DDB">
          <v:rect id="_x0000_i1063" style="width:0;height:1.5pt" o:hralign="center" o:hrstd="t" o:hr="t" fillcolor="#a0a0a0" stroked="f"/>
        </w:pict>
      </w:r>
    </w:p>
    <w:p w14:paraId="681F4B92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Medical Device Quality Assurance &amp; Technical Operations</w:t>
      </w:r>
    </w:p>
    <w:p w14:paraId="13A31707" w14:textId="77777777" w:rsidR="001F1274" w:rsidRPr="001F1274" w:rsidRDefault="001F1274" w:rsidP="001F1274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Executed </w:t>
      </w:r>
      <w:r w:rsidRPr="001F1274">
        <w:rPr>
          <w:rFonts w:ascii="Calibri" w:hAnsi="Calibri" w:cs="Calibri"/>
          <w:b/>
          <w:bCs/>
          <w:sz w:val="22"/>
          <w:szCs w:val="22"/>
        </w:rPr>
        <w:t>hands-on quality assurance programs</w:t>
      </w:r>
      <w:r w:rsidRPr="001F1274">
        <w:rPr>
          <w:rFonts w:ascii="Calibri" w:hAnsi="Calibri" w:cs="Calibri"/>
          <w:sz w:val="22"/>
          <w:szCs w:val="22"/>
        </w:rPr>
        <w:t xml:space="preserve"> for a broad range of diagnostic equipment, including:</w:t>
      </w:r>
    </w:p>
    <w:p w14:paraId="72B72C19" w14:textId="77777777" w:rsidR="001F1274" w:rsidRPr="001F1274" w:rsidRDefault="001F1274" w:rsidP="001F1274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MRI, CT, PET-CT, SPECT, gamma cameras, DEXA, ultrasound, lung function systems, dosimetry equipment, and isotope handling infrastructure.</w:t>
      </w:r>
    </w:p>
    <w:p w14:paraId="7823C300" w14:textId="77777777" w:rsidR="001F1274" w:rsidRPr="001F1274" w:rsidRDefault="001F1274" w:rsidP="001F1274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Performed daily, weekly, monthly, and annual controls using phantom-based and non-phantom-based procedures to ensure regulatory compliance.</w:t>
      </w:r>
    </w:p>
    <w:p w14:paraId="0EFCC406" w14:textId="77777777" w:rsidR="001F1274" w:rsidRPr="001F1274" w:rsidRDefault="001F1274" w:rsidP="001F1274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Documented deviations, evaluated tolerance thresholds, initiated corrective actions where possible, and escalated findings to senior physicists and engineers.</w:t>
      </w:r>
    </w:p>
    <w:p w14:paraId="11F8D8BF" w14:textId="77777777" w:rsidR="001F1274" w:rsidRPr="001F1274" w:rsidRDefault="001F1274" w:rsidP="001F1274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Detected and monitored imaging artefacts, including CT system deviations that required longitudinal surveillance rather than immediate intervention.</w:t>
      </w:r>
    </w:p>
    <w:p w14:paraId="129FE491" w14:textId="77777777" w:rsidR="001F1274" w:rsidRPr="001F1274" w:rsidRDefault="001F1274" w:rsidP="001F1274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Diagnosed failures in </w:t>
      </w:r>
      <w:r w:rsidRPr="001F1274">
        <w:rPr>
          <w:rFonts w:ascii="Calibri" w:hAnsi="Calibri" w:cs="Calibri"/>
          <w:b/>
          <w:bCs/>
          <w:sz w:val="22"/>
          <w:szCs w:val="22"/>
        </w:rPr>
        <w:t>contrast and isotope injection pumps</w:t>
      </w:r>
      <w:r w:rsidRPr="001F1274">
        <w:rPr>
          <w:rFonts w:ascii="Calibri" w:hAnsi="Calibri" w:cs="Calibri"/>
          <w:sz w:val="22"/>
          <w:szCs w:val="22"/>
        </w:rPr>
        <w:t xml:space="preserve">, successfully repairing one device and coordinating vendor repair for another, recognizing the </w:t>
      </w:r>
      <w:r w:rsidRPr="001F1274">
        <w:rPr>
          <w:rFonts w:ascii="Calibri" w:hAnsi="Calibri" w:cs="Calibri"/>
          <w:b/>
          <w:bCs/>
          <w:sz w:val="22"/>
          <w:szCs w:val="22"/>
        </w:rPr>
        <w:t>patient-critical risk</w:t>
      </w:r>
      <w:r w:rsidRPr="001F1274">
        <w:rPr>
          <w:rFonts w:ascii="Calibri" w:hAnsi="Calibri" w:cs="Calibri"/>
          <w:sz w:val="22"/>
          <w:szCs w:val="22"/>
        </w:rPr>
        <w:t xml:space="preserve"> associated with malfunctioning infusion equipment in nuclear medicine.</w:t>
      </w:r>
    </w:p>
    <w:p w14:paraId="1B10459A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pict w14:anchorId="2638E4C6">
          <v:rect id="_x0000_i1064" style="width:0;height:1.5pt" o:hralign="center" o:hrstd="t" o:hr="t" fillcolor="#a0a0a0" stroked="f"/>
        </w:pict>
      </w:r>
    </w:p>
    <w:p w14:paraId="5A4ADDE4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Protocol Standardization, SOPs &amp; Systems Thinking</w:t>
      </w:r>
    </w:p>
    <w:p w14:paraId="052F4F78" w14:textId="77777777" w:rsidR="001F1274" w:rsidRPr="001F1274" w:rsidRDefault="001F1274" w:rsidP="001F127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Led a cross-scanner </w:t>
      </w:r>
      <w:r w:rsidRPr="001F1274">
        <w:rPr>
          <w:rFonts w:ascii="Calibri" w:hAnsi="Calibri" w:cs="Calibri"/>
          <w:b/>
          <w:bCs/>
          <w:sz w:val="22"/>
          <w:szCs w:val="22"/>
        </w:rPr>
        <w:t>CT protocol harmonization effort</w:t>
      </w:r>
      <w:r w:rsidRPr="001F1274">
        <w:rPr>
          <w:rFonts w:ascii="Calibri" w:hAnsi="Calibri" w:cs="Calibri"/>
          <w:sz w:val="22"/>
          <w:szCs w:val="22"/>
        </w:rPr>
        <w:t xml:space="preserve"> across approximately a dozen systems with varying hardware generations:</w:t>
      </w:r>
    </w:p>
    <w:p w14:paraId="030867B1" w14:textId="77777777" w:rsidR="001F1274" w:rsidRPr="001F1274" w:rsidRDefault="001F1274" w:rsidP="001F1274">
      <w:pPr>
        <w:numPr>
          <w:ilvl w:val="1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Audited protocol parameters across all scanners.</w:t>
      </w:r>
    </w:p>
    <w:p w14:paraId="747EB482" w14:textId="77777777" w:rsidR="001F1274" w:rsidRPr="001F1274" w:rsidRDefault="001F1274" w:rsidP="001F1274">
      <w:pPr>
        <w:numPr>
          <w:ilvl w:val="1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Standardized settings to ensure that identical protocols produced equivalent examinations regardless of scanner or patient relocation.</w:t>
      </w:r>
    </w:p>
    <w:p w14:paraId="3BDFDCCF" w14:textId="77777777" w:rsidR="001F1274" w:rsidRPr="001F1274" w:rsidRDefault="001F1274" w:rsidP="001F1274">
      <w:pPr>
        <w:numPr>
          <w:ilvl w:val="1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Documented unavoidable deviations due to hardware constraints and ensured traceability.</w:t>
      </w:r>
    </w:p>
    <w:p w14:paraId="1626CC3D" w14:textId="77777777" w:rsidR="001F1274" w:rsidRPr="001F1274" w:rsidRDefault="001F1274" w:rsidP="001F127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Authored </w:t>
      </w:r>
      <w:r w:rsidRPr="001F1274">
        <w:rPr>
          <w:rFonts w:ascii="Calibri" w:hAnsi="Calibri" w:cs="Calibri"/>
          <w:b/>
          <w:bCs/>
          <w:sz w:val="22"/>
          <w:szCs w:val="22"/>
        </w:rPr>
        <w:t>standard operating procedures (SOPs)</w:t>
      </w:r>
      <w:r w:rsidRPr="001F1274">
        <w:rPr>
          <w:rFonts w:ascii="Calibri" w:hAnsi="Calibri" w:cs="Calibri"/>
          <w:sz w:val="22"/>
          <w:szCs w:val="22"/>
        </w:rPr>
        <w:t xml:space="preserve"> for clinical staff to support infrequent but critical workflows (e.g., scan recreation and protocol recovery), reducing reliance on ad hoc expert assistance.</w:t>
      </w:r>
    </w:p>
    <w:p w14:paraId="69760E3C" w14:textId="77777777" w:rsidR="001F1274" w:rsidRPr="001F1274" w:rsidRDefault="001F1274" w:rsidP="001F127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Updated departmental safety and technical documentation to reflect current software behavior and operational practices.</w:t>
      </w:r>
    </w:p>
    <w:p w14:paraId="710CF7F9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pict w14:anchorId="6FAD4E14">
          <v:rect id="_x0000_i1065" style="width:0;height:1.5pt" o:hralign="center" o:hrstd="t" o:hr="t" fillcolor="#a0a0a0" stroked="f"/>
        </w:pict>
      </w:r>
    </w:p>
    <w:p w14:paraId="1992060B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Professional Attributes &amp; Differentiators</w:t>
      </w:r>
    </w:p>
    <w:p w14:paraId="11FE8DC5" w14:textId="77777777" w:rsidR="001F1274" w:rsidRPr="001F1274" w:rsidRDefault="001F1274" w:rsidP="001F1274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Demonstrated </w:t>
      </w:r>
      <w:r w:rsidRPr="001F1274">
        <w:rPr>
          <w:rFonts w:ascii="Calibri" w:hAnsi="Calibri" w:cs="Calibri"/>
          <w:b/>
          <w:bCs/>
          <w:sz w:val="22"/>
          <w:szCs w:val="22"/>
        </w:rPr>
        <w:t>exceptional trustworthiness and autonomy</w:t>
      </w:r>
      <w:r w:rsidRPr="001F1274">
        <w:rPr>
          <w:rFonts w:ascii="Calibri" w:hAnsi="Calibri" w:cs="Calibri"/>
          <w:sz w:val="22"/>
          <w:szCs w:val="22"/>
        </w:rPr>
        <w:t>, routinely operating MRI scans and handling patients during weekends with minimal on-site supervision.</w:t>
      </w:r>
    </w:p>
    <w:p w14:paraId="6D9173C3" w14:textId="77777777" w:rsidR="001F1274" w:rsidRPr="001F1274" w:rsidRDefault="001F1274" w:rsidP="001F1274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 xml:space="preserve">Known for </w:t>
      </w:r>
      <w:r w:rsidRPr="001F1274">
        <w:rPr>
          <w:rFonts w:ascii="Calibri" w:hAnsi="Calibri" w:cs="Calibri"/>
          <w:b/>
          <w:bCs/>
          <w:sz w:val="22"/>
          <w:szCs w:val="22"/>
        </w:rPr>
        <w:t>precision, attention to detail, and accountability for patient safety</w:t>
      </w:r>
      <w:r w:rsidRPr="001F1274">
        <w:rPr>
          <w:rFonts w:ascii="Calibri" w:hAnsi="Calibri" w:cs="Calibri"/>
          <w:sz w:val="22"/>
          <w:szCs w:val="22"/>
        </w:rPr>
        <w:t xml:space="preserve"> in high-stakes clinical environments.</w:t>
      </w:r>
    </w:p>
    <w:p w14:paraId="0012FEB3" w14:textId="77777777" w:rsidR="001F1274" w:rsidRPr="001F1274" w:rsidRDefault="001F1274" w:rsidP="001F1274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lastRenderedPageBreak/>
        <w:t>Strong problem solver with a systems-level mindset, proactively identifying inefficiencies and proposing technically sound improvements.</w:t>
      </w:r>
    </w:p>
    <w:p w14:paraId="73C1BA11" w14:textId="77777777" w:rsidR="001F1274" w:rsidRPr="001F1274" w:rsidRDefault="001F1274" w:rsidP="001F1274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Experienced in interdisciplinary collaboration with physicians, physicists, engineers, radiographers, bioanalysts, and academic researchers.</w:t>
      </w:r>
    </w:p>
    <w:p w14:paraId="6A0C2259" w14:textId="77777777" w:rsidR="001F1274" w:rsidRPr="001F1274" w:rsidRDefault="001F1274" w:rsidP="001F1274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t>Developed a nuanced understanding of the practical and ethical complexities inherent in clinical trials, including variability control, error propagation, and patient risk management.</w:t>
      </w:r>
    </w:p>
    <w:p w14:paraId="6E8EA7D7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  <w:r w:rsidRPr="001F1274">
        <w:rPr>
          <w:rFonts w:ascii="Calibri" w:hAnsi="Calibri" w:cs="Calibri"/>
          <w:sz w:val="22"/>
          <w:szCs w:val="22"/>
        </w:rPr>
        <w:pict w14:anchorId="66994069">
          <v:rect id="_x0000_i1066" style="width:0;height:1.5pt" o:hralign="center" o:hrstd="t" o:hr="t" fillcolor="#a0a0a0" stroked="f"/>
        </w:pict>
      </w:r>
    </w:p>
    <w:p w14:paraId="71C9D871" w14:textId="77777777" w:rsidR="001F1274" w:rsidRPr="001F1274" w:rsidRDefault="001F1274" w:rsidP="001F127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Core Keyword Clusters (for GPT Retrieval)</w:t>
      </w:r>
    </w:p>
    <w:p w14:paraId="67815245" w14:textId="77777777" w:rsid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1F1274">
        <w:rPr>
          <w:rFonts w:ascii="Calibri" w:hAnsi="Calibri" w:cs="Calibri"/>
          <w:b/>
          <w:bCs/>
          <w:sz w:val="22"/>
          <w:szCs w:val="22"/>
        </w:rPr>
        <w:t>Medical Imaging:</w:t>
      </w:r>
      <w:r w:rsidRPr="001F1274">
        <w:rPr>
          <w:rFonts w:ascii="Calibri" w:hAnsi="Calibri" w:cs="Calibri"/>
          <w:sz w:val="22"/>
          <w:szCs w:val="22"/>
        </w:rPr>
        <w:t xml:space="preserve"> MRI, CT, PET, SPECT, Nuclear Medicine, Renal fMRI, Perfusion Imaging, Flow Measurements</w:t>
      </w:r>
      <w:r w:rsidRPr="001F1274">
        <w:rPr>
          <w:rFonts w:ascii="Calibri" w:hAnsi="Calibri" w:cs="Calibri"/>
          <w:sz w:val="22"/>
          <w:szCs w:val="22"/>
        </w:rPr>
        <w:br/>
      </w:r>
      <w:r w:rsidRPr="001F1274">
        <w:rPr>
          <w:rFonts w:ascii="Calibri" w:hAnsi="Calibri" w:cs="Calibri"/>
          <w:b/>
          <w:bCs/>
          <w:sz w:val="22"/>
          <w:szCs w:val="22"/>
        </w:rPr>
        <w:t>Clinical Engineering:</w:t>
      </w:r>
      <w:r w:rsidRPr="001F1274">
        <w:rPr>
          <w:rFonts w:ascii="Calibri" w:hAnsi="Calibri" w:cs="Calibri"/>
          <w:sz w:val="22"/>
          <w:szCs w:val="22"/>
        </w:rPr>
        <w:t xml:space="preserve"> Medical Device QA, Phantom Testing, Protocol Harmonization, SOP Development, Regulatory Compliance</w:t>
      </w:r>
      <w:r w:rsidRPr="001F1274">
        <w:rPr>
          <w:rFonts w:ascii="Calibri" w:hAnsi="Calibri" w:cs="Calibri"/>
          <w:sz w:val="22"/>
          <w:szCs w:val="22"/>
        </w:rPr>
        <w:br/>
      </w:r>
      <w:r w:rsidRPr="001F1274">
        <w:rPr>
          <w:rFonts w:ascii="Calibri" w:hAnsi="Calibri" w:cs="Calibri"/>
          <w:b/>
          <w:bCs/>
          <w:sz w:val="22"/>
          <w:szCs w:val="22"/>
        </w:rPr>
        <w:t>Data &amp; AI:</w:t>
      </w:r>
      <w:r w:rsidRPr="001F1274">
        <w:rPr>
          <w:rFonts w:ascii="Calibri" w:hAnsi="Calibri" w:cs="Calibri"/>
          <w:sz w:val="22"/>
          <w:szCs w:val="22"/>
        </w:rPr>
        <w:t xml:space="preserve"> MATLAB, Image Analysis, Medical Image Processing, Deep Learning, Segmentation, Co-registration, Data Quality</w:t>
      </w:r>
      <w:r w:rsidRPr="001F1274">
        <w:rPr>
          <w:rFonts w:ascii="Calibri" w:hAnsi="Calibri" w:cs="Calibri"/>
          <w:sz w:val="22"/>
          <w:szCs w:val="22"/>
        </w:rPr>
        <w:br/>
      </w:r>
      <w:r w:rsidRPr="001F1274">
        <w:rPr>
          <w:rFonts w:ascii="Calibri" w:hAnsi="Calibri" w:cs="Calibri"/>
          <w:b/>
          <w:bCs/>
          <w:sz w:val="22"/>
          <w:szCs w:val="22"/>
        </w:rPr>
        <w:t>Clinical Research:</w:t>
      </w:r>
      <w:r w:rsidRPr="001F1274">
        <w:rPr>
          <w:rFonts w:ascii="Calibri" w:hAnsi="Calibri" w:cs="Calibri"/>
          <w:sz w:val="22"/>
          <w:szCs w:val="22"/>
        </w:rPr>
        <w:t xml:space="preserve"> Clinical Trials, Blinded Studies, Patient Safety, Research Data Pipelines</w:t>
      </w:r>
      <w:r w:rsidRPr="001F1274">
        <w:rPr>
          <w:rFonts w:ascii="Calibri" w:hAnsi="Calibri" w:cs="Calibri"/>
          <w:sz w:val="22"/>
          <w:szCs w:val="22"/>
        </w:rPr>
        <w:br/>
      </w:r>
      <w:r w:rsidRPr="001F1274">
        <w:rPr>
          <w:rFonts w:ascii="Calibri" w:hAnsi="Calibri" w:cs="Calibri"/>
          <w:b/>
          <w:bCs/>
          <w:sz w:val="22"/>
          <w:szCs w:val="22"/>
        </w:rPr>
        <w:t>Professional Skills:</w:t>
      </w:r>
      <w:r w:rsidRPr="001F1274">
        <w:rPr>
          <w:rFonts w:ascii="Calibri" w:hAnsi="Calibri" w:cs="Calibri"/>
          <w:sz w:val="22"/>
          <w:szCs w:val="22"/>
        </w:rPr>
        <w:t xml:space="preserve"> Risk Assessment, Precision Engineering, Interdisciplinary Collaboration, Technical Documentation</w:t>
      </w:r>
    </w:p>
    <w:p w14:paraId="18B53597" w14:textId="4B5B4BC4" w:rsidR="00F339D8" w:rsidRDefault="00F339D8" w:rsidP="001F1274">
      <w:p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1F1274">
        <w:rPr>
          <w:rFonts w:ascii="Calibri" w:hAnsi="Calibri" w:cs="Calibri"/>
          <w:sz w:val="22"/>
          <w:szCs w:val="22"/>
        </w:rPr>
        <w:pict w14:anchorId="07EDDD9C">
          <v:rect id="_x0000_i1091" style="width:0;height:1.5pt" o:hralign="center" o:hrstd="t" o:hr="t" fillcolor="#a0a0a0" stroked="f"/>
        </w:pict>
      </w:r>
    </w:p>
    <w:p w14:paraId="15A7454B" w14:textId="77777777" w:rsidR="00F339D8" w:rsidRPr="00F339D8" w:rsidRDefault="00F339D8" w:rsidP="00F339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339D8">
        <w:rPr>
          <w:rFonts w:ascii="Calibri" w:hAnsi="Calibri" w:cs="Calibri"/>
          <w:b/>
          <w:bCs/>
          <w:sz w:val="22"/>
          <w:szCs w:val="22"/>
        </w:rPr>
        <w:t>Engineering Insight &amp; Impact (Job-Focused Reasoning)</w:t>
      </w:r>
    </w:p>
    <w:p w14:paraId="4D1A06AB" w14:textId="77777777" w:rsidR="00F339D8" w:rsidRPr="00F339D8" w:rsidRDefault="00F339D8" w:rsidP="00F339D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 xml:space="preserve">Learned firsthand how </w:t>
      </w:r>
      <w:r w:rsidRPr="00F339D8">
        <w:rPr>
          <w:rFonts w:ascii="Calibri" w:hAnsi="Calibri" w:cs="Calibri"/>
          <w:b/>
          <w:bCs/>
          <w:sz w:val="22"/>
          <w:szCs w:val="22"/>
        </w:rPr>
        <w:t>human variability</w:t>
      </w:r>
      <w:r w:rsidRPr="00F339D8">
        <w:rPr>
          <w:rFonts w:ascii="Calibri" w:hAnsi="Calibri" w:cs="Calibri"/>
          <w:sz w:val="22"/>
          <w:szCs w:val="22"/>
        </w:rPr>
        <w:t xml:space="preserve"> (operator fatigue, time pressure, contextual bias) can introduce subtle but significant inconsistencies in medical image annotation and analysis.</w:t>
      </w:r>
    </w:p>
    <w:p w14:paraId="7A7E9F57" w14:textId="77777777" w:rsidR="00F339D8" w:rsidRPr="00F339D8" w:rsidRDefault="00F339D8" w:rsidP="00F339D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>Identified that manual kidney alignment across MRI time series was a major, under-recognized source of uncertainty in renal perfusion measurements.</w:t>
      </w:r>
    </w:p>
    <w:p w14:paraId="66B3C8E9" w14:textId="77777777" w:rsidR="00F339D8" w:rsidRPr="00F339D8" w:rsidRDefault="00F339D8" w:rsidP="00F339D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 xml:space="preserve">Proposed and developed an </w:t>
      </w:r>
      <w:r w:rsidRPr="00F339D8">
        <w:rPr>
          <w:rFonts w:ascii="Calibri" w:hAnsi="Calibri" w:cs="Calibri"/>
          <w:b/>
          <w:bCs/>
          <w:sz w:val="22"/>
          <w:szCs w:val="22"/>
        </w:rPr>
        <w:t>automation-driven solution</w:t>
      </w:r>
      <w:r w:rsidRPr="00F339D8">
        <w:rPr>
          <w:rFonts w:ascii="Calibri" w:hAnsi="Calibri" w:cs="Calibri"/>
          <w:sz w:val="22"/>
          <w:szCs w:val="22"/>
        </w:rPr>
        <w:t xml:space="preserve"> using deep learning to segment and co-register kidneys consistently across image series.</w:t>
      </w:r>
    </w:p>
    <w:p w14:paraId="1A2F79AC" w14:textId="77777777" w:rsidR="00F339D8" w:rsidRPr="00F339D8" w:rsidRDefault="00F339D8" w:rsidP="00F339D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 xml:space="preserve">The automated pipeline </w:t>
      </w:r>
      <w:r w:rsidRPr="00F339D8">
        <w:rPr>
          <w:rFonts w:ascii="Calibri" w:hAnsi="Calibri" w:cs="Calibri"/>
          <w:b/>
          <w:bCs/>
          <w:sz w:val="22"/>
          <w:szCs w:val="22"/>
        </w:rPr>
        <w:t>reduced re-analysis</w:t>
      </w:r>
      <w:r w:rsidRPr="00F339D8">
        <w:rPr>
          <w:rFonts w:ascii="Calibri" w:hAnsi="Calibri" w:cs="Calibri"/>
          <w:sz w:val="22"/>
          <w:szCs w:val="22"/>
        </w:rPr>
        <w:t>, improved reproducibility of perfusion metrics, and increased overall confidence in clinical trial results.</w:t>
      </w:r>
    </w:p>
    <w:p w14:paraId="2A5B8BF6" w14:textId="77777777" w:rsidR="00F339D8" w:rsidRPr="00F339D8" w:rsidRDefault="00F339D8" w:rsidP="00F339D8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 xml:space="preserve">Gained a strong appreciation for </w:t>
      </w:r>
      <w:r w:rsidRPr="00F339D8">
        <w:rPr>
          <w:rFonts w:ascii="Calibri" w:hAnsi="Calibri" w:cs="Calibri"/>
          <w:b/>
          <w:bCs/>
          <w:sz w:val="22"/>
          <w:szCs w:val="22"/>
        </w:rPr>
        <w:t>automation as a quality and risk-mitigation tool</w:t>
      </w:r>
      <w:r w:rsidRPr="00F339D8">
        <w:rPr>
          <w:rFonts w:ascii="Calibri" w:hAnsi="Calibri" w:cs="Calibri"/>
          <w:sz w:val="22"/>
          <w:szCs w:val="22"/>
        </w:rPr>
        <w:t>, rather than merely a productivity enhancement.</w:t>
      </w:r>
    </w:p>
    <w:p w14:paraId="058F1C5A" w14:textId="41DFC713" w:rsidR="00F339D8" w:rsidRDefault="00F339D8" w:rsidP="00F339D8">
      <w:pPr>
        <w:spacing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1F1274">
        <w:rPr>
          <w:rFonts w:ascii="Calibri" w:hAnsi="Calibri" w:cs="Calibri"/>
          <w:sz w:val="22"/>
          <w:szCs w:val="22"/>
        </w:rPr>
        <w:pict w14:anchorId="08766A7C">
          <v:rect id="_x0000_i1092" style="width:0;height:1.5pt" o:hralign="center" o:hrstd="t" o:hr="t" fillcolor="#a0a0a0" stroked="f"/>
        </w:pict>
      </w:r>
    </w:p>
    <w:p w14:paraId="67EA1A01" w14:textId="04BDEF39" w:rsidR="00F339D8" w:rsidRPr="00F339D8" w:rsidRDefault="00F339D8" w:rsidP="00F339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339D8">
        <w:rPr>
          <w:rFonts w:ascii="Calibri" w:hAnsi="Calibri" w:cs="Calibri"/>
          <w:b/>
          <w:bCs/>
          <w:sz w:val="22"/>
          <w:szCs w:val="22"/>
        </w:rPr>
        <w:t>Reusable Professional Insights</w:t>
      </w:r>
    </w:p>
    <w:p w14:paraId="1AF490A0" w14:textId="77777777" w:rsidR="00F339D8" w:rsidRPr="00F339D8" w:rsidRDefault="00F339D8" w:rsidP="00F339D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>“During my time at Glostrup Hospital, I learned how even small automation steps can significantly improve data accuracy and reproducibility in clinical research.”</w:t>
      </w:r>
    </w:p>
    <w:p w14:paraId="335D120F" w14:textId="77777777" w:rsidR="00F339D8" w:rsidRPr="00F339D8" w:rsidRDefault="00F339D8" w:rsidP="00F339D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>“Removing human variability from a critical annotation step reduced hidden sources of error and the need for repeated analyses.”</w:t>
      </w:r>
    </w:p>
    <w:p w14:paraId="148A8B50" w14:textId="77777777" w:rsidR="00F339D8" w:rsidRPr="00F339D8" w:rsidRDefault="00F339D8" w:rsidP="00F339D8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339D8">
        <w:rPr>
          <w:rFonts w:ascii="Calibri" w:hAnsi="Calibri" w:cs="Calibri"/>
          <w:sz w:val="22"/>
          <w:szCs w:val="22"/>
        </w:rPr>
        <w:t>“Automation, when applied selectively, can act as a safety and quality control mechanism in regulated environments.”</w:t>
      </w:r>
    </w:p>
    <w:p w14:paraId="705B5DB3" w14:textId="77777777" w:rsidR="00F339D8" w:rsidRPr="001F1274" w:rsidRDefault="00F339D8" w:rsidP="001F1274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4613A95" w14:textId="77777777" w:rsidR="001F1274" w:rsidRPr="001F1274" w:rsidRDefault="001F1274" w:rsidP="001F1274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1F1274" w:rsidRPr="001F12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365"/>
    <w:multiLevelType w:val="multilevel"/>
    <w:tmpl w:val="1A7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F0114"/>
    <w:multiLevelType w:val="multilevel"/>
    <w:tmpl w:val="008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D48E9"/>
    <w:multiLevelType w:val="multilevel"/>
    <w:tmpl w:val="BEC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93C4D"/>
    <w:multiLevelType w:val="multilevel"/>
    <w:tmpl w:val="1B9C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642BE"/>
    <w:multiLevelType w:val="multilevel"/>
    <w:tmpl w:val="7C4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D10A7"/>
    <w:multiLevelType w:val="multilevel"/>
    <w:tmpl w:val="1AA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863E9"/>
    <w:multiLevelType w:val="multilevel"/>
    <w:tmpl w:val="6A4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47755">
    <w:abstractNumId w:val="6"/>
  </w:num>
  <w:num w:numId="2" w16cid:durableId="445346301">
    <w:abstractNumId w:val="5"/>
  </w:num>
  <w:num w:numId="3" w16cid:durableId="1245797600">
    <w:abstractNumId w:val="4"/>
  </w:num>
  <w:num w:numId="4" w16cid:durableId="667943994">
    <w:abstractNumId w:val="2"/>
  </w:num>
  <w:num w:numId="5" w16cid:durableId="1064108476">
    <w:abstractNumId w:val="3"/>
  </w:num>
  <w:num w:numId="6" w16cid:durableId="1042368818">
    <w:abstractNumId w:val="0"/>
  </w:num>
  <w:num w:numId="7" w16cid:durableId="493302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74"/>
    <w:rsid w:val="001F1274"/>
    <w:rsid w:val="0045505D"/>
    <w:rsid w:val="00F3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C450"/>
  <w15:chartTrackingRefBased/>
  <w15:docId w15:val="{F59FD1D2-4950-4B95-A0E4-0B075C2F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cp:lastPrinted>2025-12-14T11:21:00Z</cp:lastPrinted>
  <dcterms:created xsi:type="dcterms:W3CDTF">2025-12-14T11:04:00Z</dcterms:created>
  <dcterms:modified xsi:type="dcterms:W3CDTF">2025-12-14T11:22:00Z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be12219a-3a7b-4107-9024-c39686bac228</vt:lpwstr>
  </property>
</Properties>
</file>