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1CBD" w14:textId="77777777" w:rsidR="00EA799E" w:rsidRPr="00EA799E" w:rsidRDefault="00EA799E" w:rsidP="00EA799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99E">
        <w:rPr>
          <w:rFonts w:ascii="Calibri" w:hAnsi="Calibri" w:cs="Calibri"/>
          <w:b/>
          <w:bCs/>
          <w:sz w:val="22"/>
          <w:szCs w:val="22"/>
        </w:rPr>
        <w:t>Knowledge Base Entry — Human-Centered Data Platform Engineering</w:t>
      </w:r>
    </w:p>
    <w:p w14:paraId="04255608" w14:textId="77777777" w:rsidR="00EA799E" w:rsidRPr="00EA799E" w:rsidRDefault="00EA799E" w:rsidP="00EA799E">
      <w:p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b/>
          <w:bCs/>
          <w:sz w:val="22"/>
          <w:szCs w:val="22"/>
        </w:rPr>
        <w:t>Configuration Specialist (Contract) — H. Lundbeck A/S</w:t>
      </w:r>
    </w:p>
    <w:p w14:paraId="27621C71" w14:textId="77777777" w:rsidR="00EA799E" w:rsidRPr="00EA799E" w:rsidRDefault="00EA799E" w:rsidP="00EA799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99E">
        <w:rPr>
          <w:rFonts w:ascii="Calibri" w:hAnsi="Calibri" w:cs="Calibri"/>
          <w:b/>
          <w:bCs/>
          <w:sz w:val="22"/>
          <w:szCs w:val="22"/>
        </w:rPr>
        <w:t>Role Overview</w:t>
      </w:r>
    </w:p>
    <w:p w14:paraId="79E9E2FB" w14:textId="77777777" w:rsidR="00EA799E" w:rsidRPr="00EA799E" w:rsidRDefault="00EA799E" w:rsidP="00EA799E">
      <w:p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 xml:space="preserve">Embedded consultant on Lundbeck’s </w:t>
      </w:r>
      <w:r w:rsidRPr="00EA799E">
        <w:rPr>
          <w:rFonts w:ascii="Calibri" w:hAnsi="Calibri" w:cs="Calibri"/>
          <w:b/>
          <w:bCs/>
          <w:sz w:val="22"/>
          <w:szCs w:val="22"/>
        </w:rPr>
        <w:t>Research Data Platform (RDP)</w:t>
      </w:r>
      <w:r w:rsidRPr="00EA799E">
        <w:rPr>
          <w:rFonts w:ascii="Calibri" w:hAnsi="Calibri" w:cs="Calibri"/>
          <w:sz w:val="22"/>
          <w:szCs w:val="22"/>
        </w:rPr>
        <w:t xml:space="preserve">, contributing as a fully integrated member of a cross-functional project team. The role is organized around </w:t>
      </w:r>
      <w:r w:rsidRPr="00EA799E">
        <w:rPr>
          <w:rFonts w:ascii="Calibri" w:hAnsi="Calibri" w:cs="Calibri"/>
          <w:b/>
          <w:bCs/>
          <w:sz w:val="22"/>
          <w:szCs w:val="22"/>
        </w:rPr>
        <w:t>use-case–driven project work</w:t>
      </w:r>
      <w:r w:rsidRPr="00EA799E">
        <w:rPr>
          <w:rFonts w:ascii="Calibri" w:hAnsi="Calibri" w:cs="Calibri"/>
          <w:sz w:val="22"/>
          <w:szCs w:val="22"/>
        </w:rPr>
        <w:t xml:space="preserve">, spanning discovery, solution design, implementation, verification, and go-live. Although formally titled “Configuration Specialist,” the role combines </w:t>
      </w:r>
      <w:r w:rsidRPr="00EA799E">
        <w:rPr>
          <w:rFonts w:ascii="Calibri" w:hAnsi="Calibri" w:cs="Calibri"/>
          <w:b/>
          <w:bCs/>
          <w:sz w:val="22"/>
          <w:szCs w:val="22"/>
        </w:rPr>
        <w:t>data platform engineering, business analysis, and user advocacy</w:t>
      </w:r>
      <w:r w:rsidRPr="00EA799E">
        <w:rPr>
          <w:rFonts w:ascii="Calibri" w:hAnsi="Calibri" w:cs="Calibri"/>
          <w:sz w:val="22"/>
          <w:szCs w:val="22"/>
        </w:rPr>
        <w:t>, with a strong emphasis on scientific context, data integrity, and real-world usability.</w:t>
      </w:r>
    </w:p>
    <w:p w14:paraId="1CB59F69" w14:textId="77777777" w:rsidR="00EA799E" w:rsidRPr="00EA799E" w:rsidRDefault="00EA799E" w:rsidP="00EA799E">
      <w:p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pict w14:anchorId="4CC2AC5F">
          <v:rect id="_x0000_i1067" style="width:0;height:1.5pt" o:hralign="center" o:hrstd="t" o:hr="t" fillcolor="#a0a0a0" stroked="f"/>
        </w:pict>
      </w:r>
    </w:p>
    <w:p w14:paraId="7EB14C18" w14:textId="77777777" w:rsidR="00EA799E" w:rsidRPr="00EA799E" w:rsidRDefault="00EA799E" w:rsidP="00EA799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99E">
        <w:rPr>
          <w:rFonts w:ascii="Calibri" w:hAnsi="Calibri" w:cs="Calibri"/>
          <w:b/>
          <w:bCs/>
          <w:sz w:val="22"/>
          <w:szCs w:val="22"/>
        </w:rPr>
        <w:t>Project-Based Working Model</w:t>
      </w:r>
    </w:p>
    <w:p w14:paraId="72C12376" w14:textId="77777777" w:rsidR="00EA799E" w:rsidRPr="00EA799E" w:rsidRDefault="00EA799E" w:rsidP="00EA799E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 xml:space="preserve">Worked in a </w:t>
      </w:r>
      <w:r w:rsidRPr="00EA799E">
        <w:rPr>
          <w:rFonts w:ascii="Calibri" w:hAnsi="Calibri" w:cs="Calibri"/>
          <w:b/>
          <w:bCs/>
          <w:sz w:val="22"/>
          <w:szCs w:val="22"/>
        </w:rPr>
        <w:t>use-case–oriented delivery cycle</w:t>
      </w:r>
      <w:r w:rsidRPr="00EA799E">
        <w:rPr>
          <w:rFonts w:ascii="Calibri" w:hAnsi="Calibri" w:cs="Calibri"/>
          <w:sz w:val="22"/>
          <w:szCs w:val="22"/>
        </w:rPr>
        <w:t>, typically handling one primary use case at a time (occasionally overlapping), covering:</w:t>
      </w:r>
    </w:p>
    <w:p w14:paraId="767A51B0" w14:textId="77777777" w:rsidR="00EA799E" w:rsidRPr="00EA799E" w:rsidRDefault="00EA799E" w:rsidP="00EA799E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Discovery sessions with stakeholders and end users</w:t>
      </w:r>
    </w:p>
    <w:p w14:paraId="4D9CB576" w14:textId="77777777" w:rsidR="00EA799E" w:rsidRPr="00EA799E" w:rsidRDefault="00EA799E" w:rsidP="00EA799E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Solution design and requirements clarification</w:t>
      </w:r>
    </w:p>
    <w:p w14:paraId="0FEA58B2" w14:textId="77777777" w:rsidR="00EA799E" w:rsidRPr="00EA799E" w:rsidRDefault="00EA799E" w:rsidP="00EA799E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Implementation and configuration of data pipelines</w:t>
      </w:r>
    </w:p>
    <w:p w14:paraId="2C595C90" w14:textId="77777777" w:rsidR="00EA799E" w:rsidRPr="00EA799E" w:rsidRDefault="00EA799E" w:rsidP="00EA799E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Testing, verification, and preparation for go-live</w:t>
      </w:r>
    </w:p>
    <w:p w14:paraId="7B40C71E" w14:textId="77777777" w:rsidR="00EA799E" w:rsidRPr="00EA799E" w:rsidRDefault="00EA799E" w:rsidP="00EA799E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Hypercare and post-deployment support</w:t>
      </w:r>
    </w:p>
    <w:p w14:paraId="7F23BCAF" w14:textId="77777777" w:rsidR="00EA799E" w:rsidRPr="00EA799E" w:rsidRDefault="00EA799E" w:rsidP="00EA799E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 xml:space="preserve">Maintained continuity across phases, acting as one of the few roles with </w:t>
      </w:r>
      <w:r w:rsidRPr="00EA799E">
        <w:rPr>
          <w:rFonts w:ascii="Calibri" w:hAnsi="Calibri" w:cs="Calibri"/>
          <w:b/>
          <w:bCs/>
          <w:sz w:val="22"/>
          <w:szCs w:val="22"/>
        </w:rPr>
        <w:t>end-to-end visibility</w:t>
      </w:r>
      <w:r w:rsidRPr="00EA799E">
        <w:rPr>
          <w:rFonts w:ascii="Calibri" w:hAnsi="Calibri" w:cs="Calibri"/>
          <w:sz w:val="22"/>
          <w:szCs w:val="22"/>
        </w:rPr>
        <w:t xml:space="preserve"> of scope, risks, progress, and dependencies.</w:t>
      </w:r>
    </w:p>
    <w:p w14:paraId="190A9045" w14:textId="77777777" w:rsidR="00EA799E" w:rsidRPr="00EA799E" w:rsidRDefault="00EA799E" w:rsidP="00EA799E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Often served as an informal knowledge hub due to being consistently present across technical, business, and user-facing discussions.</w:t>
      </w:r>
    </w:p>
    <w:p w14:paraId="454D62EF" w14:textId="77777777" w:rsidR="00EA799E" w:rsidRPr="00EA799E" w:rsidRDefault="00EA799E" w:rsidP="00EA799E">
      <w:p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pict w14:anchorId="635BA694">
          <v:rect id="_x0000_i1068" style="width:0;height:1.5pt" o:hralign="center" o:hrstd="t" o:hr="t" fillcolor="#a0a0a0" stroked="f"/>
        </w:pict>
      </w:r>
    </w:p>
    <w:p w14:paraId="44D949AF" w14:textId="77777777" w:rsidR="00EA799E" w:rsidRPr="00EA799E" w:rsidRDefault="00EA799E" w:rsidP="00EA799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99E">
        <w:rPr>
          <w:rFonts w:ascii="Calibri" w:hAnsi="Calibri" w:cs="Calibri"/>
          <w:b/>
          <w:bCs/>
          <w:sz w:val="22"/>
          <w:szCs w:val="22"/>
        </w:rPr>
        <w:t>Data Pipelines, Configuration &amp; Technical Contributions</w:t>
      </w:r>
    </w:p>
    <w:p w14:paraId="5EEC96C3" w14:textId="77777777" w:rsidR="00EA799E" w:rsidRPr="00EA799E" w:rsidRDefault="00EA799E" w:rsidP="00EA799E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 xml:space="preserve">Developed and configured automated pipelines for ingestion, annotation, transformation, and processing of laboratory instrument data into a </w:t>
      </w:r>
      <w:r w:rsidRPr="00EA799E">
        <w:rPr>
          <w:rFonts w:ascii="Calibri" w:hAnsi="Calibri" w:cs="Calibri"/>
          <w:b/>
          <w:bCs/>
          <w:sz w:val="22"/>
          <w:szCs w:val="22"/>
        </w:rPr>
        <w:t>TetraScience-based Research Data Platform</w:t>
      </w:r>
      <w:r w:rsidRPr="00EA799E">
        <w:rPr>
          <w:rFonts w:ascii="Calibri" w:hAnsi="Calibri" w:cs="Calibri"/>
          <w:sz w:val="22"/>
          <w:szCs w:val="22"/>
        </w:rPr>
        <w:t>.</w:t>
      </w:r>
    </w:p>
    <w:p w14:paraId="3560AF07" w14:textId="77777777" w:rsidR="00EA799E" w:rsidRPr="00EA799E" w:rsidRDefault="00EA799E" w:rsidP="00EA799E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 xml:space="preserve">Worked extensively with </w:t>
      </w:r>
      <w:r w:rsidRPr="00EA799E">
        <w:rPr>
          <w:rFonts w:ascii="Calibri" w:hAnsi="Calibri" w:cs="Calibri"/>
          <w:b/>
          <w:bCs/>
          <w:sz w:val="22"/>
          <w:szCs w:val="22"/>
        </w:rPr>
        <w:t>Intermediate Data Schemas (IDS)</w:t>
      </w:r>
      <w:r w:rsidRPr="00EA799E">
        <w:rPr>
          <w:rFonts w:ascii="Calibri" w:hAnsi="Calibri" w:cs="Calibri"/>
          <w:sz w:val="22"/>
          <w:szCs w:val="22"/>
        </w:rPr>
        <w:t>:</w:t>
      </w:r>
    </w:p>
    <w:p w14:paraId="59276081" w14:textId="77777777" w:rsidR="00EA799E" w:rsidRPr="00EA799E" w:rsidRDefault="00EA799E" w:rsidP="00EA799E">
      <w:pPr>
        <w:numPr>
          <w:ilvl w:val="1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Vendor-agnostic JSON schemas used to map raw, vendor-specific instrument data into standardized, validated, and hierarchically structured representations.</w:t>
      </w:r>
    </w:p>
    <w:p w14:paraId="56AE2135" w14:textId="77777777" w:rsidR="00EA799E" w:rsidRPr="00EA799E" w:rsidRDefault="00EA799E" w:rsidP="00EA799E">
      <w:pPr>
        <w:numPr>
          <w:ilvl w:val="1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IDS defines naming, data types, allowed ranges, hierarchy, and semantic meaning to ensure predictability, consistency, and downstream usability.</w:t>
      </w:r>
    </w:p>
    <w:p w14:paraId="713CE11E" w14:textId="77777777" w:rsidR="00EA799E" w:rsidRPr="00EA799E" w:rsidRDefault="00EA799E" w:rsidP="00EA799E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 xml:space="preserve">Contributed to the design and evolution of IDS definitions in collaboration with stakeholders, ensuring that standardized representations remained </w:t>
      </w:r>
      <w:r w:rsidRPr="00EA799E">
        <w:rPr>
          <w:rFonts w:ascii="Calibri" w:hAnsi="Calibri" w:cs="Calibri"/>
          <w:b/>
          <w:bCs/>
          <w:sz w:val="22"/>
          <w:szCs w:val="22"/>
        </w:rPr>
        <w:t>faithful to the original experimental data</w:t>
      </w:r>
      <w:r w:rsidRPr="00EA799E">
        <w:rPr>
          <w:rFonts w:ascii="Calibri" w:hAnsi="Calibri" w:cs="Calibri"/>
          <w:sz w:val="22"/>
          <w:szCs w:val="22"/>
        </w:rPr>
        <w:t>.</w:t>
      </w:r>
    </w:p>
    <w:p w14:paraId="47952732" w14:textId="77777777" w:rsidR="00EA799E" w:rsidRPr="00EA799E" w:rsidRDefault="00EA799E" w:rsidP="00EA799E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Implemented and reviewed pipelines that generate IDS-based JSON outputs aligned with FAIR data principles.</w:t>
      </w:r>
    </w:p>
    <w:p w14:paraId="400D8733" w14:textId="77777777" w:rsidR="00EA799E" w:rsidRPr="00EA799E" w:rsidRDefault="00EA799E" w:rsidP="00EA799E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Reviewed and validated deliverables from external vendors to ensure:</w:t>
      </w:r>
    </w:p>
    <w:p w14:paraId="620887CB" w14:textId="77777777" w:rsidR="00EA799E" w:rsidRPr="00EA799E" w:rsidRDefault="00EA799E" w:rsidP="00EA799E">
      <w:pPr>
        <w:numPr>
          <w:ilvl w:val="1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lastRenderedPageBreak/>
        <w:t>Alignment with agreed solution designs and RFPs</w:t>
      </w:r>
    </w:p>
    <w:p w14:paraId="7C4E4F88" w14:textId="77777777" w:rsidR="00EA799E" w:rsidRPr="00EA799E" w:rsidRDefault="00EA799E" w:rsidP="00EA799E">
      <w:pPr>
        <w:numPr>
          <w:ilvl w:val="1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Consistency with IDS definitions and semantic expectations</w:t>
      </w:r>
    </w:p>
    <w:p w14:paraId="634E1DF9" w14:textId="77777777" w:rsidR="00EA799E" w:rsidRPr="00EA799E" w:rsidRDefault="00EA799E" w:rsidP="00EA799E">
      <w:pPr>
        <w:numPr>
          <w:ilvl w:val="1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Sufficient data integrity for downstream querying, aggregation, and analysis</w:t>
      </w:r>
    </w:p>
    <w:p w14:paraId="46E0C62E" w14:textId="77777777" w:rsidR="00EA799E" w:rsidRPr="00EA799E" w:rsidRDefault="00EA799E" w:rsidP="00EA799E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 xml:space="preserve">Investigated technical limitations in validation strategies (e.g. partially unvalidated structured data formats), surfaced associated risks, and helped establish </w:t>
      </w:r>
      <w:r w:rsidRPr="00EA799E">
        <w:rPr>
          <w:rFonts w:ascii="Calibri" w:hAnsi="Calibri" w:cs="Calibri"/>
          <w:b/>
          <w:bCs/>
          <w:sz w:val="22"/>
          <w:szCs w:val="22"/>
        </w:rPr>
        <w:t>explicit, documented agreements</w:t>
      </w:r>
      <w:r w:rsidRPr="00EA799E">
        <w:rPr>
          <w:rFonts w:ascii="Calibri" w:hAnsi="Calibri" w:cs="Calibri"/>
          <w:sz w:val="22"/>
          <w:szCs w:val="22"/>
        </w:rPr>
        <w:t xml:space="preserve"> on structure, content, and acceptable trust-based handling when no better technical alternative existed.</w:t>
      </w:r>
    </w:p>
    <w:p w14:paraId="381F9BB1" w14:textId="77777777" w:rsidR="00EA799E" w:rsidRPr="00EA799E" w:rsidRDefault="00EA799E" w:rsidP="00EA799E">
      <w:p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 xml:space="preserve">In practice, “configuration” meant defining and validating </w:t>
      </w:r>
      <w:r w:rsidRPr="00EA799E">
        <w:rPr>
          <w:rFonts w:ascii="Calibri" w:hAnsi="Calibri" w:cs="Calibri"/>
          <w:b/>
          <w:bCs/>
          <w:sz w:val="22"/>
          <w:szCs w:val="22"/>
        </w:rPr>
        <w:t>vendor-agnostic data representations</w:t>
      </w:r>
      <w:r w:rsidRPr="00EA799E">
        <w:rPr>
          <w:rFonts w:ascii="Calibri" w:hAnsi="Calibri" w:cs="Calibri"/>
          <w:sz w:val="22"/>
          <w:szCs w:val="22"/>
        </w:rPr>
        <w:t xml:space="preserve"> that preserve the semantic meaning of raw instrument data while enabling reliable downstream use.</w:t>
      </w:r>
    </w:p>
    <w:p w14:paraId="2FA4ABFE" w14:textId="77777777" w:rsidR="00EA799E" w:rsidRPr="00EA799E" w:rsidRDefault="00EA799E" w:rsidP="00EA799E">
      <w:p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pict w14:anchorId="4E127573">
          <v:rect id="_x0000_i1069" style="width:0;height:1.5pt" o:hralign="center" o:hrstd="t" o:hr="t" fillcolor="#a0a0a0" stroked="f"/>
        </w:pict>
      </w:r>
    </w:p>
    <w:p w14:paraId="5B670F2E" w14:textId="77777777" w:rsidR="00EA799E" w:rsidRPr="00EA799E" w:rsidRDefault="00EA799E" w:rsidP="00EA799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99E">
        <w:rPr>
          <w:rFonts w:ascii="Calibri" w:hAnsi="Calibri" w:cs="Calibri"/>
          <w:b/>
          <w:bCs/>
          <w:sz w:val="22"/>
          <w:szCs w:val="22"/>
        </w:rPr>
        <w:t>User-Centered &amp; Business-Focused Work</w:t>
      </w:r>
    </w:p>
    <w:p w14:paraId="1BBE44BC" w14:textId="77777777" w:rsidR="00EA799E" w:rsidRPr="00EA799E" w:rsidRDefault="00EA799E" w:rsidP="00EA799E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 xml:space="preserve">Considered </w:t>
      </w:r>
      <w:r w:rsidRPr="00EA799E">
        <w:rPr>
          <w:rFonts w:ascii="Calibri" w:hAnsi="Calibri" w:cs="Calibri"/>
          <w:b/>
          <w:bCs/>
          <w:sz w:val="22"/>
          <w:szCs w:val="22"/>
        </w:rPr>
        <w:t>laboratory scientists and instrument operators</w:t>
      </w:r>
      <w:r w:rsidRPr="00EA799E">
        <w:rPr>
          <w:rFonts w:ascii="Calibri" w:hAnsi="Calibri" w:cs="Calibri"/>
          <w:sz w:val="22"/>
          <w:szCs w:val="22"/>
        </w:rPr>
        <w:t xml:space="preserve"> as the primary users of the platform.</w:t>
      </w:r>
    </w:p>
    <w:p w14:paraId="6D5F9EC9" w14:textId="77777777" w:rsidR="00EA799E" w:rsidRPr="00EA799E" w:rsidRDefault="00EA799E" w:rsidP="00EA799E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Engaged directly with users to understand:</w:t>
      </w:r>
    </w:p>
    <w:p w14:paraId="085B7198" w14:textId="77777777" w:rsidR="00EA799E" w:rsidRPr="00EA799E" w:rsidRDefault="00EA799E" w:rsidP="00EA799E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Real laboratory workflows</w:t>
      </w:r>
    </w:p>
    <w:p w14:paraId="37218F57" w14:textId="77777777" w:rsidR="00EA799E" w:rsidRPr="00EA799E" w:rsidRDefault="00EA799E" w:rsidP="00EA799E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Operational constraints</w:t>
      </w:r>
    </w:p>
    <w:p w14:paraId="1D84BC26" w14:textId="77777777" w:rsidR="00EA799E" w:rsidRPr="00EA799E" w:rsidRDefault="00EA799E" w:rsidP="00EA799E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The difference between “how things are usually done” and “what is actually possible”</w:t>
      </w:r>
    </w:p>
    <w:p w14:paraId="0832B27C" w14:textId="77777777" w:rsidR="00EA799E" w:rsidRPr="00EA799E" w:rsidRDefault="00EA799E" w:rsidP="00EA799E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Identified and surfaced gaps between user expectations, system behavior, and data reality, including cases where:</w:t>
      </w:r>
    </w:p>
    <w:p w14:paraId="1BF5E6C3" w14:textId="77777777" w:rsidR="00EA799E" w:rsidRPr="00EA799E" w:rsidRDefault="00EA799E" w:rsidP="00EA799E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Instrument outputs lacked essential protocol metadata</w:t>
      </w:r>
    </w:p>
    <w:p w14:paraId="43A284A8" w14:textId="77777777" w:rsidR="00EA799E" w:rsidRPr="00EA799E" w:rsidRDefault="00EA799E" w:rsidP="00EA799E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 xml:space="preserve">Automated ingestion still resulted in </w:t>
      </w:r>
      <w:r w:rsidRPr="00EA799E">
        <w:rPr>
          <w:rFonts w:ascii="Calibri" w:hAnsi="Calibri" w:cs="Calibri"/>
          <w:b/>
          <w:bCs/>
          <w:sz w:val="22"/>
          <w:szCs w:val="22"/>
        </w:rPr>
        <w:t>non-reproducible experiments</w:t>
      </w:r>
    </w:p>
    <w:p w14:paraId="4CC7F540" w14:textId="77777777" w:rsidR="00EA799E" w:rsidRPr="00EA799E" w:rsidRDefault="00EA799E" w:rsidP="00EA799E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Acted as a bridge between:</w:t>
      </w:r>
    </w:p>
    <w:p w14:paraId="2E187862" w14:textId="77777777" w:rsidR="00EA799E" w:rsidRPr="00EA799E" w:rsidRDefault="00EA799E" w:rsidP="00EA799E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End users and vendors</w:t>
      </w:r>
    </w:p>
    <w:p w14:paraId="7BCF2329" w14:textId="77777777" w:rsidR="00EA799E" w:rsidRPr="00EA799E" w:rsidRDefault="00EA799E" w:rsidP="00EA799E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Business expectations and technical feasibility</w:t>
      </w:r>
    </w:p>
    <w:p w14:paraId="5484DABF" w14:textId="77777777" w:rsidR="00EA799E" w:rsidRPr="00EA799E" w:rsidRDefault="00EA799E" w:rsidP="00EA799E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Provided practical, operational feedback on discovery and solution design documentation, identifying missing assumptions, edge cases, and downstream consequences before they became production issues.</w:t>
      </w:r>
    </w:p>
    <w:p w14:paraId="07C8BF29" w14:textId="77777777" w:rsidR="00EA799E" w:rsidRPr="00EA799E" w:rsidRDefault="00EA799E" w:rsidP="00EA799E">
      <w:p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pict w14:anchorId="35309605">
          <v:rect id="_x0000_i1070" style="width:0;height:1.5pt" o:hralign="center" o:hrstd="t" o:hr="t" fillcolor="#a0a0a0" stroked="f"/>
        </w:pict>
      </w:r>
    </w:p>
    <w:p w14:paraId="3B5A3F58" w14:textId="77777777" w:rsidR="00EA799E" w:rsidRPr="00EA799E" w:rsidRDefault="00EA799E" w:rsidP="00EA799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99E">
        <w:rPr>
          <w:rFonts w:ascii="Calibri" w:hAnsi="Calibri" w:cs="Calibri"/>
          <w:b/>
          <w:bCs/>
          <w:sz w:val="22"/>
          <w:szCs w:val="22"/>
        </w:rPr>
        <w:t>Documentation, Enablement &amp; Go-Live Support</w:t>
      </w:r>
    </w:p>
    <w:p w14:paraId="103CD655" w14:textId="77777777" w:rsidR="00EA799E" w:rsidRPr="00EA799E" w:rsidRDefault="00EA799E" w:rsidP="00EA799E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 xml:space="preserve">Created </w:t>
      </w:r>
      <w:r w:rsidRPr="00EA799E">
        <w:rPr>
          <w:rFonts w:ascii="Calibri" w:hAnsi="Calibri" w:cs="Calibri"/>
          <w:b/>
          <w:bCs/>
          <w:sz w:val="22"/>
          <w:szCs w:val="22"/>
        </w:rPr>
        <w:t>user guides and workflow documentation</w:t>
      </w:r>
      <w:r w:rsidRPr="00EA799E">
        <w:rPr>
          <w:rFonts w:ascii="Calibri" w:hAnsi="Calibri" w:cs="Calibri"/>
          <w:sz w:val="22"/>
          <w:szCs w:val="22"/>
        </w:rPr>
        <w:t xml:space="preserve"> to support adoption of new functionality entering production.</w:t>
      </w:r>
    </w:p>
    <w:p w14:paraId="08F739AC" w14:textId="77777777" w:rsidR="00EA799E" w:rsidRPr="00EA799E" w:rsidRDefault="00EA799E" w:rsidP="00EA799E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Supported go-live activities and hypercare periods, ensuring users could navigate new workflows with confidence and minimal manual overhead.</w:t>
      </w:r>
    </w:p>
    <w:p w14:paraId="0F6C3735" w14:textId="77777777" w:rsidR="00EA799E" w:rsidRPr="00EA799E" w:rsidRDefault="00EA799E" w:rsidP="00EA799E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 xml:space="preserve">Treated documentation as a </w:t>
      </w:r>
      <w:r w:rsidRPr="00EA799E">
        <w:rPr>
          <w:rFonts w:ascii="Calibri" w:hAnsi="Calibri" w:cs="Calibri"/>
          <w:b/>
          <w:bCs/>
          <w:sz w:val="22"/>
          <w:szCs w:val="22"/>
        </w:rPr>
        <w:t>core delivery artifact and risk-mitigation mechanism</w:t>
      </w:r>
      <w:r w:rsidRPr="00EA799E">
        <w:rPr>
          <w:rFonts w:ascii="Calibri" w:hAnsi="Calibri" w:cs="Calibri"/>
          <w:sz w:val="22"/>
          <w:szCs w:val="22"/>
        </w:rPr>
        <w:t>, not as an afterthought.</w:t>
      </w:r>
    </w:p>
    <w:p w14:paraId="458E96D0" w14:textId="77777777" w:rsidR="00EA799E" w:rsidRPr="00EA799E" w:rsidRDefault="00EA799E" w:rsidP="00EA799E">
      <w:p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pict w14:anchorId="23F7FE1B">
          <v:rect id="_x0000_i1071" style="width:0;height:1.5pt" o:hralign="center" o:hrstd="t" o:hr="t" fillcolor="#a0a0a0" stroked="f"/>
        </w:pict>
      </w:r>
    </w:p>
    <w:p w14:paraId="0A3C8A00" w14:textId="77777777" w:rsidR="00EA799E" w:rsidRPr="00EA799E" w:rsidRDefault="00EA799E" w:rsidP="00EA799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99E">
        <w:rPr>
          <w:rFonts w:ascii="Calibri" w:hAnsi="Calibri" w:cs="Calibri"/>
          <w:b/>
          <w:bCs/>
          <w:sz w:val="22"/>
          <w:szCs w:val="22"/>
        </w:rPr>
        <w:lastRenderedPageBreak/>
        <w:t>Professional Judgment &amp; Way of Working</w:t>
      </w:r>
    </w:p>
    <w:p w14:paraId="4F86CCB5" w14:textId="77777777" w:rsidR="00EA799E" w:rsidRPr="00EA799E" w:rsidRDefault="00EA799E" w:rsidP="00EA799E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Regularly balanced ideal technical solutions against real-world constraints, raising concerns clearly while accepting informed trade-offs when required.</w:t>
      </w:r>
    </w:p>
    <w:p w14:paraId="01682A21" w14:textId="77777777" w:rsidR="00EA799E" w:rsidRPr="00EA799E" w:rsidRDefault="00EA799E" w:rsidP="00EA799E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Demonstrated strong awareness that:</w:t>
      </w:r>
    </w:p>
    <w:p w14:paraId="1424D675" w14:textId="77777777" w:rsidR="00EA799E" w:rsidRPr="00EA799E" w:rsidRDefault="00EA799E" w:rsidP="00EA799E">
      <w:pPr>
        <w:numPr>
          <w:ilvl w:val="1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Manual steps increase sensitivity to error</w:t>
      </w:r>
    </w:p>
    <w:p w14:paraId="64440F42" w14:textId="77777777" w:rsidR="00EA799E" w:rsidRPr="00EA799E" w:rsidRDefault="00EA799E" w:rsidP="00EA799E">
      <w:pPr>
        <w:numPr>
          <w:ilvl w:val="1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Poorly structured data undermines long-term scientific value</w:t>
      </w:r>
    </w:p>
    <w:p w14:paraId="220A4AA1" w14:textId="77777777" w:rsidR="00EA799E" w:rsidRPr="00EA799E" w:rsidRDefault="00EA799E" w:rsidP="00EA799E">
      <w:pPr>
        <w:numPr>
          <w:ilvl w:val="1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Knowledge silos and undocumented assumptions create operational risk</w:t>
      </w:r>
    </w:p>
    <w:p w14:paraId="7FDDD701" w14:textId="77777777" w:rsidR="00EA799E" w:rsidRPr="00EA799E" w:rsidRDefault="00EA799E" w:rsidP="00EA799E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Preferred holistic problem-solving over isolated implementation, combining technical depth with empathy for users and respect for scientific context.</w:t>
      </w:r>
    </w:p>
    <w:p w14:paraId="7C8E3D5E" w14:textId="77777777" w:rsidR="00EA799E" w:rsidRPr="00EA799E" w:rsidRDefault="00EA799E" w:rsidP="00EA799E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Worked most effectively in environments where insight-sharing, transparency, and cross-disciplinary dialogue were encouraged and valued.</w:t>
      </w:r>
    </w:p>
    <w:p w14:paraId="77D530A9" w14:textId="77777777" w:rsidR="00EA799E" w:rsidRPr="00EA799E" w:rsidRDefault="00EA799E" w:rsidP="00EA799E">
      <w:p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pict w14:anchorId="7BDC25CD">
          <v:rect id="_x0000_i1072" style="width:0;height:1.5pt" o:hralign="center" o:hrstd="t" o:hr="t" fillcolor="#a0a0a0" stroked="f"/>
        </w:pict>
      </w:r>
    </w:p>
    <w:p w14:paraId="48B8CACA" w14:textId="77777777" w:rsidR="00EA799E" w:rsidRPr="00EA799E" w:rsidRDefault="00EA799E" w:rsidP="00EA799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99E">
        <w:rPr>
          <w:rFonts w:ascii="Calibri" w:hAnsi="Calibri" w:cs="Calibri"/>
          <w:b/>
          <w:bCs/>
          <w:sz w:val="22"/>
          <w:szCs w:val="22"/>
        </w:rPr>
        <w:t>Reusable Professional Insights</w:t>
      </w:r>
    </w:p>
    <w:p w14:paraId="744889E9" w14:textId="77777777" w:rsidR="00EA799E" w:rsidRPr="00EA799E" w:rsidRDefault="00EA799E" w:rsidP="00EA799E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“I work best when I can combine technical implementation with an understanding of how systems are actually used in practice.”</w:t>
      </w:r>
    </w:p>
    <w:p w14:paraId="1DDFAA61" w14:textId="77777777" w:rsidR="00EA799E" w:rsidRPr="00EA799E" w:rsidRDefault="00EA799E" w:rsidP="00EA799E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“Making data FAIR is not only a technical challenge—it requires understanding experiments, instruments, and the people who operate them.”</w:t>
      </w:r>
    </w:p>
    <w:p w14:paraId="28981319" w14:textId="77777777" w:rsidR="00EA799E" w:rsidRPr="00EA799E" w:rsidRDefault="00EA799E" w:rsidP="00EA799E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“Standardizing data is only valuable if the standardized representation remains faithful to the original experiment; otherwise, automation can silently erode scientific trust.”</w:t>
      </w:r>
    </w:p>
    <w:p w14:paraId="6D2160F9" w14:textId="77777777" w:rsidR="00EA799E" w:rsidRPr="00EA799E" w:rsidRDefault="00EA799E" w:rsidP="00EA799E">
      <w:p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pict w14:anchorId="47A31B10">
          <v:rect id="_x0000_i1073" style="width:0;height:1.5pt" o:hralign="center" o:hrstd="t" o:hr="t" fillcolor="#a0a0a0" stroked="f"/>
        </w:pict>
      </w:r>
    </w:p>
    <w:p w14:paraId="349227D2" w14:textId="77777777" w:rsidR="00EA799E" w:rsidRPr="00EA799E" w:rsidRDefault="00EA799E" w:rsidP="00EA799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99E">
        <w:rPr>
          <w:rFonts w:ascii="Calibri" w:hAnsi="Calibri" w:cs="Calibri"/>
          <w:b/>
          <w:bCs/>
          <w:sz w:val="22"/>
          <w:szCs w:val="22"/>
        </w:rPr>
        <w:t>Core Keyword Cluster</w:t>
      </w:r>
    </w:p>
    <w:p w14:paraId="660E6466" w14:textId="77777777" w:rsidR="00EA799E" w:rsidRPr="00EA799E" w:rsidRDefault="00EA799E" w:rsidP="00EA799E">
      <w:pPr>
        <w:spacing w:line="240" w:lineRule="auto"/>
        <w:rPr>
          <w:rFonts w:ascii="Calibri" w:hAnsi="Calibri" w:cs="Calibri"/>
          <w:sz w:val="22"/>
          <w:szCs w:val="22"/>
        </w:rPr>
      </w:pPr>
      <w:r w:rsidRPr="00EA799E">
        <w:rPr>
          <w:rFonts w:ascii="Calibri" w:hAnsi="Calibri" w:cs="Calibri"/>
          <w:sz w:val="22"/>
          <w:szCs w:val="22"/>
        </w:rPr>
        <w:t>Research Data Platforms · FAIR Data · Intermediate Data Schemas (IDS) · Scientific Data Integrity · Instrument Data · Semantic Data Modeling · User-Centered Engineering · Business Analysis · Vendor Collaboration · Regulated Environments · Documentation &amp; Enablement</w:t>
      </w:r>
    </w:p>
    <w:p w14:paraId="445DCA6C" w14:textId="77777777" w:rsidR="00EA799E" w:rsidRPr="00EA799E" w:rsidRDefault="00EA799E" w:rsidP="00EA799E">
      <w:pPr>
        <w:spacing w:line="240" w:lineRule="auto"/>
        <w:rPr>
          <w:rFonts w:ascii="Calibri" w:hAnsi="Calibri" w:cs="Calibri"/>
          <w:sz w:val="22"/>
          <w:szCs w:val="22"/>
        </w:rPr>
      </w:pPr>
    </w:p>
    <w:sectPr w:rsidR="00EA799E" w:rsidRPr="00EA79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5E3"/>
    <w:multiLevelType w:val="multilevel"/>
    <w:tmpl w:val="50D6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B28BE"/>
    <w:multiLevelType w:val="multilevel"/>
    <w:tmpl w:val="5F88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D213C"/>
    <w:multiLevelType w:val="multilevel"/>
    <w:tmpl w:val="73A0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D2317"/>
    <w:multiLevelType w:val="multilevel"/>
    <w:tmpl w:val="B406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476C1"/>
    <w:multiLevelType w:val="multilevel"/>
    <w:tmpl w:val="1CA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E11E7"/>
    <w:multiLevelType w:val="multilevel"/>
    <w:tmpl w:val="D890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956561">
    <w:abstractNumId w:val="5"/>
  </w:num>
  <w:num w:numId="2" w16cid:durableId="1149443567">
    <w:abstractNumId w:val="4"/>
  </w:num>
  <w:num w:numId="3" w16cid:durableId="1788617119">
    <w:abstractNumId w:val="2"/>
  </w:num>
  <w:num w:numId="4" w16cid:durableId="186528361">
    <w:abstractNumId w:val="0"/>
  </w:num>
  <w:num w:numId="5" w16cid:durableId="1263760676">
    <w:abstractNumId w:val="1"/>
  </w:num>
  <w:num w:numId="6" w16cid:durableId="2019234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9E"/>
    <w:rsid w:val="003C71D7"/>
    <w:rsid w:val="00EA799E"/>
    <w:rsid w:val="00EC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8D1DE"/>
  <w15:chartTrackingRefBased/>
  <w15:docId w15:val="{0F3FD70E-893B-4648-BE75-8EB43DD18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Linnéa Haugen</dc:creator>
  <cp:keywords/>
  <dc:description/>
  <cp:lastModifiedBy>Linnéa Haugen</cp:lastModifiedBy>
  <cp:revision>1</cp:revision>
  <dcterms:created xsi:type="dcterms:W3CDTF">2025-12-14T19:05:00Z</dcterms:created>
  <dcterms:modified xsi:type="dcterms:W3CDTF">2025-12-14T20:10:00Z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33790284-e021-46c3-ab45-2f26716a533f</vt:lpwstr>
  </property>
</Properties>
</file>