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760" w:after="360" w:line="240" w:lineRule="auto"/>
        <w:jc w:val="center"/>
      </w:pPr>
      <w:r>
        <w:rPr>
          <w:rFonts w:ascii="Calibri" w:hAnsi="Calibri" w:eastAsia="Microsoft YaHei"/>
          <w:b/>
          <w:i w:val="0"/>
          <w:color w:val="B28A38"/>
          <w:sz w:val="20"/>
        </w:rPr>
        <w:t>PRODUCT BRIEF · 2026</w:t>
      </w:r>
    </w:p>
    <w:p>
      <w:pPr>
        <w:keepNext w:val="0"/>
        <w:spacing w:before="0" w:after="80" w:line="240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62"/>
        </w:rPr>
        <w:t>EventLens</w:t>
      </w:r>
    </w:p>
    <w:p>
      <w:pPr>
        <w:keepNext w:val="0"/>
        <w:spacing w:before="0" w:after="360" w:line="240" w:lineRule="auto"/>
        <w:jc w:val="center"/>
      </w:pPr>
      <w:r>
        <w:rPr>
          <w:rFonts w:ascii="Calibri" w:hAnsi="Calibri" w:eastAsia="Microsoft YaHei"/>
          <w:b/>
          <w:i w:val="0"/>
          <w:color w:val="1F4D78"/>
          <w:sz w:val="44"/>
        </w:rPr>
        <w:t>项目介绍与使用指南</w:t>
      </w:r>
    </w:p>
    <w:p>
      <w:pPr>
        <w:keepNext w:val="0"/>
        <w:spacing w:before="0" w:after="1400" w:line="264" w:lineRule="auto"/>
        <w:jc w:val="center"/>
      </w:pPr>
      <w:r>
        <w:rPr>
          <w:rFonts w:ascii="Calibri" w:hAnsi="Calibri" w:eastAsia="Microsoft YaHei"/>
          <w:b w:val="0"/>
          <w:i w:val="0"/>
          <w:color w:val="66717E"/>
          <w:sz w:val="28"/>
        </w:rPr>
        <w:t>事件驱动型美股研究与模拟交易工作台</w:t>
      </w:r>
    </w:p>
    <w:p>
      <w:pPr>
        <w:spacing w:before="120" w:after="200" w:line="300" w:lineRule="auto"/>
        <w:ind w:left="173" w:right="173"/>
        <w:shd w:fill="FFF8E8"/>
        <w:pBdr>
          <w:left w:val="single" w:sz="18" w:color="B28A38" w:space="6"/>
        </w:pBdr>
      </w:pPr>
      <w:r>
        <w:rPr>
          <w:rFonts w:ascii="Calibri" w:hAnsi="Calibri" w:eastAsia="Microsoft YaHei"/>
          <w:b/>
          <w:color w:val="B28A38"/>
          <w:sz w:val="21"/>
        </w:rPr>
        <w:t xml:space="preserve">一句话定位  </w:t>
      </w:r>
      <w:r>
        <w:rPr>
          <w:rFonts w:ascii="Calibri" w:hAnsi="Calibri" w:eastAsia="Microsoft YaHei"/>
          <w:color w:val="1C2530"/>
          <w:sz w:val="21"/>
        </w:rPr>
        <w:t>把新闻事件、价格行为、技术指标、AI 解释与模拟交易放进同一条决策链路，让用户从“看到消息”自然走到“验证影响、评估风险、复盘结果”。</w:t>
      </w:r>
    </w:p>
    <w:p>
      <w:pPr>
        <w:keepNext w:val="0"/>
        <w:spacing w:before="720" w:after="60" w:line="240" w:lineRule="auto"/>
        <w:jc w:val="center"/>
      </w:pPr>
      <w:r>
        <w:rPr>
          <w:rFonts w:ascii="Calibri" w:hAnsi="Calibri" w:eastAsia="Microsoft YaHei"/>
          <w:b w:val="0"/>
          <w:i w:val="0"/>
          <w:color w:val="66717E"/>
          <w:sz w:val="19"/>
        </w:rPr>
        <w:t>基于当前项目代码与本地界面梳理</w:t>
      </w:r>
    </w:p>
    <w:p>
      <w:pPr>
        <w:keepNext w:val="0"/>
        <w:spacing w:before="0" w:after="0" w:line="240" w:lineRule="auto"/>
        <w:jc w:val="center"/>
      </w:pPr>
      <w:r>
        <w:rPr>
          <w:rFonts w:ascii="Calibri" w:hAnsi="Calibri" w:eastAsia="Microsoft YaHei"/>
          <w:b w:val="0"/>
          <w:i w:val="0"/>
          <w:color w:val="66717E"/>
          <w:sz w:val="19"/>
        </w:rPr>
        <w:t>版本日期：2026 年 8 月 4 日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执行摘要</w:t>
      </w:r>
    </w:p>
    <w:p>
      <w:pPr>
        <w:keepNext w:val="0"/>
        <w:spacing w:before="0" w:after="160" w:line="320" w:lineRule="auto"/>
      </w:pPr>
      <w:r>
        <w:rPr>
          <w:rFonts w:ascii="Calibri" w:hAnsi="Calibri" w:eastAsia="Microsoft YaHei"/>
          <w:b w:val="0"/>
          <w:i w:val="0"/>
          <w:color w:val="1C2530"/>
        </w:rPr>
        <w:t>EventLens 面向希望理解“事件如何影响价格”的用户。它不是单纯的行情看板，也不是把聊天机器人嵌入券商页面，而是围绕事件研究构建的完整工作流：市场扫描 → 标的研究 → 事件与 K 线对齐 → 技术面与新闻面联合分析 → 下单前风险预览 → 模拟成交 → 资产与交易复盘。</w:t>
      </w:r>
    </w:p>
    <w:p>
      <w:pPr>
        <w:spacing w:before="120" w:after="200" w:line="300" w:lineRule="auto"/>
        <w:ind w:left="173" w:right="173"/>
        <w:shd w:fill="F4F6F9"/>
        <w:pBdr>
          <w:left w:val="single" w:sz="18" w:color="2E74B5" w:space="6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核心价值  </w:t>
      </w:r>
      <w:r>
        <w:rPr>
          <w:rFonts w:ascii="Calibri" w:hAnsi="Calibri" w:eastAsia="Microsoft YaHei"/>
          <w:color w:val="1C2530"/>
          <w:sz w:val="21"/>
        </w:rPr>
        <w:t>把分散在行情软件、新闻聚合、技术分析、AI 问答和模拟交易工具中的动作，收拢到一个可解释、可验证、可复盘的研究环境中。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阅读导航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回答的问题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主要读者</w:t>
            </w:r>
          </w:p>
        </w:tc>
      </w:tr>
      <w:tr>
        <w:tc>
          <w:tcPr>
            <w:tcW w:type="dxa" w:w="17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产品介绍</w:t>
            </w:r>
          </w:p>
        </w:tc>
        <w:tc>
          <w:tcPr>
            <w:tcW w:type="dxa" w:w="43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EventLens 是什么、解决什么问题</w:t>
            </w:r>
          </w:p>
        </w:tc>
        <w:tc>
          <w:tcPr>
            <w:tcW w:type="dxa" w:w="33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潜在用户、合作方、评审者</w:t>
            </w:r>
          </w:p>
        </w:tc>
      </w:tr>
      <w:tr>
        <w:tc>
          <w:tcPr>
            <w:tcW w:type="dxa" w:w="17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使用方法</w:t>
            </w:r>
          </w:p>
        </w:tc>
        <w:tc>
          <w:tcPr>
            <w:tcW w:type="dxa" w:w="43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如何启动、研究标的、分析事件并模拟交易</w:t>
            </w:r>
          </w:p>
        </w:tc>
        <w:tc>
          <w:tcPr>
            <w:tcW w:type="dxa" w:w="33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首次使用者、演示人员</w:t>
            </w:r>
          </w:p>
        </w:tc>
      </w:tr>
      <w:tr>
        <w:tc>
          <w:tcPr>
            <w:tcW w:type="dxa" w:w="17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目标群体</w:t>
            </w:r>
          </w:p>
        </w:tc>
        <w:tc>
          <w:tcPr>
            <w:tcW w:type="dxa" w:w="43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哪些用户最能获得价值</w:t>
            </w:r>
          </w:p>
        </w:tc>
        <w:tc>
          <w:tcPr>
            <w:tcW w:type="dxa" w:w="33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产品与市场团队</w:t>
            </w:r>
          </w:p>
        </w:tc>
      </w:tr>
      <w:tr>
        <w:tc>
          <w:tcPr>
            <w:tcW w:type="dxa" w:w="17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差异化与创新</w:t>
            </w:r>
          </w:p>
        </w:tc>
        <w:tc>
          <w:tcPr>
            <w:tcW w:type="dxa" w:w="43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为什么不是另一个行情或 AI 工具</w:t>
            </w:r>
          </w:p>
        </w:tc>
        <w:tc>
          <w:tcPr>
            <w:tcW w:type="dxa" w:w="33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产品经理、投资人、技术评审</w:t>
            </w:r>
          </w:p>
        </w:tc>
      </w:tr>
      <w:tr>
        <w:tc>
          <w:tcPr>
            <w:tcW w:type="dxa" w:w="17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架构与边界</w:t>
            </w:r>
          </w:p>
        </w:tc>
        <w:tc>
          <w:tcPr>
            <w:tcW w:type="dxa" w:w="43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系统如何实现、当前适用范围是什么</w:t>
            </w:r>
          </w:p>
        </w:tc>
        <w:tc>
          <w:tcPr>
            <w:tcW w:type="dxa" w:w="33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开发者、部署与运维人员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项目概览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产品要解决的问题</w:t>
      </w:r>
    </w:p>
    <w:p>
      <w:pPr>
        <w:keepNext w:val="0"/>
        <w:spacing w:before="0" w:after="160" w:line="320" w:lineRule="auto"/>
      </w:pPr>
      <w:r>
        <w:rPr>
          <w:rFonts w:ascii="Calibri" w:hAnsi="Calibri" w:eastAsia="Microsoft YaHei"/>
          <w:b w:val="0"/>
          <w:i w:val="0"/>
          <w:color w:val="1C2530"/>
        </w:rPr>
        <w:t>传统研究流程往往被切割成多个孤立页面：用户先在新闻平台看到事件，再切到行情软件寻找对应时间点，手工判断价格与量能变化，随后到另一处计算仓位、风险与交易成本。信息虽然丰富，但缺少统一的时间坐标和行动上下文。</w:t>
      </w:r>
    </w:p>
    <w:p>
      <w:pPr>
        <w:keepNext w:val="0"/>
        <w:spacing w:before="0" w:after="160" w:line="320" w:lineRule="auto"/>
      </w:pPr>
      <w:r>
        <w:rPr>
          <w:rFonts w:ascii="Calibri" w:hAnsi="Calibri" w:eastAsia="Microsoft YaHei"/>
          <w:b w:val="0"/>
          <w:i w:val="0"/>
          <w:color w:val="1C2530"/>
        </w:rPr>
        <w:t>EventLens 以“事件”为入口、以“时间对齐”为骨架、以“模拟交易”为闭环，将新闻、K 线、技术指标、事件反应与风险预览组织到同一工作台中。产品强调研究与验证，不承诺预测股价，也不输出确定性的买卖建议。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产品定位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维度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EventLens 的定位</w:t>
            </w:r>
          </w:p>
        </w:tc>
      </w:tr>
      <w:tr>
        <w:tc>
          <w:tcPr>
            <w:tcW w:type="dxa" w:w="19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产品类别</w:t>
            </w:r>
          </w:p>
        </w:tc>
        <w:tc>
          <w:tcPr>
            <w:tcW w:type="dxa" w:w="74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事件驱动型美股研究与模拟交易工作台</w:t>
            </w:r>
          </w:p>
        </w:tc>
      </w:tr>
      <w:tr>
        <w:tc>
          <w:tcPr>
            <w:tcW w:type="dxa" w:w="19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核心对象</w:t>
            </w:r>
          </w:p>
        </w:tc>
        <w:tc>
          <w:tcPr>
            <w:tcW w:type="dxa" w:w="74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新闻事件及其前后价格、成交量与技术结构变化</w:t>
            </w:r>
          </w:p>
        </w:tc>
      </w:tr>
      <w:tr>
        <w:tc>
          <w:tcPr>
            <w:tcW w:type="dxa" w:w="19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核心行为</w:t>
            </w:r>
          </w:p>
        </w:tc>
        <w:tc>
          <w:tcPr>
            <w:tcW w:type="dxa" w:w="74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观察、对齐、分析、预览、模拟、复盘</w:t>
            </w:r>
          </w:p>
        </w:tc>
      </w:tr>
      <w:tr>
        <w:tc>
          <w:tcPr>
            <w:tcW w:type="dxa" w:w="19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数据范围</w:t>
            </w:r>
          </w:p>
        </w:tc>
        <w:tc>
          <w:tcPr>
            <w:tcW w:type="dxa" w:w="74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美股行情、K 线、新闻、事件标签与模拟账户数据</w:t>
            </w:r>
          </w:p>
        </w:tc>
      </w:tr>
      <w:tr>
        <w:tc>
          <w:tcPr>
            <w:tcW w:type="dxa" w:w="19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安全边界</w:t>
            </w:r>
          </w:p>
        </w:tc>
        <w:tc>
          <w:tcPr>
            <w:tcW w:type="dxa" w:w="74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研究与产品演示用途；不构成投资建议，不接入真实券商成交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1.3 产品闭环</w:t>
      </w:r>
    </w:p>
    <w:p>
      <w:pPr>
        <w:pStyle w:val="ListNumber"/>
        <w:spacing w:before="0" w:after="120" w:line="290" w:lineRule="auto"/>
        <w:ind w:left="540" w:hanging="279"/>
      </w:pPr>
      <w:r>
        <w:rPr>
          <w:rFonts w:ascii="Calibri" w:hAnsi="Calibri" w:eastAsia="Microsoft YaHei"/>
          <w:b/>
          <w:color w:val="1F4D78"/>
          <w:sz w:val="21"/>
        </w:rPr>
        <w:t>扫描市场：</w:t>
      </w:r>
      <w:r>
        <w:rPr>
          <w:rFonts w:ascii="Calibri" w:hAnsi="Calibri" w:eastAsia="Microsoft YaHei"/>
          <w:color w:val="1C2530"/>
          <w:sz w:val="21"/>
        </w:rPr>
        <w:t>通过指数、今日涨跌热点、核心异动与自选列表快速发现关注标的</w:t>
      </w:r>
    </w:p>
    <w:p>
      <w:pPr>
        <w:pStyle w:val="ListNumber"/>
        <w:spacing w:before="0" w:after="120" w:line="290" w:lineRule="auto"/>
        <w:ind w:left="540" w:hanging="279"/>
      </w:pPr>
      <w:r>
        <w:rPr>
          <w:rFonts w:ascii="Calibri" w:hAnsi="Calibri" w:eastAsia="Microsoft YaHei"/>
          <w:b/>
          <w:color w:val="1F4D78"/>
          <w:sz w:val="21"/>
        </w:rPr>
        <w:t>进入工作台：</w:t>
      </w:r>
      <w:r>
        <w:rPr>
          <w:rFonts w:ascii="Calibri" w:hAnsi="Calibri" w:eastAsia="Microsoft YaHei"/>
          <w:color w:val="1C2530"/>
          <w:sz w:val="21"/>
        </w:rPr>
        <w:t>在同一视图中查看价格、K 线、技术指标、新闻锚点和市场状态</w:t>
      </w:r>
    </w:p>
    <w:p>
      <w:pPr>
        <w:pStyle w:val="ListNumber"/>
        <w:spacing w:before="0" w:after="120" w:line="290" w:lineRule="auto"/>
        <w:ind w:left="540" w:hanging="279"/>
      </w:pPr>
      <w:r>
        <w:rPr>
          <w:rFonts w:ascii="Calibri" w:hAnsi="Calibri" w:eastAsia="Microsoft YaHei"/>
          <w:b/>
          <w:color w:val="1F4D78"/>
          <w:sz w:val="21"/>
        </w:rPr>
        <w:t>理解事件：</w:t>
      </w:r>
      <w:r>
        <w:rPr>
          <w:rFonts w:ascii="Calibri" w:hAnsi="Calibri" w:eastAsia="Microsoft YaHei"/>
          <w:color w:val="1C2530"/>
          <w:sz w:val="21"/>
        </w:rPr>
        <w:t>查看事件方向、重要性、类型、发布时间及事件前后反应窗口</w:t>
      </w:r>
    </w:p>
    <w:p>
      <w:pPr>
        <w:pStyle w:val="ListNumber"/>
        <w:spacing w:before="0" w:after="120" w:line="290" w:lineRule="auto"/>
        <w:ind w:left="540" w:hanging="279"/>
      </w:pPr>
      <w:r>
        <w:rPr>
          <w:rFonts w:ascii="Calibri" w:hAnsi="Calibri" w:eastAsia="Microsoft YaHei"/>
          <w:b/>
          <w:color w:val="1F4D78"/>
          <w:sz w:val="21"/>
        </w:rPr>
        <w:t>形成解释：</w:t>
      </w:r>
      <w:r>
        <w:rPr>
          <w:rFonts w:ascii="Calibri" w:hAnsi="Calibri" w:eastAsia="Microsoft YaHei"/>
          <w:color w:val="1C2530"/>
          <w:sz w:val="21"/>
        </w:rPr>
        <w:t>以规则引擎或可选 LLM 联合分析技术面与新闻面，保留事实依据</w:t>
      </w:r>
    </w:p>
    <w:p>
      <w:pPr>
        <w:pStyle w:val="ListNumber"/>
        <w:spacing w:before="0" w:after="120" w:line="290" w:lineRule="auto"/>
        <w:ind w:left="540" w:hanging="279"/>
      </w:pPr>
      <w:r>
        <w:rPr>
          <w:rFonts w:ascii="Calibri" w:hAnsi="Calibri" w:eastAsia="Microsoft YaHei"/>
          <w:b/>
          <w:color w:val="1F4D78"/>
          <w:sz w:val="21"/>
        </w:rPr>
        <w:t>预演交易：</w:t>
      </w:r>
      <w:r>
        <w:rPr>
          <w:rFonts w:ascii="Calibri" w:hAnsi="Calibri" w:eastAsia="Microsoft YaHei"/>
          <w:color w:val="1C2530"/>
          <w:sz w:val="21"/>
        </w:rPr>
        <w:t>在提交模拟订单前计算金额、费用、现金、仓位与集中度风险</w:t>
      </w:r>
    </w:p>
    <w:p>
      <w:pPr>
        <w:pStyle w:val="ListNumber"/>
        <w:spacing w:before="0" w:after="120" w:line="290" w:lineRule="auto"/>
        <w:ind w:left="540" w:hanging="279"/>
      </w:pPr>
      <w:r>
        <w:rPr>
          <w:rFonts w:ascii="Calibri" w:hAnsi="Calibri" w:eastAsia="Microsoft YaHei"/>
          <w:b/>
          <w:color w:val="1F4D78"/>
          <w:sz w:val="21"/>
        </w:rPr>
        <w:t>复盘结果：</w:t>
      </w:r>
      <w:r>
        <w:rPr>
          <w:rFonts w:ascii="Calibri" w:hAnsi="Calibri" w:eastAsia="Microsoft YaHei"/>
          <w:color w:val="1C2530"/>
          <w:sz w:val="21"/>
        </w:rPr>
        <w:t>通过持仓、委托、成交、资产曲线与已平仓排行回看决策结果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功能全景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市场首页：从全局异动进入研究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Microsoft YaHei"/>
          <w:color w:val="1C2530"/>
          <w:sz w:val="21"/>
        </w:rPr>
        <w:t>展示总资产、现金、市场开闭市状态、持仓数量与自选数量。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Microsoft YaHei"/>
          <w:color w:val="1C2530"/>
          <w:sz w:val="21"/>
        </w:rPr>
        <w:t>聚合道琼斯、标普 500、纳斯达克等指数的实时/准实时表现。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Microsoft YaHei"/>
          <w:color w:val="1C2530"/>
          <w:sz w:val="21"/>
        </w:rPr>
        <w:t>以涨跌热力图突出当日强弱标的，并提供 Core Movers、自选、持仓与近期订单入口。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Microsoft YaHei"/>
          <w:color w:val="1C2530"/>
          <w:sz w:val="21"/>
        </w:rPr>
        <w:t>支持股票代码/公司搜索，缩短从发现到研究的路径。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事件研究工作台：产品的核心界面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 descr="图 1｜桌面工作台：自选与市场列表、事件锚点 K 线、指标区、新闻/交易区在同一屏协同" title="图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lens-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Microsoft YaHei"/>
          <w:i/>
          <w:color w:val="66717E"/>
          <w:sz w:val="18"/>
        </w:rPr>
        <w:t>图 1｜桌面工作台：自选与市场列表、事件锚点 K 线、指标区、新闻/交易区在同一屏协同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Microsoft YaHei"/>
          <w:color w:val="1C2530"/>
          <w:sz w:val="21"/>
        </w:rPr>
        <w:t>多周期 K 线：1Min、5Min、15Min、1Hour、4Hour、1Day、1Month。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Microsoft YaHei"/>
          <w:color w:val="1C2530"/>
          <w:sz w:val="21"/>
        </w:rPr>
        <w:t>事件锚点：将新闻按市场时区和周期自动映射到对应 K 线桶，颜色区分利好、利空与中性。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Microsoft YaHei"/>
          <w:color w:val="1C2530"/>
          <w:sz w:val="21"/>
        </w:rPr>
        <w:t>事件反应：计算事件前 5/30 分钟、后 5/30/60 分钟涨跌，以及最大上行、最大回撤和量能倍数。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Microsoft YaHei"/>
          <w:color w:val="1C2530"/>
          <w:sz w:val="21"/>
        </w:rPr>
        <w:t>技术工具：均线、EMA、BOLL、VWAP、SAR、支撑/压力、Donchian，以及 MACD、RSI、KDJ、CCI、ATR、OBV、ADX、MFI 等副图指标。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Microsoft YaHei"/>
          <w:color w:val="1C2530"/>
          <w:sz w:val="21"/>
        </w:rPr>
        <w:t>图表交互：标价、水平线、趋势线、射线、垂直线、矩形和斐波那契等画线工具；布局可拖拽调整并一键重置。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2.3 AI 区间分析与新闻解释</w:t>
      </w:r>
    </w:p>
    <w:p>
      <w:pPr>
        <w:keepNext w:val="0"/>
        <w:spacing w:before="0" w:after="160" w:line="320" w:lineRule="auto"/>
      </w:pPr>
      <w:r>
        <w:rPr>
          <w:rFonts w:ascii="Calibri" w:hAnsi="Calibri" w:eastAsia="Microsoft YaHei"/>
          <w:b w:val="0"/>
          <w:i w:val="0"/>
          <w:color w:val="1C2530"/>
        </w:rPr>
        <w:t>用户选择标的、周期和时间区间后，系统将该窗口内的价格结构、技术指标与新闻事件联合整理成分析上下文。默认规则引擎可离线工作，也可配置 OpenAI、DeepSeek 或 Qwen 的 OpenAI 兼容接口生成更自然的解释。</w:t>
      </w:r>
    </w:p>
    <w:p>
      <w:pPr>
        <w:spacing w:before="120" w:after="200" w:line="300" w:lineRule="auto"/>
        <w:ind w:left="173" w:right="173"/>
        <w:shd w:fill="F4F6F9"/>
        <w:pBdr>
          <w:left w:val="single" w:sz="18" w:color="2E74B5" w:space="6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可解释性原则  </w:t>
      </w:r>
      <w:r>
        <w:rPr>
          <w:rFonts w:ascii="Calibri" w:hAnsi="Calibri" w:eastAsia="Microsoft YaHei"/>
          <w:color w:val="1C2530"/>
          <w:sz w:val="21"/>
        </w:rPr>
        <w:t>LLM 负责解释已计算的事实，不替代价格计算、事件反应计算或硬性风险规则；云模型不可用时仍可降级到规则模板。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2.4 模拟交易与风险预览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Microsoft YaHei"/>
          <w:color w:val="1C2530"/>
          <w:sz w:val="21"/>
        </w:rPr>
        <w:t>支持买入/卖出、市场价/限价及扩展订单类型的交互入口。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Microsoft YaHei"/>
          <w:color w:val="1C2530"/>
          <w:sz w:val="21"/>
        </w:rPr>
        <w:t>下单前展示预计金额、预计手续费、成交价格、数量、下单后现金、单一持仓占比与订单占总资产比例。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Microsoft YaHei"/>
          <w:color w:val="1C2530"/>
          <w:sz w:val="21"/>
        </w:rPr>
        <w:t>基于单一持仓集中度、行业集中度、现金比例、订单规模、事件后波动、量能异常、止损设置和重大事件新鲜度生成风险提示。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Microsoft YaHei"/>
          <w:color w:val="1C2530"/>
          <w:sz w:val="21"/>
        </w:rPr>
        <w:t>模拟成交后自动更新现金、持仓成本、订单、成交记录、资产曲线与已实现盈亏。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2.5 移动端：重组后的移动体验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2331720" cy="5040102"/>
            <wp:docPr id="2" name="Picture 2" descr="图 2｜移动端行情页：指数、资产、自选与底部四栏导航针对小屏重新组织" title="图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lens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0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Microsoft YaHei"/>
          <w:i/>
          <w:color w:val="66717E"/>
          <w:sz w:val="18"/>
        </w:rPr>
        <w:t>图 2｜移动端行情页：指数、资产、自选与底部四栏导航针对小屏重新组织</w:t>
      </w:r>
    </w:p>
    <w:p>
      <w:pPr>
        <w:keepNext w:val="0"/>
        <w:spacing w:before="0" w:after="160" w:line="320" w:lineRule="auto"/>
      </w:pPr>
      <w:r>
        <w:rPr>
          <w:rFonts w:ascii="Calibri" w:hAnsi="Calibri" w:eastAsia="Microsoft YaHei"/>
          <w:b w:val="0"/>
          <w:i w:val="0"/>
          <w:color w:val="1C2530"/>
        </w:rPr>
        <w:t>移动端并非简单压缩桌面布局，而是独立采用“行情 / 资讯 / 交易 / 我的”四栏导航。股票详情保留 K 线、新闻锚点、指标设置和快捷下单；交易页集中展示资产、持仓与委托；“我的”提供资产曲线、已平仓排行、数据源与模型状态。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使用方法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本地启动</w:t>
      </w:r>
    </w:p>
    <w:p>
      <w:pPr>
        <w:keepNext w:val="0"/>
        <w:spacing w:before="0" w:after="160" w:line="320" w:lineRule="auto"/>
      </w:pPr>
      <w:r>
        <w:rPr>
          <w:rFonts w:ascii="Calibri" w:hAnsi="Calibri" w:eastAsia="Microsoft YaHei"/>
          <w:b w:val="0"/>
          <w:i w:val="0"/>
          <w:color w:val="1C2530"/>
        </w:rPr>
        <w:t>环境要求：Python 3.11+、Node.js 20+。首次使用先复制环境变量示例，再分别启动后端和前端。</w:t>
      </w:r>
    </w:p>
    <w:p>
      <w:pPr>
        <w:spacing w:before="80" w:after="200" w:line="252" w:lineRule="auto"/>
        <w:ind w:left="216" w:right="216"/>
        <w:shd w:fill="10141B"/>
      </w:pPr>
      <w:r>
        <w:rPr>
          <w:rFonts w:ascii="Consolas" w:hAnsi="Consolas" w:eastAsia="Microsoft YaHei"/>
          <w:color w:val="E6EDF3"/>
          <w:sz w:val="18"/>
        </w:rPr>
        <w:t># 1. 在 eventlens 根目录创建配置</w:t>
        <w:br/>
      </w:r>
      <w:r>
        <w:rPr>
          <w:rFonts w:ascii="Consolas" w:hAnsi="Consolas" w:eastAsia="Microsoft YaHei"/>
          <w:color w:val="E6EDF3"/>
          <w:sz w:val="18"/>
        </w:rPr>
        <w:t>cp .env.example .env</w:t>
        <w:br/>
      </w:r>
      <w:r>
        <w:rPr>
          <w:rFonts w:ascii="Consolas" w:hAnsi="Consolas" w:eastAsia="Microsoft YaHei"/>
          <w:color w:val="E6EDF3"/>
          <w:sz w:val="18"/>
        </w:rPr>
        <w:br/>
      </w:r>
      <w:r>
        <w:rPr>
          <w:rFonts w:ascii="Consolas" w:hAnsi="Consolas" w:eastAsia="Microsoft YaHei"/>
          <w:color w:val="E6EDF3"/>
          <w:sz w:val="18"/>
        </w:rPr>
        <w:t># 2. 后端（新终端）</w:t>
        <w:br/>
      </w:r>
      <w:r>
        <w:rPr>
          <w:rFonts w:ascii="Consolas" w:hAnsi="Consolas" w:eastAsia="Microsoft YaHei"/>
          <w:color w:val="E6EDF3"/>
          <w:sz w:val="18"/>
        </w:rPr>
        <w:t>cd backend</w:t>
        <w:br/>
      </w:r>
      <w:r>
        <w:rPr>
          <w:rFonts w:ascii="Consolas" w:hAnsi="Consolas" w:eastAsia="Microsoft YaHei"/>
          <w:color w:val="E6EDF3"/>
          <w:sz w:val="18"/>
        </w:rPr>
        <w:t>python -m venv .venv</w:t>
        <w:br/>
      </w:r>
      <w:r>
        <w:rPr>
          <w:rFonts w:ascii="Consolas" w:hAnsi="Consolas" w:eastAsia="Microsoft YaHei"/>
          <w:color w:val="E6EDF3"/>
          <w:sz w:val="18"/>
        </w:rPr>
        <w:t>.\.venv\Scripts\activate   # Windows</w:t>
        <w:br/>
      </w:r>
      <w:r>
        <w:rPr>
          <w:rFonts w:ascii="Consolas" w:hAnsi="Consolas" w:eastAsia="Microsoft YaHei"/>
          <w:color w:val="E6EDF3"/>
          <w:sz w:val="18"/>
        </w:rPr>
        <w:t>pip install -r requirements.txt</w:t>
        <w:br/>
      </w:r>
      <w:r>
        <w:rPr>
          <w:rFonts w:ascii="Consolas" w:hAnsi="Consolas" w:eastAsia="Microsoft YaHei"/>
          <w:color w:val="E6EDF3"/>
          <w:sz w:val="18"/>
        </w:rPr>
        <w:t>uvicorn app.main:app --reload --port 8000</w:t>
        <w:br/>
      </w:r>
      <w:r>
        <w:rPr>
          <w:rFonts w:ascii="Consolas" w:hAnsi="Consolas" w:eastAsia="Microsoft YaHei"/>
          <w:color w:val="E6EDF3"/>
          <w:sz w:val="18"/>
        </w:rPr>
        <w:br/>
      </w:r>
      <w:r>
        <w:rPr>
          <w:rFonts w:ascii="Consolas" w:hAnsi="Consolas" w:eastAsia="Microsoft YaHei"/>
          <w:color w:val="E6EDF3"/>
          <w:sz w:val="18"/>
        </w:rPr>
        <w:t># 3. 前端（新终端）</w:t>
        <w:br/>
      </w:r>
      <w:r>
        <w:rPr>
          <w:rFonts w:ascii="Consolas" w:hAnsi="Consolas" w:eastAsia="Microsoft YaHei"/>
          <w:color w:val="E6EDF3"/>
          <w:sz w:val="18"/>
        </w:rPr>
        <w:t>cd frontend</w:t>
        <w:br/>
      </w:r>
      <w:r>
        <w:rPr>
          <w:rFonts w:ascii="Consolas" w:hAnsi="Consolas" w:eastAsia="Microsoft YaHei"/>
          <w:color w:val="E6EDF3"/>
          <w:sz w:val="18"/>
        </w:rPr>
        <w:t>npm install</w:t>
        <w:br/>
      </w:r>
      <w:r>
        <w:rPr>
          <w:rFonts w:ascii="Consolas" w:hAnsi="Consolas" w:eastAsia="Microsoft YaHei"/>
          <w:color w:val="E6EDF3"/>
          <w:sz w:val="18"/>
        </w:rPr>
        <w:t>npm run dev</w:t>
      </w:r>
    </w:p>
    <w:p>
      <w:pPr>
        <w:keepNext w:val="0"/>
        <w:spacing w:before="0" w:after="160" w:line="320" w:lineRule="auto"/>
      </w:pPr>
      <w:r>
        <w:rPr>
          <w:rFonts w:ascii="Calibri" w:hAnsi="Calibri" w:eastAsia="Microsoft YaHei"/>
          <w:b w:val="0"/>
          <w:i w:val="0"/>
          <w:color w:val="1C2530"/>
          <w:sz w:val="21"/>
        </w:rPr>
        <w:t>启动后访问前端 http://localhost:5173；后端 API 为 http://localhost:8000；Swagger 文档为 http://localhost:8000/docs。窄屏会自动切换到移动端外壳。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首次配置建议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000"/>
        <w:gridCol w:w="4610"/>
      </w:tblGrid>
      <w:tr>
        <w:trPr>
          <w:tblHeader w:val="true"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配置项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建议</w:t>
            </w:r>
          </w:p>
        </w:tc>
        <w:tc>
          <w:tcPr>
            <w:tcW w:type="dxa" w:w="461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175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行情 Provider</w:t>
            </w:r>
          </w:p>
        </w:tc>
        <w:tc>
          <w:tcPr>
            <w:tcW w:type="dxa" w:w="30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yfinance；有 Alpaca Key 时可切换</w:t>
            </w:r>
          </w:p>
        </w:tc>
        <w:tc>
          <w:tcPr>
            <w:tcW w:type="dxa" w:w="461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报价、K 线、搜索与实时刷新</w:t>
            </w:r>
          </w:p>
        </w:tc>
      </w:tr>
      <w:tr>
        <w:tc>
          <w:tcPr>
            <w:tcW w:type="dxa" w:w="175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新闻 Provider</w:t>
            </w:r>
          </w:p>
        </w:tc>
        <w:tc>
          <w:tcPr>
            <w:tcW w:type="dxa" w:w="30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merged</w:t>
            </w:r>
          </w:p>
        </w:tc>
        <w:tc>
          <w:tcPr>
            <w:tcW w:type="dxa" w:w="461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并发合并 Google News、Finnhub、Yahoo 并去重</w:t>
            </w:r>
          </w:p>
        </w:tc>
      </w:tr>
      <w:tr>
        <w:tc>
          <w:tcPr>
            <w:tcW w:type="dxa" w:w="175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Fixture 模式</w:t>
            </w:r>
          </w:p>
        </w:tc>
        <w:tc>
          <w:tcPr>
            <w:tcW w:type="dxa" w:w="30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演示或离线时开启</w:t>
            </w:r>
          </w:p>
        </w:tc>
        <w:tc>
          <w:tcPr>
            <w:tcW w:type="dxa" w:w="461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在外部数据不可用时稳定展示完整流程</w:t>
            </w:r>
          </w:p>
        </w:tc>
      </w:tr>
      <w:tr>
        <w:tc>
          <w:tcPr>
            <w:tcW w:type="dxa" w:w="175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LLM Provider</w:t>
            </w:r>
          </w:p>
        </w:tc>
        <w:tc>
          <w:tcPr>
            <w:tcW w:type="dxa" w:w="30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先用 rules，再按需配置云模型</w:t>
            </w:r>
          </w:p>
        </w:tc>
        <w:tc>
          <w:tcPr>
            <w:tcW w:type="dxa" w:w="461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保证无 Key 也可运行，配置后增强自然语言解释</w:t>
            </w:r>
          </w:p>
        </w:tc>
      </w:tr>
      <w:tr>
        <w:tc>
          <w:tcPr>
            <w:tcW w:type="dxa" w:w="175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初始资金</w:t>
            </w:r>
          </w:p>
        </w:tc>
        <w:tc>
          <w:tcPr>
            <w:tcW w:type="dxa" w:w="30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按演示场景设置 INITIAL_CASH</w:t>
            </w:r>
          </w:p>
        </w:tc>
        <w:tc>
          <w:tcPr>
            <w:tcW w:type="dxa" w:w="461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决定模拟账户基准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推荐的桌面端研究流程</w:t>
      </w:r>
    </w:p>
    <w:p>
      <w:pPr>
        <w:pStyle w:val="ListNumber"/>
        <w:spacing w:before="0" w:after="120" w:line="290" w:lineRule="auto"/>
        <w:ind w:left="540" w:hanging="279"/>
      </w:pPr>
      <w:r>
        <w:rPr>
          <w:rFonts w:ascii="Calibri" w:hAnsi="Calibri" w:eastAsia="Microsoft YaHei"/>
          <w:b/>
          <w:color w:val="1F4D78"/>
          <w:sz w:val="21"/>
        </w:rPr>
        <w:t>选择标的：</w:t>
      </w:r>
      <w:r>
        <w:rPr>
          <w:rFonts w:ascii="Calibri" w:hAnsi="Calibri" w:eastAsia="Microsoft YaHei"/>
          <w:color w:val="1C2530"/>
          <w:sz w:val="21"/>
        </w:rPr>
        <w:t>从热点、自选、持仓或搜索进入工作台</w:t>
      </w:r>
    </w:p>
    <w:p>
      <w:pPr>
        <w:pStyle w:val="ListNumber"/>
        <w:spacing w:before="0" w:after="120" w:line="290" w:lineRule="auto"/>
        <w:ind w:left="540" w:hanging="279"/>
      </w:pPr>
      <w:r>
        <w:rPr>
          <w:rFonts w:ascii="Calibri" w:hAnsi="Calibri" w:eastAsia="Microsoft YaHei"/>
          <w:b/>
          <w:color w:val="1F4D78"/>
          <w:sz w:val="21"/>
        </w:rPr>
        <w:t>选择周期：</w:t>
      </w:r>
      <w:r>
        <w:rPr>
          <w:rFonts w:ascii="Calibri" w:hAnsi="Calibri" w:eastAsia="Microsoft YaHei"/>
          <w:color w:val="1C2530"/>
          <w:sz w:val="21"/>
        </w:rPr>
        <w:t>事件密集的盘中研究优先 5Min/15Min；趋势研究可使用 1Hour/1Day</w:t>
      </w:r>
    </w:p>
    <w:p>
      <w:pPr>
        <w:pStyle w:val="ListNumber"/>
        <w:spacing w:before="0" w:after="120" w:line="290" w:lineRule="auto"/>
        <w:ind w:left="540" w:hanging="279"/>
      </w:pPr>
      <w:r>
        <w:rPr>
          <w:rFonts w:ascii="Calibri" w:hAnsi="Calibri" w:eastAsia="Microsoft YaHei"/>
          <w:b/>
          <w:color w:val="1F4D78"/>
          <w:sz w:val="21"/>
        </w:rPr>
        <w:t>观察锚点：</w:t>
      </w:r>
      <w:r>
        <w:rPr>
          <w:rFonts w:ascii="Calibri" w:hAnsi="Calibri" w:eastAsia="Microsoft YaHei"/>
          <w:color w:val="1C2530"/>
          <w:sz w:val="21"/>
        </w:rPr>
        <w:t>悬停或点击带事件标记的 K 线，查看对应新闻及事件反应</w:t>
      </w:r>
    </w:p>
    <w:p>
      <w:pPr>
        <w:pStyle w:val="ListNumber"/>
        <w:spacing w:before="0" w:after="120" w:line="290" w:lineRule="auto"/>
        <w:ind w:left="540" w:hanging="279"/>
      </w:pPr>
      <w:r>
        <w:rPr>
          <w:rFonts w:ascii="Calibri" w:hAnsi="Calibri" w:eastAsia="Microsoft YaHei"/>
          <w:b/>
          <w:color w:val="1F4D78"/>
          <w:sz w:val="21"/>
        </w:rPr>
        <w:t>交叉验证：</w:t>
      </w:r>
      <w:r>
        <w:rPr>
          <w:rFonts w:ascii="Calibri" w:hAnsi="Calibri" w:eastAsia="Microsoft YaHei"/>
          <w:color w:val="1C2530"/>
          <w:sz w:val="21"/>
        </w:rPr>
        <w:t>同时观察均线、RSI、MACD、成交量等技术结构，避免只看标题情绪</w:t>
      </w:r>
    </w:p>
    <w:p>
      <w:pPr>
        <w:pStyle w:val="ListNumber"/>
        <w:spacing w:before="0" w:after="120" w:line="290" w:lineRule="auto"/>
        <w:ind w:left="540" w:hanging="279"/>
      </w:pPr>
      <w:r>
        <w:rPr>
          <w:rFonts w:ascii="Calibri" w:hAnsi="Calibri" w:eastAsia="Microsoft YaHei"/>
          <w:b/>
          <w:color w:val="1F4D78"/>
          <w:sz w:val="21"/>
        </w:rPr>
        <w:t>运行区间分析：</w:t>
      </w:r>
      <w:r>
        <w:rPr>
          <w:rFonts w:ascii="Calibri" w:hAnsi="Calibri" w:eastAsia="Microsoft YaHei"/>
          <w:color w:val="1C2530"/>
          <w:sz w:val="21"/>
        </w:rPr>
        <w:t>设定开始/结束日期，生成技术面与新闻面的联合报告</w:t>
      </w:r>
    </w:p>
    <w:p>
      <w:pPr>
        <w:pStyle w:val="ListNumber"/>
        <w:spacing w:before="0" w:after="120" w:line="290" w:lineRule="auto"/>
        <w:ind w:left="540" w:hanging="279"/>
      </w:pPr>
      <w:r>
        <w:rPr>
          <w:rFonts w:ascii="Calibri" w:hAnsi="Calibri" w:eastAsia="Microsoft YaHei"/>
          <w:b/>
          <w:color w:val="1F4D78"/>
          <w:sz w:val="21"/>
        </w:rPr>
        <w:t>预览模拟订单：</w:t>
      </w:r>
      <w:r>
        <w:rPr>
          <w:rFonts w:ascii="Calibri" w:hAnsi="Calibri" w:eastAsia="Microsoft YaHei"/>
          <w:color w:val="1C2530"/>
          <w:sz w:val="21"/>
        </w:rPr>
        <w:t>输入方向、数量或金额，检查费用、现金变化、仓位权重和风险提示</w:t>
      </w:r>
    </w:p>
    <w:p>
      <w:pPr>
        <w:pStyle w:val="ListNumber"/>
        <w:spacing w:before="0" w:after="120" w:line="290" w:lineRule="auto"/>
        <w:ind w:left="540" w:hanging="279"/>
      </w:pPr>
      <w:r>
        <w:rPr>
          <w:rFonts w:ascii="Calibri" w:hAnsi="Calibri" w:eastAsia="Microsoft YaHei"/>
          <w:b/>
          <w:color w:val="1F4D78"/>
          <w:sz w:val="21"/>
        </w:rPr>
        <w:t>提交与复盘：</w:t>
      </w:r>
      <w:r>
        <w:rPr>
          <w:rFonts w:ascii="Calibri" w:hAnsi="Calibri" w:eastAsia="Microsoft YaHei"/>
          <w:color w:val="1C2530"/>
          <w:sz w:val="21"/>
        </w:rPr>
        <w:t>在持仓、委托、成交及资产曲线中追踪结果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3.4 Fixture 演示流程</w:t>
      </w:r>
    </w:p>
    <w:p>
      <w:pPr>
        <w:spacing w:before="120" w:after="200" w:line="300" w:lineRule="auto"/>
        <w:ind w:left="173" w:right="173"/>
        <w:shd w:fill="FFF8E8"/>
        <w:pBdr>
          <w:left w:val="single" w:sz="18" w:color="B28A38" w:space="6"/>
        </w:pBdr>
      </w:pPr>
      <w:r>
        <w:rPr>
          <w:rFonts w:ascii="Calibri" w:hAnsi="Calibri" w:eastAsia="Microsoft YaHei"/>
          <w:b/>
          <w:color w:val="B28A38"/>
          <w:sz w:val="21"/>
        </w:rPr>
        <w:t xml:space="preserve">最快演示路径  </w:t>
      </w:r>
      <w:r>
        <w:rPr>
          <w:rFonts w:ascii="Calibri" w:hAnsi="Calibri" w:eastAsia="Microsoft YaHei"/>
          <w:color w:val="1C2530"/>
          <w:sz w:val="21"/>
        </w:rPr>
        <w:t>将 FIXTURE_MODE=true，打开 NVDA 工作台并选择 5Min；点击有新闻锚点的 K 线查看事件反应，再提交一笔模拟订单，观察持仓、成本线和资产数据更新。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3.5 生产部署</w:t>
      </w:r>
    </w:p>
    <w:p>
      <w:pPr>
        <w:keepNext w:val="0"/>
        <w:spacing w:before="0" w:after="160" w:line="320" w:lineRule="auto"/>
      </w:pPr>
      <w:r>
        <w:rPr>
          <w:rFonts w:ascii="Calibri" w:hAnsi="Calibri" w:eastAsia="Microsoft YaHei"/>
          <w:b w:val="0"/>
          <w:i w:val="0"/>
          <w:color w:val="1C2530"/>
        </w:rPr>
        <w:t>仓库已提供 Docker Compose、前后端 Dockerfile 与 Nginx 反向代理，可部署到单机 VPS。生产环境建议使用 docker-compose.prod.yml 与独立的 .env.production，并只对公网开放 80/443。后端 8000 端口应保留在容器网络内。</w:t>
      </w:r>
    </w:p>
    <w:p>
      <w:pPr>
        <w:spacing w:before="80" w:after="200" w:line="252" w:lineRule="auto"/>
        <w:ind w:left="216" w:right="216"/>
        <w:shd w:fill="10141B"/>
      </w:pPr>
      <w:r>
        <w:rPr>
          <w:rFonts w:ascii="Consolas" w:hAnsi="Consolas" w:eastAsia="Microsoft YaHei"/>
          <w:color w:val="E6EDF3"/>
          <w:sz w:val="18"/>
        </w:rPr>
        <w:t>cp .env.production.example .env.production</w:t>
        <w:br/>
      </w:r>
      <w:r>
        <w:rPr>
          <w:rFonts w:ascii="Consolas" w:hAnsi="Consolas" w:eastAsia="Microsoft YaHei"/>
          <w:color w:val="E6EDF3"/>
          <w:sz w:val="18"/>
        </w:rPr>
        <w:t>docker compose -f docker-compose.prod.yml --env-file .env.production up -d --build</w:t>
        <w:br/>
      </w:r>
      <w:r>
        <w:rPr>
          <w:rFonts w:ascii="Consolas" w:hAnsi="Consolas" w:eastAsia="Microsoft YaHei"/>
          <w:color w:val="E6EDF3"/>
          <w:sz w:val="18"/>
        </w:rPr>
        <w:t>docker compose -f docker-compose.prod.yml ps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目标群体与典型场景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500"/>
        <w:gridCol w:w="3810"/>
      </w:tblGrid>
      <w:tr>
        <w:trPr>
          <w:tblHeader w:val="true"/>
        </w:trP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目标群体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主要诉求</w:t>
            </w:r>
          </w:p>
        </w:tc>
        <w:tc>
          <w:tcPr>
            <w:tcW w:type="dxa" w:w="381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典型使用场景</w:t>
            </w:r>
          </w:p>
        </w:tc>
      </w:tr>
      <w:tr>
        <w:tc>
          <w:tcPr>
            <w:tcW w:type="dxa" w:w="205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事件驱动型交易研究者</w:t>
            </w:r>
          </w:p>
        </w:tc>
        <w:tc>
          <w:tcPr>
            <w:tcW w:type="dxa" w:w="35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快速确认新闻发生后价格与量能是否真实响应</w:t>
            </w:r>
          </w:p>
        </w:tc>
        <w:tc>
          <w:tcPr>
            <w:tcW w:type="dxa" w:w="381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财报、产品发布、监管、并购、宏观消息后的反应研究</w:t>
            </w:r>
          </w:p>
        </w:tc>
      </w:tr>
      <w:tr>
        <w:tc>
          <w:tcPr>
            <w:tcW w:type="dxa" w:w="205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主动投资者与自选股用户</w:t>
            </w:r>
          </w:p>
        </w:tc>
        <w:tc>
          <w:tcPr>
            <w:tcW w:type="dxa" w:w="35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减少新闻与图表来回切换，建立结构化观察流程</w:t>
            </w:r>
          </w:p>
        </w:tc>
        <w:tc>
          <w:tcPr>
            <w:tcW w:type="dxa" w:w="381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盘前准备、盘中跟踪、盘后复盘</w:t>
            </w:r>
          </w:p>
        </w:tc>
      </w:tr>
      <w:tr>
        <w:tc>
          <w:tcPr>
            <w:tcW w:type="dxa" w:w="205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量化/金融科技产品学习者</w:t>
            </w:r>
          </w:p>
        </w:tc>
        <w:tc>
          <w:tcPr>
            <w:tcW w:type="dxa" w:w="35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理解事件对齐、指标计算、风险规则与数据降级</w:t>
            </w:r>
          </w:p>
        </w:tc>
        <w:tc>
          <w:tcPr>
            <w:tcW w:type="dxa" w:w="381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课程项目、作品集、原型验证、技术演示</w:t>
            </w:r>
          </w:p>
        </w:tc>
      </w:tr>
      <w:tr>
        <w:tc>
          <w:tcPr>
            <w:tcW w:type="dxa" w:w="205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交易新手与教育场景</w:t>
            </w:r>
          </w:p>
        </w:tc>
        <w:tc>
          <w:tcPr>
            <w:tcW w:type="dxa" w:w="35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在不承担真实资金风险的情况下学习订单与仓位</w:t>
            </w:r>
          </w:p>
        </w:tc>
        <w:tc>
          <w:tcPr>
            <w:tcW w:type="dxa" w:w="381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模拟下单、手续费理解、集中度与止损教育</w:t>
            </w:r>
          </w:p>
        </w:tc>
      </w:tr>
      <w:tr>
        <w:tc>
          <w:tcPr>
            <w:tcW w:type="dxa" w:w="205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产品评审与合作方</w:t>
            </w:r>
          </w:p>
        </w:tc>
        <w:tc>
          <w:tcPr>
            <w:tcW w:type="dxa" w:w="35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快速评估事件研究产品的完整性与可扩展性</w:t>
            </w:r>
          </w:p>
        </w:tc>
        <w:tc>
          <w:tcPr>
            <w:tcW w:type="dxa" w:w="381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产品路演、合作沟通、内部评审</w:t>
            </w:r>
          </w:p>
        </w:tc>
      </w:tr>
    </w:tbl>
    <w:p>
      <w:pPr>
        <w:spacing w:after="40"/>
      </w:pPr>
    </w:p>
    <w:p>
      <w:pPr>
        <w:spacing w:before="120" w:after="200" w:line="300" w:lineRule="auto"/>
        <w:ind w:left="173" w:right="173"/>
        <w:shd w:fill="FDECEC"/>
        <w:pBdr>
          <w:left w:val="single" w:sz="18" w:color="9B2C2C" w:space="6"/>
        </w:pBdr>
      </w:pPr>
      <w:r>
        <w:rPr>
          <w:rFonts w:ascii="Calibri" w:hAnsi="Calibri" w:eastAsia="Microsoft YaHei"/>
          <w:b/>
          <w:color w:val="9B2C2C"/>
          <w:sz w:val="21"/>
        </w:rPr>
        <w:t xml:space="preserve">不适用人群  </w:t>
      </w:r>
      <w:r>
        <w:rPr>
          <w:rFonts w:ascii="Calibri" w:hAnsi="Calibri" w:eastAsia="Microsoft YaHei"/>
          <w:color w:val="1C2530"/>
          <w:sz w:val="21"/>
        </w:rPr>
        <w:t>需要真实券商成交、超低延迟专业盘口、机构级合规审计或自动化实盘策略执行的用户，不应把当前版本视为生产级交易终端。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设计差异化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从“看行情”转向“理解事件—验证反应”</w:t>
      </w:r>
    </w:p>
    <w:p>
      <w:pPr>
        <w:keepNext w:val="0"/>
        <w:spacing w:before="0" w:after="160" w:line="320" w:lineRule="auto"/>
      </w:pPr>
      <w:r>
        <w:rPr>
          <w:rFonts w:ascii="Calibri" w:hAnsi="Calibri" w:eastAsia="Microsoft YaHei"/>
          <w:b w:val="0"/>
          <w:i w:val="0"/>
          <w:color w:val="1C2530"/>
        </w:rPr>
        <w:t>多数行情产品以股票为中心，新闻只是旁栏信息；EventLens 将事件变成 K 线的一等对象。每条新闻被映射到具体时间桶，并与价格变化、成交量和技术结构形成可追踪关系。用户看到的不只是“发生了什么”，还包括“市场是否、何时、以多大幅度作出反应”。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把研究与行动放在同一个上下文</w:t>
      </w:r>
    </w:p>
    <w:p>
      <w:pPr>
        <w:keepNext w:val="0"/>
        <w:spacing w:before="0" w:after="160" w:line="320" w:lineRule="auto"/>
      </w:pPr>
      <w:r>
        <w:rPr>
          <w:rFonts w:ascii="Calibri" w:hAnsi="Calibri" w:eastAsia="Microsoft YaHei"/>
          <w:b w:val="0"/>
          <w:i w:val="0"/>
          <w:color w:val="1C2530"/>
        </w:rPr>
        <w:t>工作台不要求用户在新闻、图表、订单和账户页面之间反复切换。选中的事件、当前标的、图表周期、标记价格与模拟订单共享上下文，使“研究—判断—预演—复盘”连续发生。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5.3 AI 不是结论机器，而是事实解释层</w:t>
      </w:r>
    </w:p>
    <w:p>
      <w:pPr>
        <w:keepNext w:val="0"/>
        <w:spacing w:before="0" w:after="160" w:line="320" w:lineRule="auto"/>
      </w:pPr>
      <w:r>
        <w:rPr>
          <w:rFonts w:ascii="Calibri" w:hAnsi="Calibri" w:eastAsia="Microsoft YaHei"/>
          <w:b w:val="0"/>
          <w:i w:val="0"/>
          <w:color w:val="1C2530"/>
        </w:rPr>
        <w:t>系统先由代码计算行情、指标、事件反应与风险事实，再让规则模板或 LLM 进行归纳。这样的分工降低了模型编造数字、遮蔽不确定性或在网络异常时让核心流程失效的风险。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5.4 移动端不是桌面端的缩小版</w:t>
      </w:r>
    </w:p>
    <w:p>
      <w:pPr>
        <w:keepNext w:val="0"/>
        <w:spacing w:before="0" w:after="160" w:line="320" w:lineRule="auto"/>
      </w:pPr>
      <w:r>
        <w:rPr>
          <w:rFonts w:ascii="Calibri" w:hAnsi="Calibri" w:eastAsia="Microsoft YaHei"/>
          <w:b w:val="0"/>
          <w:i w:val="0"/>
          <w:color w:val="1C2530"/>
        </w:rPr>
        <w:t>桌面端强调多面板并行观察，移动端强调任务切换和单手操作。独立路由、底部导航、下拉刷新、底部 Sheet、触觉反馈、可拖拽自选与全屏图表体现了针对设备场景的重新设计。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5.5 对比视角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500"/>
        <w:gridCol w:w="4110"/>
      </w:tblGrid>
      <w:tr>
        <w:trPr>
          <w:tblHeader w:val="true"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对比维度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常见行情/新闻工具</w:t>
            </w:r>
          </w:p>
        </w:tc>
        <w:tc>
          <w:tcPr>
            <w:tcW w:type="dxa" w:w="411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EventLens</w:t>
            </w:r>
          </w:p>
        </w:tc>
      </w:tr>
      <w:tr>
        <w:tc>
          <w:tcPr>
            <w:tcW w:type="dxa" w:w="175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信息组织</w:t>
            </w:r>
          </w:p>
        </w:tc>
        <w:tc>
          <w:tcPr>
            <w:tcW w:type="dxa" w:w="35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行情、新闻、交易相互分离</w:t>
            </w:r>
          </w:p>
        </w:tc>
        <w:tc>
          <w:tcPr>
            <w:tcW w:type="dxa" w:w="411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围绕同一标的与同一时间窗口联动</w:t>
            </w:r>
          </w:p>
        </w:tc>
      </w:tr>
      <w:tr>
        <w:tc>
          <w:tcPr>
            <w:tcW w:type="dxa" w:w="175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新闻与图表</w:t>
            </w:r>
          </w:p>
        </w:tc>
        <w:tc>
          <w:tcPr>
            <w:tcW w:type="dxa" w:w="35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新闻列表与 K 线弱关联</w:t>
            </w:r>
          </w:p>
        </w:tc>
        <w:tc>
          <w:tcPr>
            <w:tcW w:type="dxa" w:w="411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自适应周期对齐并形成可点击锚点</w:t>
            </w:r>
          </w:p>
        </w:tc>
      </w:tr>
      <w:tr>
        <w:tc>
          <w:tcPr>
            <w:tcW w:type="dxa" w:w="175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事件影响</w:t>
            </w:r>
          </w:p>
        </w:tc>
        <w:tc>
          <w:tcPr>
            <w:tcW w:type="dxa" w:w="35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依赖用户主观观察</w:t>
            </w:r>
          </w:p>
        </w:tc>
        <w:tc>
          <w:tcPr>
            <w:tcW w:type="dxa" w:w="411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提供标准化前后反应窗口与量能倍数</w:t>
            </w:r>
          </w:p>
        </w:tc>
      </w:tr>
      <w:tr>
        <w:tc>
          <w:tcPr>
            <w:tcW w:type="dxa" w:w="175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AI 使用</w:t>
            </w:r>
          </w:p>
        </w:tc>
        <w:tc>
          <w:tcPr>
            <w:tcW w:type="dxa" w:w="35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直接生成观点或摘要</w:t>
            </w:r>
          </w:p>
        </w:tc>
        <w:tc>
          <w:tcPr>
            <w:tcW w:type="dxa" w:w="411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先计算事实，再解释；可规则降级</w:t>
            </w:r>
          </w:p>
        </w:tc>
      </w:tr>
      <w:tr>
        <w:tc>
          <w:tcPr>
            <w:tcW w:type="dxa" w:w="175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交易安全</w:t>
            </w:r>
          </w:p>
        </w:tc>
        <w:tc>
          <w:tcPr>
            <w:tcW w:type="dxa" w:w="35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直接下单或只提供简单模拟</w:t>
            </w:r>
          </w:p>
        </w:tc>
        <w:tc>
          <w:tcPr>
            <w:tcW w:type="dxa" w:w="411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下单前集中度、现金与事件波动预览</w:t>
            </w:r>
          </w:p>
        </w:tc>
      </w:tr>
      <w:tr>
        <w:tc>
          <w:tcPr>
            <w:tcW w:type="dxa" w:w="175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跨端设计</w:t>
            </w:r>
          </w:p>
        </w:tc>
        <w:tc>
          <w:tcPr>
            <w:tcW w:type="dxa" w:w="35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响应式压缩桌面页面</w:t>
            </w:r>
          </w:p>
        </w:tc>
        <w:tc>
          <w:tcPr>
            <w:tcW w:type="dxa" w:w="411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桌面并行工作台 + 移动任务式导航</w:t>
            </w:r>
          </w:p>
        </w:tc>
      </w:tr>
      <w:tr>
        <w:tc>
          <w:tcPr>
            <w:tcW w:type="dxa" w:w="175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数据可靠性</w:t>
            </w:r>
          </w:p>
        </w:tc>
        <w:tc>
          <w:tcPr>
            <w:tcW w:type="dxa" w:w="35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单一数据源失败即中断</w:t>
            </w:r>
          </w:p>
        </w:tc>
        <w:tc>
          <w:tcPr>
            <w:tcW w:type="dxa" w:w="411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Provider、缓存、Fixture 与结构化错误多级降级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创新点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周期自适应的事件—K 线对齐</w:t>
      </w:r>
    </w:p>
    <w:p>
      <w:pPr>
        <w:keepNext w:val="0"/>
        <w:spacing w:before="0" w:after="120" w:line="320" w:lineRule="auto"/>
      </w:pPr>
      <w:r>
        <w:rPr>
          <w:rFonts w:ascii="Calibri" w:hAnsi="Calibri" w:eastAsia="Microsoft YaHei"/>
          <w:b w:val="0"/>
          <w:i w:val="0"/>
          <w:color w:val="1C2530"/>
          <w:sz w:val="21"/>
        </w:rPr>
        <w:t>新闻时间先转换到市场时区，再按 1Min 至 1Month 的周期规则映射到 K 线桶；日级还可聚合多条事件，解决跨周期观察时锚点漂移的问题。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标准化事件反应窗口</w:t>
      </w:r>
    </w:p>
    <w:p>
      <w:pPr>
        <w:keepNext w:val="0"/>
        <w:spacing w:before="0" w:after="120" w:line="320" w:lineRule="auto"/>
      </w:pPr>
      <w:r>
        <w:rPr>
          <w:rFonts w:ascii="Calibri" w:hAnsi="Calibri" w:eastAsia="Microsoft YaHei"/>
          <w:b w:val="0"/>
          <w:i w:val="0"/>
          <w:color w:val="1C2530"/>
          <w:sz w:val="21"/>
        </w:rPr>
        <w:t>以事件时刻为中心，自动计算前后涨跌、最大上行、最大回撤、当日高低点与量能倍数，把主观“好像涨了”转化为可比较事实。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技术面 × 新闻面的区间级联合分析</w:t>
      </w:r>
    </w:p>
    <w:p>
      <w:pPr>
        <w:keepNext w:val="0"/>
        <w:spacing w:before="0" w:after="120" w:line="320" w:lineRule="auto"/>
      </w:pPr>
      <w:r>
        <w:rPr>
          <w:rFonts w:ascii="Calibri" w:hAnsi="Calibri" w:eastAsia="Microsoft YaHei"/>
          <w:b w:val="0"/>
          <w:i w:val="0"/>
          <w:color w:val="1C2530"/>
          <w:sz w:val="21"/>
        </w:rPr>
        <w:t>不是只分析单条新闻，而是把指定时间区间内的行情结构、指标状态和事件集合共同纳入解释。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风险预览前置</w:t>
      </w:r>
    </w:p>
    <w:p>
      <w:pPr>
        <w:keepNext w:val="0"/>
        <w:spacing w:before="0" w:after="120" w:line="320" w:lineRule="auto"/>
      </w:pPr>
      <w:r>
        <w:rPr>
          <w:rFonts w:ascii="Calibri" w:hAnsi="Calibri" w:eastAsia="Microsoft YaHei"/>
          <w:b w:val="0"/>
          <w:i w:val="0"/>
          <w:color w:val="1C2530"/>
          <w:sz w:val="21"/>
        </w:rPr>
        <w:t>在模拟订单确认前就量化仓位集中度、现金比例、订单规模及事件后波动，让风险提示成为交易流程的一部分，而非成交后的报告。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可替换 AI 与可持续降级</w:t>
      </w:r>
    </w:p>
    <w:p>
      <w:pPr>
        <w:keepNext w:val="0"/>
        <w:spacing w:before="0" w:after="120" w:line="320" w:lineRule="auto"/>
      </w:pPr>
      <w:r>
        <w:rPr>
          <w:rFonts w:ascii="Calibri" w:hAnsi="Calibri" w:eastAsia="Microsoft YaHei"/>
          <w:b w:val="0"/>
          <w:i w:val="0"/>
          <w:color w:val="1C2530"/>
          <w:sz w:val="21"/>
        </w:rPr>
        <w:t>同一分析接口支持规则模板、OpenAI、DeepSeek 与 Qwen；无 Key、超时或外部服务不可用时，核心功能仍可继续。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共享行情单航班缓存</w:t>
      </w:r>
    </w:p>
    <w:p>
      <w:pPr>
        <w:keepNext w:val="0"/>
        <w:spacing w:before="0" w:after="120" w:line="320" w:lineRule="auto"/>
      </w:pPr>
      <w:r>
        <w:rPr>
          <w:rFonts w:ascii="Calibri" w:hAnsi="Calibri" w:eastAsia="Microsoft YaHei"/>
          <w:b w:val="0"/>
          <w:i w:val="0"/>
          <w:color w:val="1C2530"/>
          <w:sz w:val="21"/>
        </w:rPr>
        <w:t>REST 报价、订单簿与实时广播共享按标的缓存和锁，同一时刻只触发一次上游请求，降低重复请求与首屏等待。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事件弹幕与价格上下文</w:t>
      </w:r>
    </w:p>
    <w:p>
      <w:pPr>
        <w:keepNext w:val="0"/>
        <w:spacing w:before="0" w:after="120" w:line="320" w:lineRule="auto"/>
      </w:pPr>
      <w:r>
        <w:rPr>
          <w:rFonts w:ascii="Calibri" w:hAnsi="Calibri" w:eastAsia="Microsoft YaHei"/>
          <w:b w:val="0"/>
          <w:i w:val="0"/>
          <w:color w:val="1C2530"/>
          <w:sz w:val="21"/>
        </w:rPr>
        <w:t>工作台提供与标的共同存在的轻量弹幕通道，为未来的事件讨论、观点标注和协作研究预留交互层。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7. 技术架构与工程特点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层级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技术与职责</w:t>
            </w:r>
          </w:p>
        </w:tc>
      </w:tr>
      <w:tr>
        <w:tc>
          <w:tcPr>
            <w:tcW w:type="dxa" w:w="19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Web 前端</w:t>
            </w:r>
          </w:p>
        </w:tc>
        <w:tc>
          <w:tcPr>
            <w:tcW w:type="dxa" w:w="74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React 18 + TypeScript + Vite；TanStack Query 管理服务端状态，Zustand 管理工作台与账户状态，Lightweight Charts 承载图表</w:t>
            </w:r>
          </w:p>
        </w:tc>
      </w:tr>
      <w:tr>
        <w:tc>
          <w:tcPr>
            <w:tcW w:type="dxa" w:w="19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移动端</w:t>
            </w:r>
          </w:p>
        </w:tc>
        <w:tc>
          <w:tcPr>
            <w:tcW w:type="dxa" w:w="74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与桌面端共享 API 与核心数据结构，但采用独立页面、组件与交互组织</w:t>
            </w:r>
          </w:p>
        </w:tc>
      </w:tr>
      <w:tr>
        <w:tc>
          <w:tcPr>
            <w:tcW w:type="dxa" w:w="19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API 后端</w:t>
            </w:r>
          </w:p>
        </w:tc>
        <w:tc>
          <w:tcPr>
            <w:tcW w:type="dxa" w:w="74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FastAPI + Pydantic；提供行情、新闻、事件、AI 分析、账户、订单、成交、弹幕与配置接口</w:t>
            </w:r>
          </w:p>
        </w:tc>
      </w:tr>
      <w:tr>
        <w:tc>
          <w:tcPr>
            <w:tcW w:type="dxa" w:w="19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数据与持久化</w:t>
            </w:r>
          </w:p>
        </w:tc>
        <w:tc>
          <w:tcPr>
            <w:tcW w:type="dxa" w:w="74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SQLAlchemy + SQLite；保存账户、持仓、订单、成交、新闻缓存、运行时配置与资产曲线</w:t>
            </w:r>
          </w:p>
        </w:tc>
      </w:tr>
      <w:tr>
        <w:tc>
          <w:tcPr>
            <w:tcW w:type="dxa" w:w="19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Provider 层</w:t>
            </w:r>
          </w:p>
        </w:tc>
        <w:tc>
          <w:tcPr>
            <w:tcW w:type="dxa" w:w="74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行情支持 yfinance / Alpaca / Fixture；新闻支持 merged / Finnhub / Yahoo / Google News / Fixture</w:t>
            </w:r>
          </w:p>
        </w:tc>
      </w:tr>
      <w:tr>
        <w:tc>
          <w:tcPr>
            <w:tcW w:type="dxa" w:w="19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AI 层</w:t>
            </w:r>
          </w:p>
        </w:tc>
        <w:tc>
          <w:tcPr>
            <w:tcW w:type="dxa" w:w="74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规则模板或 OpenAI 兼容接口；支持 OpenAI、DeepSeek、Qwen</w:t>
            </w:r>
          </w:p>
        </w:tc>
      </w:tr>
      <w:tr>
        <w:tc>
          <w:tcPr>
            <w:tcW w:type="dxa" w:w="19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部署层</w:t>
            </w:r>
          </w:p>
        </w:tc>
        <w:tc>
          <w:tcPr>
            <w:tcW w:type="dxa" w:w="74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Docker Compose + Nginx；前端同域反代 /api 与 /ws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关键工程取舍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Microsoft YaHei"/>
          <w:color w:val="1C2530"/>
          <w:sz w:val="21"/>
        </w:rPr>
        <w:t>Provider 抽象让外部数据源可替换，并为测试与离线演示保留 Fixture。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Microsoft YaHei"/>
          <w:color w:val="1C2530"/>
          <w:sz w:val="21"/>
        </w:rPr>
        <w:t>缓存与持久化优先返回可用数据，再后台刷新，改善外部数据源不稳定时的体验。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Microsoft YaHei"/>
          <w:color w:val="1C2530"/>
          <w:sz w:val="21"/>
        </w:rPr>
        <w:t>订单预览使用确定性规则快速计算，不让云模型延迟阻塞确认按钮。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Microsoft YaHei"/>
          <w:color w:val="1C2530"/>
          <w:sz w:val="21"/>
        </w:rPr>
        <w:t>API Key 仅保存在后端，前端不会读取或明文回传。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Microsoft YaHei"/>
          <w:color w:val="1C2530"/>
          <w:sz w:val="21"/>
        </w:rPr>
        <w:t>前后端均包含自动化测试，覆盖事件对齐、指标、移动图表点击、行情与新闻调度、订单预览等关键路径。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8. 产品边界、风险与已知限制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边界/限制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说明与建议</w:t>
            </w:r>
          </w:p>
        </w:tc>
      </w:tr>
      <w:tr>
        <w:tc>
          <w:tcPr>
            <w:tcW w:type="dxa" w:w="21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非真实交易</w:t>
            </w:r>
          </w:p>
        </w:tc>
        <w:tc>
          <w:tcPr>
            <w:tcW w:type="dxa" w:w="72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所有订单均为模拟成交，不连接真实券商；不可作为实盘成交记录</w:t>
            </w:r>
          </w:p>
        </w:tc>
      </w:tr>
      <w:tr>
        <w:tc>
          <w:tcPr>
            <w:tcW w:type="dxa" w:w="21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数据时效</w:t>
            </w:r>
          </w:p>
        </w:tc>
        <w:tc>
          <w:tcPr>
            <w:tcW w:type="dxa" w:w="72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行情和新闻可能延迟、来自缓存或 Fixture；重要决策应回查权威来源</w:t>
            </w:r>
          </w:p>
        </w:tc>
      </w:tr>
      <w:tr>
        <w:tc>
          <w:tcPr>
            <w:tcW w:type="dxa" w:w="21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数据源限制</w:t>
            </w:r>
          </w:p>
        </w:tc>
        <w:tc>
          <w:tcPr>
            <w:tcW w:type="dxa" w:w="72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yfinance 日内历史范围有限，WebSocket 不稳定时会降级为轮询</w:t>
            </w:r>
          </w:p>
        </w:tc>
      </w:tr>
      <w:tr>
        <w:tc>
          <w:tcPr>
            <w:tcW w:type="dxa" w:w="21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存储扩展性</w:t>
            </w:r>
          </w:p>
        </w:tc>
        <w:tc>
          <w:tcPr>
            <w:tcW w:type="dxa" w:w="72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当前 SQLite 适合演示与小流量单机部署；多实例和高并发应迁移到 Postgres 等共享数据库</w:t>
            </w:r>
          </w:p>
        </w:tc>
      </w:tr>
      <w:tr>
        <w:tc>
          <w:tcPr>
            <w:tcW w:type="dxa" w:w="21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外部网络</w:t>
            </w:r>
          </w:p>
        </w:tc>
        <w:tc>
          <w:tcPr>
            <w:tcW w:type="dxa" w:w="72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真实行情与新闻依赖 Yahoo、Finnhub 等外部服务，部署环境需具备稳定出网能力</w:t>
            </w:r>
          </w:p>
        </w:tc>
      </w:tr>
      <w:tr>
        <w:tc>
          <w:tcPr>
            <w:tcW w:type="dxa" w:w="21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合规属性</w:t>
            </w:r>
          </w:p>
        </w:tc>
        <w:tc>
          <w:tcPr>
            <w:tcW w:type="dxa" w:w="72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AI 分析、事件标签和风险提示均不构成投资建议，也不保证收益</w:t>
            </w:r>
          </w:p>
        </w:tc>
      </w:tr>
    </w:tbl>
    <w:p>
      <w:pPr>
        <w:spacing w:after="40"/>
      </w:pPr>
    </w:p>
    <w:p>
      <w:pPr>
        <w:spacing w:before="120" w:after="200" w:line="300" w:lineRule="auto"/>
        <w:ind w:left="173" w:right="173"/>
        <w:shd w:fill="FDECEC"/>
        <w:pBdr>
          <w:left w:val="single" w:sz="18" w:color="9B2C2C" w:space="6"/>
        </w:pBdr>
      </w:pPr>
      <w:r>
        <w:rPr>
          <w:rFonts w:ascii="Calibri" w:hAnsi="Calibri" w:eastAsia="Microsoft YaHei"/>
          <w:b/>
          <w:color w:val="9B2C2C"/>
          <w:sz w:val="21"/>
        </w:rPr>
        <w:t xml:space="preserve">风险声明  </w:t>
      </w:r>
      <w:r>
        <w:rPr>
          <w:rFonts w:ascii="Calibri" w:hAnsi="Calibri" w:eastAsia="Microsoft YaHei"/>
          <w:color w:val="1C2530"/>
          <w:sz w:val="21"/>
        </w:rPr>
        <w:t>EventLens 仅供研究、学习与产品演示。市场数据可能延迟或不准确；任何分析、分类和风险说明都不应被理解为买卖建议或收益承诺。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9. 产品价值总结</w:t>
      </w:r>
    </w:p>
    <w:p>
      <w:pPr>
        <w:keepNext w:val="0"/>
        <w:spacing w:before="0" w:after="160" w:line="320" w:lineRule="auto"/>
      </w:pPr>
      <w:r>
        <w:rPr>
          <w:rFonts w:ascii="Calibri" w:hAnsi="Calibri" w:eastAsia="Microsoft YaHei"/>
          <w:b w:val="0"/>
          <w:i w:val="0"/>
          <w:color w:val="1C2530"/>
        </w:rPr>
        <w:t>EventLens 的价值不在于堆叠更多行情指标，而在于建立一条清晰的事件研究链路：让时间成为新闻与市场反应的共同坐标，让代码负责可验证的计算，让 AI 负责解释，让风险检查发生在行动之前，让模拟账户承接复盘。</w:t>
      </w:r>
    </w:p>
    <w:p>
      <w:pPr>
        <w:keepNext w:val="0"/>
        <w:spacing w:before="0" w:after="160" w:line="320" w:lineRule="auto"/>
      </w:pPr>
      <w:r>
        <w:rPr>
          <w:rFonts w:ascii="Calibri" w:hAnsi="Calibri" w:eastAsia="Microsoft YaHei"/>
          <w:b w:val="0"/>
          <w:i w:val="0"/>
          <w:color w:val="1C2530"/>
        </w:rPr>
        <w:t>这种设计使它同时具备三种属性：对研究者，它是事件验证工具；对学习者，它是低风险交易实验环境；对产品与技术评审者，它是一个从数据接入、交互设计到降级与部署都较完整的金融科技原型。</w:t>
      </w:r>
    </w:p>
    <w:p>
      <w:pPr>
        <w:spacing w:before="120" w:after="200" w:line="300" w:lineRule="auto"/>
        <w:ind w:left="173" w:right="173"/>
        <w:shd w:fill="FFF8E8"/>
        <w:pBdr>
          <w:left w:val="single" w:sz="18" w:color="B28A38" w:space="6"/>
        </w:pBdr>
      </w:pPr>
      <w:r>
        <w:rPr>
          <w:rFonts w:ascii="Calibri" w:hAnsi="Calibri" w:eastAsia="Microsoft YaHei"/>
          <w:b/>
          <w:color w:val="B28A38"/>
          <w:sz w:val="21"/>
        </w:rPr>
        <w:t xml:space="preserve">最终定位  </w:t>
      </w:r>
      <w:r>
        <w:rPr>
          <w:rFonts w:ascii="Calibri" w:hAnsi="Calibri" w:eastAsia="Microsoft YaHei"/>
          <w:color w:val="1C2530"/>
          <w:sz w:val="21"/>
        </w:rPr>
        <w:t>一个以事件为核心、以可解释性为原则、以模拟闭环为边界的跨端美股研究工作台。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A｜常用环境变量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变量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31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FRONTEND_ORIGIN</w:t>
            </w:r>
          </w:p>
        </w:tc>
        <w:tc>
          <w:tcPr>
            <w:tcW w:type="dxa" w:w="62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前端源站与 CORS 配置</w:t>
            </w:r>
          </w:p>
        </w:tc>
      </w:tr>
      <w:tr>
        <w:tc>
          <w:tcPr>
            <w:tcW w:type="dxa" w:w="31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MARKET_DATA_PROVIDER</w:t>
            </w:r>
          </w:p>
        </w:tc>
        <w:tc>
          <w:tcPr>
            <w:tcW w:type="dxa" w:w="62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yfinance / alpaca / fixture</w:t>
            </w:r>
          </w:p>
        </w:tc>
      </w:tr>
      <w:tr>
        <w:tc>
          <w:tcPr>
            <w:tcW w:type="dxa" w:w="31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NEWS_PROVIDER</w:t>
            </w:r>
          </w:p>
        </w:tc>
        <w:tc>
          <w:tcPr>
            <w:tcW w:type="dxa" w:w="62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merged / finnhub / yfinance / alpaca / fixture</w:t>
            </w:r>
          </w:p>
        </w:tc>
      </w:tr>
      <w:tr>
        <w:tc>
          <w:tcPr>
            <w:tcW w:type="dxa" w:w="31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REALTIME_PROVIDER</w:t>
            </w:r>
          </w:p>
        </w:tc>
        <w:tc>
          <w:tcPr>
            <w:tcW w:type="dxa" w:w="62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yfinance / alpaca / fixture</w:t>
            </w:r>
          </w:p>
        </w:tc>
      </w:tr>
      <w:tr>
        <w:tc>
          <w:tcPr>
            <w:tcW w:type="dxa" w:w="31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FIXTURE_MODE</w:t>
            </w:r>
          </w:p>
        </w:tc>
        <w:tc>
          <w:tcPr>
            <w:tcW w:type="dxa" w:w="62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强制使用演示数据</w:t>
            </w:r>
          </w:p>
        </w:tc>
      </w:tr>
      <w:tr>
        <w:tc>
          <w:tcPr>
            <w:tcW w:type="dxa" w:w="31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LLM_PROVIDER</w:t>
            </w:r>
          </w:p>
        </w:tc>
        <w:tc>
          <w:tcPr>
            <w:tcW w:type="dxa" w:w="62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rules 或云模型 Provider</w:t>
            </w:r>
          </w:p>
        </w:tc>
      </w:tr>
      <w:tr>
        <w:tc>
          <w:tcPr>
            <w:tcW w:type="dxa" w:w="31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FINNHUB_API_KEY</w:t>
            </w:r>
          </w:p>
        </w:tc>
        <w:tc>
          <w:tcPr>
            <w:tcW w:type="dxa" w:w="62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启用 Finnhub 新闻</w:t>
            </w:r>
          </w:p>
        </w:tc>
      </w:tr>
      <w:tr>
        <w:tc>
          <w:tcPr>
            <w:tcW w:type="dxa" w:w="31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ALPACA_API_KEY / SECRET</w:t>
            </w:r>
          </w:p>
        </w:tc>
        <w:tc>
          <w:tcPr>
            <w:tcW w:type="dxa" w:w="62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启用 Alpaca 数据源</w:t>
            </w:r>
          </w:p>
        </w:tc>
      </w:tr>
      <w:tr>
        <w:tc>
          <w:tcPr>
            <w:tcW w:type="dxa" w:w="310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INITIAL_CASH</w:t>
            </w:r>
          </w:p>
        </w:tc>
        <w:tc>
          <w:tcPr>
            <w:tcW w:type="dxa" w:w="6260"/>
            <w:tcBorders>
              <w:top w:val="single" w:sz="6" w:color="D5DBE3"/>
              <w:start w:val="single" w:sz="6" w:color="D5DBE3"/>
              <w:bottom w:val="single" w:sz="6" w:color="D5DBE3"/>
              <w:end w:val="single" w:sz="6" w:color="D5DBE3"/>
              <w:insideH w:val="single" w:sz="6" w:color="D5DBE3"/>
              <w:insideV w:val="single" w:sz="6" w:color="D5DBE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C2530"/>
                <w:sz w:val="18"/>
              </w:rPr>
              <w:t>模拟账户初始资金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17E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17E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17E"/>
        <w:sz w:val="18"/>
      </w:rPr>
      <w:t>EventLens 项目介绍与使用指南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1C25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EventLens 项目介绍与使用指南</dc:title>
  <dc:subject>事件驱动型美股研究与模拟交易工作台</dc:subject>
  <dc:creator>EventLens Project</dc:creator>
  <cp:keywords>EventLens, 事件驱动, 美股研究, 模拟交易, AI 分析</cp:keywords>
  <dc:description>基于 2026-08-04 项目代码与本地界面生成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