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2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34.png" ContentType="image/png"/>
  <Override PartName="/word/media/rId183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</w:t>
      </w:r>
    </w:p>
    <w:p>
      <w:pPr>
        <w:pStyle w:val="Subtitle"/>
      </w:pPr>
      <w:r>
        <w:t xml:space="preserve">Архитектура компьютера. Понятие подпрограммы. Отладчик GDB</w:t>
      </w:r>
    </w:p>
    <w:p>
      <w:pPr>
        <w:pStyle w:val="Author"/>
      </w:pPr>
      <w:r>
        <w:t xml:space="preserve">Сафиуллина Айлина Саяровна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 и 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</w:t>
      </w:r>
      <w:r>
        <w:t xml:space="preserve"> </w:t>
      </w:r>
      <w:r>
        <w:t xml:space="preserve">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Если есть файл с исходным текстом программы, а в исполняемый файл</w:t>
      </w:r>
      <w:r>
        <w:t xml:space="preserve"> </w:t>
      </w:r>
      <w:r>
        <w:t xml:space="preserve">включена информация о номерах строк исходного кода, то программу</w:t>
      </w:r>
      <w:r>
        <w:t xml:space="preserve"> </w:t>
      </w:r>
      <w:r>
        <w:t xml:space="preserve">можно отлаживать, работая в отладчике непосредственно с её исходным текстом. Чтобы программу можно было отлаживать на уровне строк</w:t>
      </w:r>
      <w:r>
        <w:t xml:space="preserve"> </w:t>
      </w:r>
      <w:r>
        <w:t xml:space="preserve">исходного кода, она должна быть откомпилирована с ключом -g.</w:t>
      </w:r>
      <w:r>
        <w:t xml:space="preserve"> </w:t>
      </w:r>
      <w:r>
        <w:t xml:space="preserve">Для продолжения остановленной программы используется команда continue (c) (gdb) с [аргумент]. Выполнение программы будет происходить до следующей точки останова.</w:t>
      </w:r>
      <w:r>
        <w:t xml:space="preserve"> </w:t>
      </w: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</w:t>
      </w:r>
    </w:p>
    <w:bookmarkEnd w:id="21"/>
    <w:bookmarkStart w:id="1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Создадим каталог для выполнения лабораторной работы № 9, перейдем в него и создайте файл lab09-1.asm(рис. 1).</w:t>
      </w:r>
    </w:p>
    <w:bookmarkStart w:id="25" w:name="fig:001"/>
    <w:p>
      <w:pPr>
        <w:pStyle w:val="CaptionedFigure"/>
      </w:pPr>
      <w:r>
        <w:drawing>
          <wp:inline>
            <wp:extent cx="5334000" cy="754811"/>
            <wp:effectExtent b="0" l="0" r="0" t="0"/>
            <wp:docPr descr="Рис. 1: Каталог lab09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lab09</w:t>
      </w:r>
    </w:p>
    <w:bookmarkEnd w:id="25"/>
    <w:p>
      <w:pPr>
        <w:pStyle w:val="BodyText"/>
      </w:pPr>
      <w:r>
        <w:t xml:space="preserve">В качестве примера рассмотрим программу вычисления арифметического выражения f(x) = 2x + 7 с помощью подпрограммы _calcul.</w:t>
      </w:r>
      <w:r>
        <w:t xml:space="preserve"> </w:t>
      </w:r>
      <w:r>
        <w:t xml:space="preserve">В данном примере x вводится с клавиатуры, а само выражение</w:t>
      </w:r>
      <w:r>
        <w:t xml:space="preserve"> </w:t>
      </w:r>
      <w:r>
        <w:t xml:space="preserve">вычисляется в подпрограмме.(рис. 2).</w:t>
      </w:r>
    </w:p>
    <w:bookmarkStart w:id="29" w:name="fig:002"/>
    <w:p>
      <w:pPr>
        <w:pStyle w:val="CaptionedFigure"/>
      </w:pPr>
      <w:r>
        <w:drawing>
          <wp:inline>
            <wp:extent cx="5334000" cy="3904863"/>
            <wp:effectExtent b="0" l="0" r="0" t="0"/>
            <wp:docPr descr="Рис. 2: Ввод текста из листинга 9.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текста из листинга 9.1</w:t>
      </w:r>
    </w:p>
    <w:bookmarkEnd w:id="29"/>
    <w:p>
      <w:pPr>
        <w:pStyle w:val="BodyText"/>
      </w:pPr>
      <w:r>
        <w:t xml:space="preserve">Создадим исполняемый файл и проверим его работу (рис. 3).</w:t>
      </w:r>
    </w:p>
    <w:bookmarkStart w:id="33" w:name="fig:003"/>
    <w:p>
      <w:pPr>
        <w:pStyle w:val="CaptionedFigure"/>
      </w:pPr>
      <w:r>
        <w:drawing>
          <wp:inline>
            <wp:extent cx="5334000" cy="1096228"/>
            <wp:effectExtent b="0" l="0" r="0" t="0"/>
            <wp:docPr descr="Рис. 3: Запуск исполняемого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исполняемого файла</w:t>
      </w:r>
    </w:p>
    <w:bookmarkEnd w:id="33"/>
    <w:p>
      <w:pPr>
        <w:pStyle w:val="BodyText"/>
      </w:pPr>
      <w:r>
        <w:t xml:space="preserve">Изменим текст программы, добавив подпрограмму _subcalcul</w:t>
      </w:r>
      <w:r>
        <w:t xml:space="preserve"> </w:t>
      </w:r>
      <w:r>
        <w:t xml:space="preserve">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</w:t>
      </w:r>
      <w:r>
        <w:t xml:space="preserve"> </w:t>
      </w:r>
      <w:r>
        <w:t xml:space="preserve">g(x), результат возвращается в _calcul и вычисляется выражение f(g(x)).</w:t>
      </w:r>
      <w:r>
        <w:t xml:space="preserve"> </w:t>
      </w:r>
      <w:r>
        <w:t xml:space="preserve">Результат возвращается в основную программу для вывода результата</w:t>
      </w:r>
      <w:r>
        <w:t xml:space="preserve"> </w:t>
      </w:r>
      <w:r>
        <w:t xml:space="preserve">на экран.(рис. 4).</w:t>
      </w:r>
    </w:p>
    <w:bookmarkStart w:id="37" w:name="fig:004"/>
    <w:p>
      <w:pPr>
        <w:pStyle w:val="CaptionedFigure"/>
      </w:pPr>
      <w:r>
        <w:drawing>
          <wp:inline>
            <wp:extent cx="5334000" cy="3913572"/>
            <wp:effectExtent b="0" l="0" r="0" t="0"/>
            <wp:docPr descr="Рис. 4: Изменение текста програм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текста программы</w:t>
      </w:r>
    </w:p>
    <w:bookmarkEnd w:id="37"/>
    <w:p>
      <w:pPr>
        <w:pStyle w:val="BodyText"/>
      </w:pPr>
      <w:r>
        <w:t xml:space="preserve">Создадим исполняемый файл и проверим его работу(рис. 5).</w:t>
      </w:r>
    </w:p>
    <w:bookmarkStart w:id="41" w:name="fig:005"/>
    <w:p>
      <w:pPr>
        <w:pStyle w:val="CaptionedFigure"/>
      </w:pPr>
      <w:r>
        <w:drawing>
          <wp:inline>
            <wp:extent cx="5334000" cy="1440033"/>
            <wp:effectExtent b="0" l="0" r="0" t="0"/>
            <wp:docPr descr="Рис. 5: Запуск исполняемого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bookmarkEnd w:id="41"/>
    <w:bookmarkEnd w:id="42"/>
    <w:bookmarkStart w:id="79" w:name="отладка-програм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Создадим файл lab09-2.asm с текстом программы из Листинга</w:t>
      </w:r>
      <w:r>
        <w:t xml:space="preserve"> </w:t>
      </w:r>
      <w:r>
        <w:t xml:space="preserve">9.2.(Программа печати сообщения Hello world!):</w:t>
      </w:r>
      <w:r>
        <w:t xml:space="preserve"> </w:t>
      </w:r>
      <w:r>
        <w:t xml:space="preserve">(рис. 6).</w:t>
      </w:r>
    </w:p>
    <w:bookmarkStart w:id="46" w:name="fig:006"/>
    <w:p>
      <w:pPr>
        <w:pStyle w:val="CaptionedFigure"/>
      </w:pPr>
      <w:r>
        <w:drawing>
          <wp:inline>
            <wp:extent cx="5334000" cy="417184"/>
            <wp:effectExtent b="0" l="0" r="0" t="0"/>
            <wp:docPr descr="Рис. 6: Создание файла lab09-2.asm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lab09-2.asm</w:t>
      </w:r>
    </w:p>
    <w:bookmarkEnd w:id="46"/>
    <w:p>
      <w:pPr>
        <w:pStyle w:val="BodyText"/>
      </w:pPr>
      <w:r>
        <w:t xml:space="preserve">(рис. 7).</w:t>
      </w:r>
    </w:p>
    <w:bookmarkStart w:id="50" w:name="fig:007"/>
    <w:p>
      <w:pPr>
        <w:pStyle w:val="CaptionedFigure"/>
      </w:pPr>
      <w:r>
        <w:drawing>
          <wp:inline>
            <wp:extent cx="5334000" cy="3910124"/>
            <wp:effectExtent b="0" l="0" r="0" t="0"/>
            <wp:docPr descr="Рис. 7: Ввод текста из листинга 9.2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текста из листинга 9.2.</w:t>
      </w:r>
    </w:p>
    <w:bookmarkEnd w:id="50"/>
    <w:p>
      <w:pPr>
        <w:pStyle w:val="BodyText"/>
      </w:pPr>
      <w:r>
        <w:t xml:space="preserve"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‘-g’</w:t>
      </w:r>
      <w:r>
        <w:t xml:space="preserve"> </w:t>
      </w:r>
      <w:r>
        <w:t xml:space="preserve">(рис. 8).</w:t>
      </w:r>
    </w:p>
    <w:bookmarkStart w:id="54" w:name="fig:008"/>
    <w:p>
      <w:pPr>
        <w:pStyle w:val="CaptionedFigure"/>
      </w:pPr>
      <w:r>
        <w:drawing>
          <wp:inline>
            <wp:extent cx="5334000" cy="468991"/>
            <wp:effectExtent b="0" l="0" r="0" t="0"/>
            <wp:docPr descr="Рис. 8: Получение исполняемый файл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Получение исполняемый файл</w:t>
      </w:r>
    </w:p>
    <w:bookmarkEnd w:id="54"/>
    <w:p>
      <w:pPr>
        <w:pStyle w:val="BodyText"/>
      </w:pPr>
      <w:r>
        <w:t xml:space="preserve">Загрузим исполняемый файл в отладчик gdb</w:t>
      </w:r>
      <w:r>
        <w:t xml:space="preserve"> </w:t>
      </w:r>
      <w:r>
        <w:t xml:space="preserve">(рис. 9).</w:t>
      </w:r>
    </w:p>
    <w:bookmarkStart w:id="58" w:name="fig:009"/>
    <w:p>
      <w:pPr>
        <w:pStyle w:val="CaptionedFigure"/>
      </w:pPr>
      <w:r>
        <w:drawing>
          <wp:inline>
            <wp:extent cx="5334000" cy="2470484"/>
            <wp:effectExtent b="0" l="0" r="0" t="0"/>
            <wp:docPr descr="Рис. 9: Отладчик gdb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Отладчик gdb</w:t>
      </w:r>
    </w:p>
    <w:bookmarkEnd w:id="58"/>
    <w:p>
      <w:pPr>
        <w:pStyle w:val="BodyText"/>
      </w:pPr>
      <w:r>
        <w:t xml:space="preserve">Проверим работу программы, запустив ее в оболочке GDB с помощью</w:t>
      </w:r>
      <w:r>
        <w:t xml:space="preserve"> </w:t>
      </w:r>
      <w:r>
        <w:t xml:space="preserve">команды run (сокращённо r)(рис. 10).</w:t>
      </w:r>
    </w:p>
    <w:bookmarkStart w:id="62" w:name="fig:010"/>
    <w:p>
      <w:pPr>
        <w:pStyle w:val="CaptionedFigure"/>
      </w:pPr>
      <w:r>
        <w:drawing>
          <wp:inline>
            <wp:extent cx="5334000" cy="692484"/>
            <wp:effectExtent b="0" l="0" r="0" t="0"/>
            <wp:docPr descr="Рис. 10: run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run</w:t>
      </w:r>
    </w:p>
    <w:bookmarkEnd w:id="62"/>
    <w:p>
      <w:pPr>
        <w:pStyle w:val="BodyText"/>
      </w:pPr>
      <w:r>
        <w:t xml:space="preserve">Для более подробного анализа программы установим брейкпоинт на</w:t>
      </w:r>
      <w:r>
        <w:t xml:space="preserve"> </w:t>
      </w:r>
      <w:r>
        <w:t xml:space="preserve">метку _start, с которой начинается выполнение любой ассемблерной</w:t>
      </w:r>
      <w:r>
        <w:t xml:space="preserve"> </w:t>
      </w:r>
      <w:r>
        <w:t xml:space="preserve">программы, и запустим её(рис. 11).</w:t>
      </w:r>
    </w:p>
    <w:bookmarkStart w:id="66" w:name="fig:011"/>
    <w:p>
      <w:pPr>
        <w:pStyle w:val="CaptionedFigure"/>
      </w:pPr>
      <w:r>
        <w:drawing>
          <wp:inline>
            <wp:extent cx="5334000" cy="1135424"/>
            <wp:effectExtent b="0" l="0" r="0" t="0"/>
            <wp:docPr descr="Рис. 11: Установка брейкпоинт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брейкпоинта</w:t>
      </w:r>
    </w:p>
    <w:bookmarkEnd w:id="66"/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_start(рис. 12).</w:t>
      </w:r>
    </w:p>
    <w:bookmarkStart w:id="70" w:name="fig:012"/>
    <w:p>
      <w:pPr>
        <w:pStyle w:val="CaptionedFigure"/>
      </w:pPr>
      <w:r>
        <w:drawing>
          <wp:inline>
            <wp:extent cx="5334000" cy="2326996"/>
            <wp:effectExtent b="0" l="0" r="0" t="0"/>
            <wp:docPr descr="Рис. 12: Дисассимилированный код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Дисассимилированный код</w:t>
      </w:r>
    </w:p>
    <w:bookmarkEnd w:id="70"/>
    <w:p>
      <w:pPr>
        <w:pStyle w:val="BodyText"/>
      </w:pPr>
      <w:r>
        <w:t xml:space="preserve">Переключимся на отображение команд с Intel’овским синтаксисом,введя команду set disassembly-flavor intel(рис. 13).</w:t>
      </w:r>
    </w:p>
    <w:bookmarkStart w:id="74" w:name="fig:013"/>
    <w:p>
      <w:pPr>
        <w:pStyle w:val="CaptionedFigure"/>
      </w:pPr>
      <w:r>
        <w:drawing>
          <wp:inline>
            <wp:extent cx="5334000" cy="2482961"/>
            <wp:effectExtent b="0" l="0" r="0" t="0"/>
            <wp:docPr descr="Рис. 13: Intel’овский синтаксис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Intel’овский синтаксис</w:t>
      </w:r>
    </w:p>
    <w:bookmarkEnd w:id="74"/>
    <w:p>
      <w:pPr>
        <w:pStyle w:val="BodyText"/>
      </w:pPr>
      <w:r>
        <w:t xml:space="preserve">Различия отображения синтаксиса машинных команд в режимах ATT и Intel заключаются в командах. В диссамилированном отображении в командах используюся</w:t>
      </w:r>
      <w:r>
        <w:t xml:space="preserve"> </w:t>
      </w:r>
      <w:r>
        <w:t xml:space="preserve">“%”</w:t>
      </w:r>
      <w:r>
        <w:t xml:space="preserve"> </w:t>
      </w:r>
      <w:r>
        <w:t xml:space="preserve">и</w:t>
      </w:r>
      <w:r>
        <w:t xml:space="preserve"> </w:t>
      </w:r>
      <w:r>
        <w:t xml:space="preserve">“$”</w:t>
      </w:r>
      <w:r>
        <w:t xml:space="preserve"> </w:t>
      </w:r>
      <w:r>
        <w:t xml:space="preserve">, а в Intel этих символов нет. На это отображение удобнее смотреть.</w:t>
      </w:r>
      <w:r>
        <w:t xml:space="preserve"> </w:t>
      </w:r>
      <w:r>
        <w:t xml:space="preserve">Включим режим псевдографики для более удобного анализа програм-</w:t>
      </w:r>
      <w:r>
        <w:t xml:space="preserve"> </w:t>
      </w:r>
      <w:r>
        <w:t xml:space="preserve">мы с помощью комманд:</w:t>
      </w:r>
      <w:r>
        <w:t xml:space="preserve"> </w:t>
      </w:r>
      <w:r>
        <w:t xml:space="preserve">(gdb) layout asm</w:t>
      </w:r>
      <w:r>
        <w:t xml:space="preserve"> </w:t>
      </w:r>
      <w:r>
        <w:t xml:space="preserve">(gdb) layout regs</w:t>
      </w:r>
      <w:r>
        <w:t xml:space="preserve"> </w:t>
      </w:r>
      <w:r>
        <w:t xml:space="preserve">(рис. 14).</w:t>
      </w:r>
    </w:p>
    <w:bookmarkStart w:id="78" w:name="fig:014"/>
    <w:p>
      <w:pPr>
        <w:pStyle w:val="CaptionedFigure"/>
      </w:pPr>
      <w:r>
        <w:drawing>
          <wp:inline>
            <wp:extent cx="5334000" cy="3318933"/>
            <wp:effectExtent b="0" l="0" r="0" t="0"/>
            <wp:docPr descr="Рис. 14: Режим псевдографик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Режим псевдографики</w:t>
      </w:r>
    </w:p>
    <w:bookmarkEnd w:id="78"/>
    <w:p>
      <w:pPr>
        <w:pStyle w:val="BodyText"/>
      </w:pPr>
      <w:r>
        <w:t xml:space="preserve">В этом режиме есть три окна:</w:t>
      </w:r>
    </w:p>
    <w:p>
      <w:pPr>
        <w:pStyle w:val="BodyText"/>
      </w:pPr>
      <w:r>
        <w:t xml:space="preserve">• В верхней части видны названия регистров и их текущие значения;</w:t>
      </w:r>
    </w:p>
    <w:p>
      <w:pPr>
        <w:pStyle w:val="BodyText"/>
      </w:pPr>
      <w:r>
        <w:t xml:space="preserve">• В средней части виден результат дисассимилирования программы;</w:t>
      </w:r>
    </w:p>
    <w:p>
      <w:pPr>
        <w:pStyle w:val="BodyText"/>
      </w:pPr>
      <w:r>
        <w:t xml:space="preserve">• Нижняя часть доступна для ввода команд.</w:t>
      </w:r>
    </w:p>
    <w:bookmarkEnd w:id="79"/>
    <w:bookmarkStart w:id="92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Проверим это с помощью команды info breakpoints (кратко i b)(рис. 15).</w:t>
      </w:r>
    </w:p>
    <w:bookmarkStart w:id="83" w:name="fig:015"/>
    <w:p>
      <w:pPr>
        <w:pStyle w:val="CaptionedFigure"/>
      </w:pPr>
      <w:r>
        <w:drawing>
          <wp:inline>
            <wp:extent cx="5334000" cy="892119"/>
            <wp:effectExtent b="0" l="0" r="0" t="0"/>
            <wp:docPr descr="Рис. 15: Информация о точках останов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точках останова</w:t>
      </w:r>
    </w:p>
    <w:bookmarkEnd w:id="83"/>
    <w:p>
      <w:pPr>
        <w:pStyle w:val="BodyText"/>
      </w:pPr>
      <w:r>
        <w:t xml:space="preserve">Установим еще одну точку останова по адресу инструкции</w:t>
      </w:r>
      <w:r>
        <w:t xml:space="preserve"> </w:t>
      </w:r>
      <w:r>
        <w:t xml:space="preserve">(рис. 16).</w:t>
      </w:r>
    </w:p>
    <w:bookmarkStart w:id="87" w:name="fig:016"/>
    <w:p>
      <w:pPr>
        <w:pStyle w:val="CaptionedFigure"/>
      </w:pPr>
      <w:r>
        <w:drawing>
          <wp:inline>
            <wp:extent cx="5334000" cy="3318933"/>
            <wp:effectExtent b="0" l="0" r="0" t="0"/>
            <wp:docPr descr="Рис. 16: Установка точки останов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точки останова</w:t>
      </w:r>
    </w:p>
    <w:bookmarkEnd w:id="87"/>
    <w:p>
      <w:pPr>
        <w:pStyle w:val="BodyText"/>
      </w:pPr>
      <w:r>
        <w:t xml:space="preserve">Посмотрим информацию о всех установленных точках останова</w:t>
      </w:r>
      <w:r>
        <w:t xml:space="preserve"> </w:t>
      </w:r>
      <w:r>
        <w:t xml:space="preserve">(рис. 17).</w:t>
      </w:r>
    </w:p>
    <w:bookmarkStart w:id="91" w:name="fig:017"/>
    <w:p>
      <w:pPr>
        <w:pStyle w:val="CaptionedFigure"/>
      </w:pPr>
      <w:r>
        <w:drawing>
          <wp:inline>
            <wp:extent cx="5334000" cy="1110470"/>
            <wp:effectExtent b="0" l="0" r="0" t="0"/>
            <wp:docPr descr="Рис. 17: Информация об установленных точках останов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об установленных точках останова</w:t>
      </w:r>
    </w:p>
    <w:bookmarkEnd w:id="91"/>
    <w:bookmarkEnd w:id="92"/>
    <w:bookmarkStart w:id="121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переменных.С помощью команды si посмотрим регистры и изменим их.</w:t>
      </w:r>
    </w:p>
    <w:p>
      <w:pPr>
        <w:pStyle w:val="BodyText"/>
      </w:pPr>
      <w:r>
        <w:t xml:space="preserve">(рис. 18).</w:t>
      </w:r>
    </w:p>
    <w:bookmarkStart w:id="96" w:name="fig:018"/>
    <w:p>
      <w:pPr>
        <w:pStyle w:val="CaptionedFigure"/>
      </w:pPr>
      <w:r>
        <w:drawing>
          <wp:inline>
            <wp:extent cx="5334000" cy="3318933"/>
            <wp:effectExtent b="0" l="0" r="0" t="0"/>
            <wp:docPr descr="Рис. 18: Команда si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si</w:t>
      </w:r>
    </w:p>
    <w:bookmarkEnd w:id="96"/>
    <w:p>
      <w:pPr>
        <w:pStyle w:val="BodyText"/>
      </w:pPr>
      <w:r>
        <w:t xml:space="preserve">Для отображения содержимого памяти можно использовать команду x, которая выдаёт содержимое ячейки памяти по указанному адресу. Формат, в котором выводятся данные, можно задать после имени команды через косую черту: x/NFU .</w:t>
      </w:r>
      <w:r>
        <w:t xml:space="preserve"> </w:t>
      </w:r>
      <w:r>
        <w:t xml:space="preserve">С помощью команды x &amp; также можно посмотреть содержимое переменной.</w:t>
      </w:r>
      <w:r>
        <w:t xml:space="preserve"> </w:t>
      </w:r>
      <w:r>
        <w:t xml:space="preserve">Посмотрим значение переменной msg1 по имени</w:t>
      </w:r>
      <w:r>
        <w:t xml:space="preserve"> </w:t>
      </w:r>
      <w:r>
        <w:t xml:space="preserve">(рис. 19).</w:t>
      </w:r>
    </w:p>
    <w:bookmarkStart w:id="100" w:name="fig:019"/>
    <w:p>
      <w:pPr>
        <w:pStyle w:val="CaptionedFigure"/>
      </w:pPr>
      <w:r>
        <w:drawing>
          <wp:inline>
            <wp:extent cx="5334000" cy="436701"/>
            <wp:effectExtent b="0" l="0" r="0" t="0"/>
            <wp:docPr descr="Рис. 19: Значение переменной msg1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переменной msg1</w:t>
      </w:r>
    </w:p>
    <w:bookmarkEnd w:id="100"/>
    <w:p>
      <w:pPr>
        <w:pStyle w:val="BodyText"/>
      </w:pPr>
      <w:r>
        <w:t xml:space="preserve">Посмотрим значение переменной msg2 по адресу</w:t>
      </w:r>
      <w:r>
        <w:t xml:space="preserve"> </w:t>
      </w:r>
      <w:r>
        <w:t xml:space="preserve">(рис. 20).</w:t>
      </w:r>
    </w:p>
    <w:bookmarkStart w:id="104" w:name="fig:020"/>
    <w:p>
      <w:pPr>
        <w:pStyle w:val="CaptionedFigure"/>
      </w:pPr>
      <w:r>
        <w:drawing>
          <wp:inline>
            <wp:extent cx="5334000" cy="450014"/>
            <wp:effectExtent b="0" l="0" r="0" t="0"/>
            <wp:docPr descr="Рис. 20: Значение переменной msg2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Значение переменной msg2</w:t>
      </w:r>
    </w:p>
    <w:bookmarkEnd w:id="104"/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адрес.При этом перед именем регистра ставится префикс $, а перед адресом нужно указать в фигурных скобках тип данных. Изменим первый символ переменной msg1(рис. 21).</w:t>
      </w:r>
    </w:p>
    <w:bookmarkStart w:id="108" w:name="fig:021"/>
    <w:p>
      <w:pPr>
        <w:pStyle w:val="CaptionedFigure"/>
      </w:pPr>
      <w:r>
        <w:drawing>
          <wp:inline>
            <wp:extent cx="5334000" cy="734583"/>
            <wp:effectExtent b="0" l="0" r="0" t="0"/>
            <wp:docPr descr="Рис. 21: Изменение значения переменной msg1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Изменение значения переменной msg1</w:t>
      </w:r>
    </w:p>
    <w:bookmarkEnd w:id="108"/>
    <w:p>
      <w:pPr>
        <w:pStyle w:val="BodyText"/>
      </w:pPr>
      <w:r>
        <w:t xml:space="preserve">Изменим символ переменной msg2(рис. 22).</w:t>
      </w:r>
    </w:p>
    <w:bookmarkStart w:id="112" w:name="fig:022"/>
    <w:p>
      <w:pPr>
        <w:pStyle w:val="CaptionedFigure"/>
      </w:pPr>
      <w:r>
        <w:drawing>
          <wp:inline>
            <wp:extent cx="5334000" cy="734583"/>
            <wp:effectExtent b="0" l="0" r="0" t="0"/>
            <wp:docPr descr="Рис. 22: Изменение значения переменной msg2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Изменение значения переменной msg2</w:t>
      </w:r>
    </w:p>
    <w:bookmarkEnd w:id="112"/>
    <w:p>
      <w:pPr>
        <w:pStyle w:val="BodyText"/>
      </w:pPr>
      <w:r>
        <w:t xml:space="preserve">С помощью команды set изменим значение регистра ebx(рис. 23).</w:t>
      </w:r>
    </w:p>
    <w:bookmarkStart w:id="116" w:name="fig:023"/>
    <w:p>
      <w:pPr>
        <w:pStyle w:val="CaptionedFigure"/>
      </w:pPr>
      <w:r>
        <w:drawing>
          <wp:inline>
            <wp:extent cx="5334000" cy="1012533"/>
            <wp:effectExtent b="0" l="0" r="0" t="0"/>
            <wp:docPr descr="Рис. 23: Изменение значения регистра ebx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значения регистра ebx</w:t>
      </w:r>
    </w:p>
    <w:bookmarkEnd w:id="116"/>
    <w:p>
      <w:pPr>
        <w:pStyle w:val="BodyText"/>
      </w:pPr>
      <w:r>
        <w:t xml:space="preserve">Команда выводит два разных значения, потому что в первый раз мы вносим значение 2, а во второй - регистр равен двум, поэтому значения отличаются. Завершим выполнение программы с помощью команды continue (со-</w:t>
      </w:r>
      <w:r>
        <w:t xml:space="preserve"> </w:t>
      </w:r>
      <w:r>
        <w:t xml:space="preserve">кращенно c) или stepi (сокращенно si) и выйдем из GDB с помощью команды quit (сокращенно q)</w:t>
      </w:r>
      <w:r>
        <w:t xml:space="preserve"> </w:t>
      </w:r>
      <w:r>
        <w:t xml:space="preserve">(рис. 24).</w:t>
      </w:r>
    </w:p>
    <w:bookmarkStart w:id="120" w:name="fig:024"/>
    <w:p>
      <w:pPr>
        <w:pStyle w:val="CaptionedFigure"/>
      </w:pPr>
      <w:r>
        <w:drawing>
          <wp:inline>
            <wp:extent cx="5334000" cy="1350616"/>
            <wp:effectExtent b="0" l="0" r="0" t="0"/>
            <wp:docPr descr="Рис. 24: Завершение и выход из программы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Завершение и выход из программы</w:t>
      </w:r>
    </w:p>
    <w:bookmarkEnd w:id="120"/>
    <w:bookmarkEnd w:id="121"/>
    <w:bookmarkStart w:id="146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</w:t>
      </w:r>
      <w:r>
        <w:t xml:space="preserve"> </w:t>
      </w:r>
      <w:r>
        <w:t xml:space="preserve">(рис. 25).</w:t>
      </w:r>
    </w:p>
    <w:bookmarkStart w:id="125" w:name="fig:025"/>
    <w:p>
      <w:pPr>
        <w:pStyle w:val="CaptionedFigure"/>
      </w:pPr>
      <w:r>
        <w:drawing>
          <wp:inline>
            <wp:extent cx="5334000" cy="633681"/>
            <wp:effectExtent b="0" l="0" r="0" t="0"/>
            <wp:docPr descr="Рис. 25: Копирование файла lab8-2.asm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Копирование файла lab8-2.asm</w:t>
      </w:r>
    </w:p>
    <w:bookmarkEnd w:id="125"/>
    <w:p>
      <w:pPr>
        <w:pStyle w:val="BodyText"/>
      </w:pPr>
      <w:r>
        <w:t xml:space="preserve">Создадим исполняемый файл (рис. 26).</w:t>
      </w:r>
    </w:p>
    <w:bookmarkStart w:id="129" w:name="fig:026"/>
    <w:p>
      <w:pPr>
        <w:pStyle w:val="CaptionedFigure"/>
      </w:pPr>
      <w:r>
        <w:drawing>
          <wp:inline>
            <wp:extent cx="5334000" cy="566865"/>
            <wp:effectExtent b="0" l="0" r="0" t="0"/>
            <wp:docPr descr="Рис. 26: Создание исполняемого файла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исполняемого файла</w:t>
      </w:r>
    </w:p>
    <w:bookmarkEnd w:id="129"/>
    <w:p>
      <w:pPr>
        <w:pStyle w:val="BodyText"/>
      </w:pPr>
      <w:r>
        <w:t xml:space="preserve">Для загрузки в gdb программы с аргументами необходимо использо-</w:t>
      </w:r>
      <w:r>
        <w:t xml:space="preserve"> </w:t>
      </w:r>
      <w:r>
        <w:t xml:space="preserve">вать ключ –args. Загрузим исполняемый файл в отладчик, указав аргументы((рис. 27).</w:t>
      </w:r>
    </w:p>
    <w:bookmarkStart w:id="133" w:name="fig:027"/>
    <w:p>
      <w:pPr>
        <w:pStyle w:val="CaptionedFigure"/>
      </w:pPr>
      <w:r>
        <w:drawing>
          <wp:inline>
            <wp:extent cx="5334000" cy="2855100"/>
            <wp:effectExtent b="0" l="0" r="0" t="0"/>
            <wp:docPr descr="Рис. 27: Загрузка исполняемого файла в отладчик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Загрузка исполняемого файла в отладчик</w:t>
      </w:r>
    </w:p>
    <w:bookmarkEnd w:id="133"/>
    <w:p>
      <w:pPr>
        <w:pStyle w:val="BodyText"/>
      </w:pPr>
      <w:r>
        <w:t xml:space="preserve">При запуске программы аргументы командной строки загружаются в стек. Исследуем расположение аргументов командной строки в стеке после запуска программы с помощью gdb. Для начала установим точку останова перед первой инструкцией в программе и запустим ее (рис. 28).</w:t>
      </w:r>
    </w:p>
    <w:bookmarkStart w:id="137" w:name="fig:028"/>
    <w:p>
      <w:pPr>
        <w:pStyle w:val="CaptionedFigure"/>
      </w:pPr>
      <w:r>
        <w:drawing>
          <wp:inline>
            <wp:extent cx="5334000" cy="1778000"/>
            <wp:effectExtent b="0" l="0" r="0" t="0"/>
            <wp:docPr descr="Рис. 28: Точка останова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Точка останова</w:t>
      </w:r>
    </w:p>
    <w:bookmarkEnd w:id="137"/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программы)(рис. 29).</w:t>
      </w:r>
    </w:p>
    <w:bookmarkStart w:id="141" w:name="fig:029"/>
    <w:p>
      <w:pPr>
        <w:pStyle w:val="CaptionedFigure"/>
      </w:pPr>
      <w:r>
        <w:drawing>
          <wp:inline>
            <wp:extent cx="5334000" cy="613410"/>
            <wp:effectExtent b="0" l="0" r="0" t="0"/>
            <wp:docPr descr="Рис. 29: Адрес вершины стека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Адрес вершины стека</w:t>
      </w:r>
    </w:p>
    <w:bookmarkEnd w:id="141"/>
    <w:p>
      <w:pPr>
        <w:pStyle w:val="BodyText"/>
      </w:pPr>
      <w:r>
        <w:t xml:space="preserve">Как видно,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‘аргумент 3’</w:t>
      </w:r>
      <w:r>
        <w:t xml:space="preserve">. Посмотрим остальные позиции стека(рис. 30).</w:t>
      </w:r>
    </w:p>
    <w:bookmarkStart w:id="145" w:name="fig:030"/>
    <w:p>
      <w:pPr>
        <w:pStyle w:val="CaptionedFigure"/>
      </w:pPr>
      <w:r>
        <w:drawing>
          <wp:inline>
            <wp:extent cx="5334000" cy="2569210"/>
            <wp:effectExtent b="0" l="0" r="0" t="0"/>
            <wp:docPr descr="Рис. 30: Позиции стека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Позиции стека</w:t>
      </w:r>
    </w:p>
    <w:bookmarkEnd w:id="145"/>
    <w:p>
      <w:pPr>
        <w:pStyle w:val="BodyText"/>
      </w:pPr>
      <w:r>
        <w:t xml:space="preserve">Элементы расположены с интервалом в 4 единицы, потому что стек может хранить до 4 байт, и для того, чтобы данные сохранялись нормально и без помех, компьютер использует новый стек для новой информации.</w:t>
      </w:r>
    </w:p>
    <w:bookmarkEnd w:id="146"/>
    <w:bookmarkStart w:id="1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Преобразуем программу из лабораторной работы №8 (Задание №1 для самостоятельной работы).(рис. 31).</w:t>
      </w:r>
    </w:p>
    <w:bookmarkStart w:id="150" w:name="fig:031"/>
    <w:p>
      <w:pPr>
        <w:pStyle w:val="CaptionedFigure"/>
      </w:pPr>
      <w:r>
        <w:drawing>
          <wp:inline>
            <wp:extent cx="5334000" cy="521311"/>
            <wp:effectExtent b="0" l="0" r="0" t="0"/>
            <wp:docPr descr="Рис. 31: Файл lab09-4.asm" title="" id="148" name="Picture"/>
            <a:graphic>
              <a:graphicData uri="http://schemas.openxmlformats.org/drawingml/2006/picture">
                <pic:pic>
                  <pic:nvPicPr>
                    <pic:cNvPr descr="image/3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Файл lab09-4.asm</w:t>
      </w:r>
    </w:p>
    <w:bookmarkEnd w:id="150"/>
    <w:p>
      <w:pPr>
        <w:pStyle w:val="BodyText"/>
      </w:pPr>
      <w:r>
        <w:t xml:space="preserve">Реализуем вычисление значения функции f(x) как подпрограмму(рис. 32).</w:t>
      </w:r>
    </w:p>
    <w:bookmarkStart w:id="154" w:name="fig:032"/>
    <w:p>
      <w:pPr>
        <w:pStyle w:val="CaptionedFigure"/>
      </w:pPr>
      <w:r>
        <w:drawing>
          <wp:inline>
            <wp:extent cx="5334000" cy="5266764"/>
            <wp:effectExtent b="0" l="0" r="0" t="0"/>
            <wp:docPr descr="Рис. 32: Измененная программа" title="" id="152" name="Picture"/>
            <a:graphic>
              <a:graphicData uri="http://schemas.openxmlformats.org/drawingml/2006/picture">
                <pic:pic>
                  <pic:nvPicPr>
                    <pic:cNvPr descr="image/3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Измененная программа</w:t>
      </w:r>
    </w:p>
    <w:bookmarkEnd w:id="154"/>
    <w:p>
      <w:pPr>
        <w:pStyle w:val="BodyText"/>
      </w:pPr>
      <w:r>
        <w:t xml:space="preserve">Создадим исполняемый файл и запустим его. (рис. 33).</w:t>
      </w:r>
    </w:p>
    <w:bookmarkStart w:id="158" w:name="fig:033"/>
    <w:p>
      <w:pPr>
        <w:pStyle w:val="CaptionedFigure"/>
      </w:pPr>
      <w:r>
        <w:drawing>
          <wp:inline>
            <wp:extent cx="5334000" cy="1261725"/>
            <wp:effectExtent b="0" l="0" r="0" t="0"/>
            <wp:docPr descr="Рис. 33: Запуск исполняемого файла" title="" id="156" name="Picture"/>
            <a:graphic>
              <a:graphicData uri="http://schemas.openxmlformats.org/drawingml/2006/picture">
                <pic:pic>
                  <pic:nvPicPr>
                    <pic:cNvPr descr="image/3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исполняемого файла</w:t>
      </w:r>
    </w:p>
    <w:bookmarkEnd w:id="158"/>
    <w:p>
      <w:pPr>
        <w:pStyle w:val="BodyText"/>
      </w:pPr>
      <w:r>
        <w:t xml:space="preserve">Создадим файл для решения №2 самостоятельной работы (рис. 34).</w:t>
      </w:r>
    </w:p>
    <w:bookmarkStart w:id="162" w:name="fig:034"/>
    <w:p>
      <w:pPr>
        <w:pStyle w:val="CaptionedFigure"/>
      </w:pPr>
      <w:r>
        <w:drawing>
          <wp:inline>
            <wp:extent cx="5334000" cy="448299"/>
            <wp:effectExtent b="0" l="0" r="0" t="0"/>
            <wp:docPr descr="Рис. 34: Создание файла lab09-5.asm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файла lab09-5.asm</w:t>
      </w:r>
    </w:p>
    <w:bookmarkEnd w:id="162"/>
    <w:p>
      <w:pPr>
        <w:pStyle w:val="BodyText"/>
      </w:pPr>
      <w:r>
        <w:t xml:space="preserve">В листинге 9.3 приведена программа вычисления выражения (3+2)*4+5. При запуске данная программа дает неверный результат.(рис. 35).</w:t>
      </w:r>
    </w:p>
    <w:bookmarkStart w:id="166" w:name="fig:035"/>
    <w:p>
      <w:pPr>
        <w:pStyle w:val="CaptionedFigure"/>
      </w:pPr>
      <w:r>
        <w:drawing>
          <wp:inline>
            <wp:extent cx="5334000" cy="4631764"/>
            <wp:effectExtent b="0" l="0" r="0" t="0"/>
            <wp:docPr descr="Рис. 35: Ввод текста из листинга 9.3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Ввод текста из листинга 9.3</w:t>
      </w:r>
    </w:p>
    <w:bookmarkEnd w:id="166"/>
    <w:p>
      <w:pPr>
        <w:pStyle w:val="BodyText"/>
      </w:pPr>
      <w:r>
        <w:t xml:space="preserve">Проверим, что программа выводит неправильный ответ.(рис. 36)</w:t>
      </w:r>
    </w:p>
    <w:bookmarkStart w:id="170" w:name="fig:036"/>
    <w:p>
      <w:pPr>
        <w:pStyle w:val="CaptionedFigure"/>
      </w:pPr>
      <w:r>
        <w:drawing>
          <wp:inline>
            <wp:extent cx="5334000" cy="929916"/>
            <wp:effectExtent b="0" l="0" r="0" t="0"/>
            <wp:docPr descr="Рис. 36: Неправильный ответ программы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Неправильный ответ программы</w:t>
      </w:r>
    </w:p>
    <w:bookmarkEnd w:id="170"/>
    <w:p>
      <w:pPr>
        <w:pStyle w:val="BodyText"/>
      </w:pPr>
      <w:r>
        <w:t xml:space="preserve">С помощью отладчика GDB запустим программу(рис. 37)</w:t>
      </w:r>
    </w:p>
    <w:bookmarkStart w:id="174" w:name="fig:037"/>
    <w:p>
      <w:pPr>
        <w:pStyle w:val="CaptionedFigure"/>
      </w:pPr>
      <w:r>
        <w:drawing>
          <wp:inline>
            <wp:extent cx="5334000" cy="5244852"/>
            <wp:effectExtent b="0" l="0" r="0" t="0"/>
            <wp:docPr descr="Рис. 37: Запуск программы с помощью отладчика GDB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4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Запуск программы с помощью отладчика GDB</w:t>
      </w:r>
    </w:p>
    <w:bookmarkEnd w:id="174"/>
    <w:p>
      <w:pPr>
        <w:pStyle w:val="BodyText"/>
      </w:pPr>
      <w:r>
        <w:t xml:space="preserve">Проанализировав изменения значений регистров, понятно, что некоторые регистры стоят не на своих местах.(рис. 38)</w:t>
      </w:r>
    </w:p>
    <w:bookmarkStart w:id="178" w:name="fig:038"/>
    <w:p>
      <w:pPr>
        <w:pStyle w:val="CaptionedFigure"/>
      </w:pPr>
      <w:r>
        <w:drawing>
          <wp:inline>
            <wp:extent cx="5334000" cy="5244852"/>
            <wp:effectExtent b="0" l="0" r="0" t="0"/>
            <wp:docPr descr="Рис. 38: Анализ регистров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4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Анализ регистров</w:t>
      </w:r>
    </w:p>
    <w:bookmarkEnd w:id="178"/>
    <w:p>
      <w:pPr>
        <w:pStyle w:val="BodyText"/>
      </w:pPr>
      <w:r>
        <w:t xml:space="preserve">Исправив регистры, запустим программу(рис. 39)</w:t>
      </w:r>
    </w:p>
    <w:bookmarkStart w:id="182" w:name="fig:039"/>
    <w:p>
      <w:pPr>
        <w:pStyle w:val="CaptionedFigure"/>
      </w:pPr>
      <w:r>
        <w:drawing>
          <wp:inline>
            <wp:extent cx="5334000" cy="4192190"/>
            <wp:effectExtent b="0" l="0" r="0" t="0"/>
            <wp:docPr descr="Рис. 39: Запуск исправленной программы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Запуск исправленной программы</w:t>
      </w:r>
    </w:p>
    <w:bookmarkEnd w:id="182"/>
    <w:p>
      <w:pPr>
        <w:pStyle w:val="BodyText"/>
      </w:pPr>
      <w:r>
        <w:t xml:space="preserve">Теперь программа действительно выводит правильный ответ. Программа работает верно.(рис.</w:t>
      </w:r>
      <w:r>
        <w:t xml:space="preserve"> </w:t>
      </w:r>
      <w:r>
        <w:rPr>
          <w:b/>
          <w:bCs/>
        </w:rPr>
        <w:t xml:space="preserve">¿fig:040?</w:t>
      </w:r>
      <w:r>
        <w:t xml:space="preserve">)</w:t>
      </w:r>
    </w:p>
    <w:p>
      <w:pPr>
        <w:pStyle w:val="BodyText"/>
      </w:pPr>
      <w:bookmarkStart w:id="186" w:name="fig:040"/>
      <w:r>
        <w:drawing>
          <wp:inline>
            <wp:extent cx="5334000" cy="1370337"/>
            <wp:effectExtent b="0" l="0" r="0" t="0"/>
            <wp:docPr descr="Запуск исправленной программы" title="" id="184" name="Picture"/>
            <a:graphic>
              <a:graphicData uri="http://schemas.openxmlformats.org/drawingml/2006/picture">
                <pic:pic>
                  <pic:nvPicPr>
                    <pic:cNvPr descr="image/4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процессе выполнения лабораторной работы я получила навыки написания программ с использованием подпрограмм и ознакомилась с методами отладки при помощи GDB, его основными возможностями.</w:t>
      </w:r>
    </w:p>
    <w:bookmarkEnd w:id="187"/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183" Target="media/rId18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Сафиуллина Айлина Саяровна</dc:creator>
  <dc:language>ru-RU</dc:language>
  <cp:keywords/>
  <dcterms:created xsi:type="dcterms:W3CDTF">2024-12-05T14:33:31Z</dcterms:created>
  <dcterms:modified xsi:type="dcterms:W3CDTF">2024-12-05T14:33:31Z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Архитектура компьютера. Понятие подпрограммы. Отладчик GDB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