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23354"/>
          <w:sz w:val="44"/>
        </w:rPr>
        <w:t>UK Mortgage Risk in the Post-2010 Period</w:t>
      </w:r>
    </w:p>
    <w:p>
      <w:pPr>
        <w:jc w:val="center"/>
      </w:pPr>
      <w:r>
        <w:rPr>
          <w:rFonts w:ascii="Calibri" w:hAnsi="Calibri"/>
          <w:i/>
          <w:color w:val="606060"/>
          <w:sz w:val="24"/>
        </w:rPr>
        <w:t>An empirical study of arrears, possessions, and forecasting performance using official UK quarterly data</w:t>
      </w:r>
    </w:p>
    <w:p/>
    <w:tbl>
      <w:tblPr>
        <w:tblStyle w:val="TableGrid"/>
        <w:tblW w:type="auto" w:w="0"/>
        <w:jc w:val="center"/>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4824"/>
        <w:gridCol w:w="4824"/>
      </w:tblGrid>
      <w:tr>
        <w:trPr>
          <w:tblHeader w:val="true"/>
        </w:trPr>
        <w:tc>
          <w:tcPr>
            <w:tcW w:type="dxa" w:w="4824"/>
            <w:shd w:fill="DCE6F1"/>
            <w:tcMar>
              <w:top w:w="80" w:type="dxa"/>
              <w:start w:w="90" w:type="dxa"/>
              <w:bottom w:w="80" w:type="dxa"/>
              <w:end w:w="90" w:type="dxa"/>
            </w:tcMar>
            <w:vAlign w:val="center"/>
            <w:shd w:fill="EAF1F7"/>
          </w:tcPr>
          <w:p>
            <w:pPr>
              <w:jc w:val="center"/>
            </w:pPr>
            <w:r>
              <w:rPr>
                <w:rFonts w:ascii="Calibri" w:hAnsi="Calibri"/>
                <w:b/>
                <w:color w:val="1F4E79"/>
                <w:sz w:val="18"/>
              </w:rPr>
              <w:t>Sample</w:t>
            </w:r>
          </w:p>
        </w:tc>
        <w:tc>
          <w:tcPr>
            <w:tcW w:type="dxa" w:w="4824"/>
            <w:shd w:fill="DCE6F1"/>
            <w:tcMar>
              <w:top w:w="80" w:type="dxa"/>
              <w:start w:w="90" w:type="dxa"/>
              <w:bottom w:w="80" w:type="dxa"/>
              <w:end w:w="90" w:type="dxa"/>
            </w:tcMar>
            <w:vAlign w:val="center"/>
            <w:shd w:fill="FFFFFF"/>
          </w:tcPr>
          <w:p>
            <w:pPr>
              <w:jc w:val="center"/>
            </w:pPr>
            <w:r>
              <w:rPr>
                <w:rFonts w:ascii="Calibri" w:hAnsi="Calibri"/>
                <w:b/>
                <w:color w:val="000000"/>
                <w:sz w:val="18"/>
              </w:rPr>
              <w:t>2011-Q1 to 2024-Q4</w:t>
            </w:r>
          </w:p>
        </w:tc>
      </w:tr>
      <w:tr>
        <w:tc>
          <w:tcPr>
            <w:tcW w:type="dxa" w:w="4824"/>
            <w:tcMar>
              <w:top w:w="80" w:type="dxa"/>
              <w:start w:w="90" w:type="dxa"/>
              <w:bottom w:w="80" w:type="dxa"/>
              <w:end w:w="90" w:type="dxa"/>
            </w:tcMar>
            <w:vAlign w:val="center"/>
            <w:shd w:fill="EAF1F7"/>
          </w:tcPr>
          <w:p>
            <w:pPr>
              <w:jc w:val="left"/>
            </w:pPr>
            <w:r>
              <w:rPr>
                <w:rFonts w:ascii="Calibri" w:hAnsi="Calibri"/>
                <w:b/>
                <w:color w:val="1F4E79"/>
                <w:sz w:val="18"/>
              </w:rPr>
              <w:t>Observations</w:t>
            </w:r>
          </w:p>
        </w:tc>
        <w:tc>
          <w:tcPr>
            <w:tcW w:type="dxa" w:w="4824"/>
            <w:tcMar>
              <w:top w:w="80" w:type="dxa"/>
              <w:start w:w="90" w:type="dxa"/>
              <w:bottom w:w="80" w:type="dxa"/>
              <w:end w:w="90" w:type="dxa"/>
            </w:tcMar>
            <w:vAlign w:val="center"/>
            <w:shd w:fill="FFFFFF"/>
          </w:tcPr>
          <w:p>
            <w:pPr>
              <w:jc w:val="center"/>
            </w:pPr>
            <w:r>
              <w:rPr>
                <w:rFonts w:ascii="Calibri" w:hAnsi="Calibri"/>
                <w:color w:val="000000"/>
                <w:sz w:val="18"/>
              </w:rPr>
              <w:t>56 quarterly observations; 23 variables; no missing values</w:t>
            </w:r>
          </w:p>
        </w:tc>
      </w:tr>
      <w:tr>
        <w:tc>
          <w:tcPr>
            <w:tcW w:type="dxa" w:w="4824"/>
            <w:shd w:fill="F9FBFD"/>
            <w:tcMar>
              <w:top w:w="80" w:type="dxa"/>
              <w:start w:w="90" w:type="dxa"/>
              <w:bottom w:w="80" w:type="dxa"/>
              <w:end w:w="90" w:type="dxa"/>
            </w:tcMar>
            <w:vAlign w:val="center"/>
            <w:shd w:fill="EAF1F7"/>
          </w:tcPr>
          <w:p>
            <w:pPr>
              <w:jc w:val="left"/>
            </w:pPr>
            <w:r>
              <w:rPr>
                <w:rFonts w:ascii="Calibri" w:hAnsi="Calibri"/>
                <w:b/>
                <w:color w:val="1F4E79"/>
                <w:sz w:val="18"/>
              </w:rPr>
              <w:t>Methods</w:t>
            </w:r>
          </w:p>
        </w:tc>
        <w:tc>
          <w:tcPr>
            <w:tcW w:type="dxa" w:w="4824"/>
            <w:shd w:fill="F9FBFD"/>
            <w:tcMar>
              <w:top w:w="80" w:type="dxa"/>
              <w:start w:w="90" w:type="dxa"/>
              <w:bottom w:w="80" w:type="dxa"/>
              <w:end w:w="90" w:type="dxa"/>
            </w:tcMar>
            <w:vAlign w:val="center"/>
            <w:shd w:fill="FFFFFF"/>
          </w:tcPr>
          <w:p>
            <w:pPr>
              <w:jc w:val="center"/>
            </w:pPr>
            <w:r>
              <w:rPr>
                <w:rFonts w:ascii="Calibri" w:hAnsi="Calibri"/>
                <w:color w:val="000000"/>
                <w:sz w:val="18"/>
              </w:rPr>
              <w:t>Descriptive statistics, Pearson correlation, OLS with Newey-West HAC errors, ARIMA forecasting in R</w:t>
            </w:r>
          </w:p>
        </w:tc>
      </w:tr>
      <w:tr>
        <w:tc>
          <w:tcPr>
            <w:tcW w:type="dxa" w:w="4824"/>
            <w:tcMar>
              <w:top w:w="80" w:type="dxa"/>
              <w:start w:w="90" w:type="dxa"/>
              <w:bottom w:w="80" w:type="dxa"/>
              <w:end w:w="90" w:type="dxa"/>
            </w:tcMar>
            <w:vAlign w:val="center"/>
            <w:shd w:fill="EAF1F7"/>
          </w:tcPr>
          <w:p>
            <w:pPr>
              <w:jc w:val="left"/>
            </w:pPr>
            <w:r>
              <w:rPr>
                <w:rFonts w:ascii="Calibri" w:hAnsi="Calibri"/>
                <w:b/>
                <w:color w:val="1F4E79"/>
                <w:sz w:val="18"/>
              </w:rPr>
              <w:t>Data basis</w:t>
            </w:r>
          </w:p>
        </w:tc>
        <w:tc>
          <w:tcPr>
            <w:tcW w:type="dxa" w:w="4824"/>
            <w:tcMar>
              <w:top w:w="80" w:type="dxa"/>
              <w:start w:w="90" w:type="dxa"/>
              <w:bottom w:w="80" w:type="dxa"/>
              <w:end w:w="90" w:type="dxa"/>
            </w:tcMar>
            <w:vAlign w:val="center"/>
            <w:shd w:fill="FFFFFF"/>
          </w:tcPr>
          <w:p>
            <w:pPr>
              <w:jc w:val="center"/>
            </w:pPr>
            <w:r>
              <w:rPr>
                <w:rFonts w:ascii="Calibri" w:hAnsi="Calibri"/>
                <w:color w:val="000000"/>
                <w:sz w:val="18"/>
              </w:rPr>
              <w:t>Official UK mortgage-lending, leverage, house-price, arrears, and possessions releases</w:t>
            </w:r>
          </w:p>
        </w:tc>
      </w:tr>
    </w:tbl>
    <w:p>
      <w:r>
        <w:br w:type="page"/>
      </w:r>
    </w:p>
    <w:p>
      <w:pPr>
        <w:pStyle w:val="Heading1"/>
        <w:keepNext/>
      </w:pPr>
      <w:r>
        <w:t>Abstract</w:t>
      </w:r>
    </w:p>
    <w:p>
      <w:r>
        <w:t>This paper examines UK mortgage stress as a staged process linking broader mortgage-market conditions to serious arrears and then to possession activity. The study uses a quarterly panel covering 2011-Q1 to 2024-Q4, combining official mortgage-lending, product-composition, leverage, house-price, arrears, and possessions series into a clean dataset of 56 observations with no missing values. Descriptive evidence shows a substantial decline in mortgage stress after the early 2010s alongside a sharp rise in fixed-rate penetration and sustained expansion in aggregate lending activity. Econometric results indicate that one-quarter-lagged mortgage interest rates are positively associated with serious arrears, while a higher fixed-rate share and stronger lending activity are associated with lower arrears. A second model shows that lagged serious arrears are strongly associated with later possession activity and that higher-risk leverage structures remain relevant for downstream enforcement outcomes. An R-based forecasting extension adds univariate ARIMA baselines, showing weaker forecastability for serious arrears than for new possessions.</w:t>
      </w:r>
    </w:p>
    <w:p>
      <w:r>
        <w:rPr>
          <w:b/>
        </w:rPr>
        <w:t xml:space="preserve">Keywords: </w:t>
      </w:r>
      <w:r>
        <w:t>UK mortgage market; arrears; possessions; housing finance; credit risk; time series; ARIMA; Newey-West</w:t>
      </w:r>
    </w:p>
    <w:tbl>
      <w:tblPr>
        <w:tblW w:type="auto" w:w="0"/>
        <w:tblLook w:firstColumn="1" w:firstRow="1" w:lastColumn="0" w:lastRow="0" w:noHBand="0" w:noVBand="1" w:val="04A0"/>
      </w:tblPr>
      <w:tblGrid>
        <w:gridCol w:w="9648"/>
      </w:tblGrid>
      <w:tr>
        <w:tc>
          <w:tcPr>
            <w:tcW w:type="dxa" w:w="9648"/>
            <w:shd w:fill="EAF1F7"/>
            <w:tcMar>
              <w:top w:w="120" w:type="dxa"/>
              <w:start w:w="130" w:type="dxa"/>
              <w:bottom w:w="120" w:type="dxa"/>
              <w:end w:w="130" w:type="dxa"/>
            </w:tcMar>
          </w:tcPr>
          <w:p>
            <w:pPr>
              <w:ind w:left="173"/>
            </w:pPr>
            <w:r>
              <w:t>• The final analytical panel contains 56 quarterly observations and 23 variables, covering 2011-Q1 to 2024-Q4 with no missing values.</w:t>
            </w:r>
          </w:p>
          <w:p>
            <w:pPr>
              <w:ind w:left="173"/>
            </w:pPr>
            <w:r>
              <w:t>• Serious arrears averaged 1.03%, total arrears 1.43%, and new possessions 3,451.9 units per quarter across the sample.</w:t>
            </w:r>
          </w:p>
          <w:p>
            <w:pPr>
              <w:ind w:left="173"/>
            </w:pPr>
            <w:r>
              <w:t>• Model 1 explains serious arrears strongly (R² = 0.9283); Model 2 explains log new possessions reasonably well (R² = 0.7902).</w:t>
            </w:r>
          </w:p>
          <w:p>
            <w:pPr>
              <w:ind w:left="173"/>
            </w:pPr>
            <w:r>
              <w:t>• The forecasting extension shows that univariate ARIMA models perform better for new possessions than for serious arrears.</w:t>
            </w:r>
          </w:p>
        </w:tc>
      </w:tr>
    </w:tbl>
    <w:p>
      <w:pPr>
        <w:pStyle w:val="Heading1"/>
        <w:keepNext/>
      </w:pPr>
      <w:r>
        <w:t>1. Introduction</w:t>
      </w:r>
    </w:p>
    <w:p>
      <w:r>
        <w:t>Mortgage arrears and possession activity are among the clearest indicators of stress in a housing finance system because they mark the point at which macro-financial pressure is translated into household repayment difficulty and, in more severe cases, enforcement action. In the UK, the mortgage market is systemically important because of its scale, its role in household wealth, and its sensitivity to interest-rate movements, lending standards, and property prices.</w:t>
      </w:r>
    </w:p>
    <w:p>
      <w:r>
        <w:t>This paper treats mortgage stress as a staged process rather than as a single outcome. The central empirical question is whether broader mortgage-market conditions are associated first with serious arrears and then, at a later stage, with possession activity. That framing allows the analysis to move beyond simple trend description and toward a structured account of how risk evolves over time.</w:t>
      </w:r>
    </w:p>
    <w:p>
      <w:r>
        <w:t>The project contributes a unified quarterly panel assembled from official UK releases and combines descriptive analysis, correlation evidence, lagged time-series regressions with HAC-robust inference, and a forecasting extension in R. The result is a polished working-paper draft that also functions well as a data science portfolio artifact.</w:t>
      </w:r>
    </w:p>
    <w:p>
      <w:pPr>
        <w:pStyle w:val="Heading1"/>
        <w:keepNext/>
      </w:pPr>
      <w:r>
        <w:t>2. Data and research design</w:t>
      </w:r>
    </w:p>
    <w:p>
      <w:r>
        <w:t>The final dataset covers 2011-Q1 to 2024-Q4 and contains 56 quarterly observations and 23 variables with no missing values. The panel combines mortgage pricing, product composition, high-LTV lending, impaired-credit-history exposure, aggregate lending activity, housing-market momentum, arrears, and possessions. Data were assembled from official UK statistical releases, principally Bank of England mortgage lenders and administrators statistics, FCA mortgage product sales and lending releases, and the ONS UK House Price Index.</w:t>
      </w:r>
    </w:p>
    <w:p>
      <w:r>
        <w:t>The core outcomes are the serious arrears rate and new possessions. The analysis uses one-quarter-lagged predictors so that the regressions impose a more defensible temporal ordering than contemporaneous associations alone. The forecasting extension reserves the last eight quarters as a test set and uses earlier observations for model training.</w:t>
      </w:r>
    </w:p>
    <w:p>
      <w:pPr>
        <w:pStyle w:val="Heading2"/>
        <w:keepNext/>
      </w:pPr>
      <w:r>
        <w:t>Table 1. Core variables used in the empirical design</w:t>
      </w:r>
    </w:p>
    <w:tbl>
      <w:tblPr>
        <w:tblStyle w:val="TableGrid"/>
        <w:tblW w:type="auto" w:w="0"/>
        <w:jc w:val="center"/>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216"/>
        <w:gridCol w:w="3216"/>
        <w:gridCol w:w="3216"/>
      </w:tblGrid>
      <w:tr>
        <w:trPr>
          <w:tblHeader w:val="true"/>
        </w:trPr>
        <w:tc>
          <w:tcPr>
            <w:tcW w:type="dxa" w:w="3216"/>
            <w:shd w:fill="1F4E78"/>
            <w:tcMar>
              <w:top w:w="80" w:type="dxa"/>
              <w:start w:w="90" w:type="dxa"/>
              <w:bottom w:w="80" w:type="dxa"/>
              <w:end w:w="90" w:type="dxa"/>
            </w:tcMar>
            <w:vAlign w:val="center"/>
          </w:tcPr>
          <w:p>
            <w:pPr>
              <w:jc w:val="center"/>
            </w:pPr>
            <w:r>
              <w:rPr>
                <w:rFonts w:ascii="Calibri" w:hAnsi="Calibri"/>
                <w:b/>
                <w:color w:val="FFFFFF"/>
                <w:sz w:val="18"/>
              </w:rPr>
              <w:t>Variable name</w:t>
            </w:r>
          </w:p>
        </w:tc>
        <w:tc>
          <w:tcPr>
            <w:tcW w:type="dxa" w:w="3216"/>
            <w:shd w:fill="1F4E78"/>
            <w:tcMar>
              <w:top w:w="80" w:type="dxa"/>
              <w:start w:w="90" w:type="dxa"/>
              <w:bottom w:w="80" w:type="dxa"/>
              <w:end w:w="90" w:type="dxa"/>
            </w:tcMar>
            <w:vAlign w:val="center"/>
          </w:tcPr>
          <w:p>
            <w:pPr>
              <w:jc w:val="center"/>
            </w:pPr>
            <w:r>
              <w:rPr>
                <w:rFonts w:ascii="Calibri" w:hAnsi="Calibri"/>
                <w:b/>
                <w:color w:val="FFFFFF"/>
                <w:sz w:val="18"/>
              </w:rPr>
              <w:t>Interpretation</w:t>
            </w:r>
          </w:p>
        </w:tc>
        <w:tc>
          <w:tcPr>
            <w:tcW w:type="dxa" w:w="3216"/>
            <w:shd w:fill="1F4E78"/>
            <w:tcMar>
              <w:top w:w="80" w:type="dxa"/>
              <w:start w:w="90" w:type="dxa"/>
              <w:bottom w:w="80" w:type="dxa"/>
              <w:end w:w="90" w:type="dxa"/>
            </w:tcMar>
            <w:vAlign w:val="center"/>
          </w:tcPr>
          <w:p>
            <w:pPr>
              <w:jc w:val="center"/>
            </w:pPr>
            <w:r>
              <w:rPr>
                <w:rFonts w:ascii="Calibri" w:hAnsi="Calibri"/>
                <w:b/>
                <w:color w:val="FFFFFF"/>
                <w:sz w:val="18"/>
              </w:rPr>
              <w:t>Role in analysis</w:t>
            </w:r>
          </w:p>
        </w:tc>
      </w:tr>
      <w:tr>
        <w:tc>
          <w:tcPr>
            <w:tcW w:type="dxa" w:w="3216"/>
            <w:tcMar>
              <w:top w:w="80" w:type="dxa"/>
              <w:start w:w="90" w:type="dxa"/>
              <w:bottom w:w="80" w:type="dxa"/>
              <w:end w:w="90" w:type="dxa"/>
            </w:tcMar>
            <w:vAlign w:val="center"/>
          </w:tcPr>
          <w:p>
            <w:pPr>
              <w:jc w:val="left"/>
            </w:pPr>
            <w:r>
              <w:rPr>
                <w:rFonts w:ascii="Calibri" w:hAnsi="Calibri"/>
                <w:sz w:val="18"/>
              </w:rPr>
              <w:t>serious_arrears_rate_pct</w:t>
            </w:r>
          </w:p>
        </w:tc>
        <w:tc>
          <w:tcPr>
            <w:tcW w:type="dxa" w:w="3216"/>
            <w:tcMar>
              <w:top w:w="80" w:type="dxa"/>
              <w:start w:w="90" w:type="dxa"/>
              <w:bottom w:w="80" w:type="dxa"/>
              <w:end w:w="90" w:type="dxa"/>
            </w:tcMar>
            <w:vAlign w:val="center"/>
          </w:tcPr>
          <w:p>
            <w:pPr>
              <w:jc w:val="center"/>
            </w:pPr>
            <w:r>
              <w:rPr>
                <w:rFonts w:ascii="Calibri" w:hAnsi="Calibri"/>
                <w:sz w:val="18"/>
              </w:rPr>
              <w:t>Serious arrears rate (%)</w:t>
            </w:r>
          </w:p>
        </w:tc>
        <w:tc>
          <w:tcPr>
            <w:tcW w:type="dxa" w:w="3216"/>
            <w:tcMar>
              <w:top w:w="80" w:type="dxa"/>
              <w:start w:w="90" w:type="dxa"/>
              <w:bottom w:w="80" w:type="dxa"/>
              <w:end w:w="90" w:type="dxa"/>
            </w:tcMar>
            <w:vAlign w:val="center"/>
          </w:tcPr>
          <w:p>
            <w:pPr>
              <w:jc w:val="center"/>
            </w:pPr>
            <w:r>
              <w:rPr>
                <w:rFonts w:ascii="Calibri" w:hAnsi="Calibri"/>
                <w:sz w:val="18"/>
              </w:rPr>
              <w:t>Outcome: main mortgage stress measure</w:t>
            </w:r>
          </w:p>
        </w:tc>
      </w:tr>
      <w:tr>
        <w:tc>
          <w:tcPr>
            <w:tcW w:type="dxa" w:w="3216"/>
            <w:shd w:fill="EAF1F7"/>
            <w:tcMar>
              <w:top w:w="80" w:type="dxa"/>
              <w:start w:w="90" w:type="dxa"/>
              <w:bottom w:w="80" w:type="dxa"/>
              <w:end w:w="90" w:type="dxa"/>
            </w:tcMar>
            <w:vAlign w:val="center"/>
          </w:tcPr>
          <w:p>
            <w:pPr>
              <w:jc w:val="left"/>
            </w:pPr>
            <w:r>
              <w:rPr>
                <w:rFonts w:ascii="Calibri" w:hAnsi="Calibri"/>
                <w:sz w:val="18"/>
              </w:rPr>
              <w:t>new_possessions_units</w:t>
            </w:r>
          </w:p>
        </w:tc>
        <w:tc>
          <w:tcPr>
            <w:tcW w:type="dxa" w:w="3216"/>
            <w:shd w:fill="EAF1F7"/>
            <w:tcMar>
              <w:top w:w="80" w:type="dxa"/>
              <w:start w:w="90" w:type="dxa"/>
              <w:bottom w:w="80" w:type="dxa"/>
              <w:end w:w="90" w:type="dxa"/>
            </w:tcMar>
            <w:vAlign w:val="center"/>
          </w:tcPr>
          <w:p>
            <w:pPr>
              <w:jc w:val="center"/>
            </w:pPr>
            <w:r>
              <w:rPr>
                <w:rFonts w:ascii="Calibri" w:hAnsi="Calibri"/>
                <w:sz w:val="18"/>
              </w:rPr>
              <w:t>New possessions (units)</w:t>
            </w:r>
          </w:p>
        </w:tc>
        <w:tc>
          <w:tcPr>
            <w:tcW w:type="dxa" w:w="3216"/>
            <w:shd w:fill="EAF1F7"/>
            <w:tcMar>
              <w:top w:w="80" w:type="dxa"/>
              <w:start w:w="90" w:type="dxa"/>
              <w:bottom w:w="80" w:type="dxa"/>
              <w:end w:w="90" w:type="dxa"/>
            </w:tcMar>
            <w:vAlign w:val="center"/>
          </w:tcPr>
          <w:p>
            <w:pPr>
              <w:jc w:val="center"/>
            </w:pPr>
            <w:r>
              <w:rPr>
                <w:rFonts w:ascii="Calibri" w:hAnsi="Calibri"/>
                <w:sz w:val="18"/>
              </w:rPr>
              <w:t>Outcome: enforcement-stage mortgage stress</w:t>
            </w:r>
          </w:p>
        </w:tc>
      </w:tr>
      <w:tr>
        <w:tc>
          <w:tcPr>
            <w:tcW w:type="dxa" w:w="3216"/>
            <w:tcMar>
              <w:top w:w="80" w:type="dxa"/>
              <w:start w:w="90" w:type="dxa"/>
              <w:bottom w:w="80" w:type="dxa"/>
              <w:end w:w="90" w:type="dxa"/>
            </w:tcMar>
            <w:vAlign w:val="center"/>
          </w:tcPr>
          <w:p>
            <w:pPr>
              <w:jc w:val="left"/>
            </w:pPr>
            <w:r>
              <w:rPr>
                <w:rFonts w:ascii="Calibri" w:hAnsi="Calibri"/>
                <w:sz w:val="18"/>
              </w:rPr>
              <w:t>total_arrears_rate_pct</w:t>
            </w:r>
          </w:p>
        </w:tc>
        <w:tc>
          <w:tcPr>
            <w:tcW w:type="dxa" w:w="3216"/>
            <w:tcMar>
              <w:top w:w="80" w:type="dxa"/>
              <w:start w:w="90" w:type="dxa"/>
              <w:bottom w:w="80" w:type="dxa"/>
              <w:end w:w="90" w:type="dxa"/>
            </w:tcMar>
            <w:vAlign w:val="center"/>
          </w:tcPr>
          <w:p>
            <w:pPr>
              <w:jc w:val="center"/>
            </w:pPr>
            <w:r>
              <w:rPr>
                <w:rFonts w:ascii="Calibri" w:hAnsi="Calibri"/>
                <w:sz w:val="18"/>
              </w:rPr>
              <w:t>Total arrears rate (%)</w:t>
            </w:r>
          </w:p>
        </w:tc>
        <w:tc>
          <w:tcPr>
            <w:tcW w:type="dxa" w:w="3216"/>
            <w:tcMar>
              <w:top w:w="80" w:type="dxa"/>
              <w:start w:w="90" w:type="dxa"/>
              <w:bottom w:w="80" w:type="dxa"/>
              <w:end w:w="90" w:type="dxa"/>
            </w:tcMar>
            <w:vAlign w:val="center"/>
          </w:tcPr>
          <w:p>
            <w:pPr>
              <w:jc w:val="center"/>
            </w:pPr>
            <w:r>
              <w:rPr>
                <w:rFonts w:ascii="Calibri" w:hAnsi="Calibri"/>
                <w:sz w:val="18"/>
              </w:rPr>
              <w:t>Broad arrears measure</w:t>
            </w:r>
          </w:p>
        </w:tc>
      </w:tr>
      <w:tr>
        <w:tc>
          <w:tcPr>
            <w:tcW w:type="dxa" w:w="3216"/>
            <w:shd w:fill="EAF1F7"/>
            <w:tcMar>
              <w:top w:w="80" w:type="dxa"/>
              <w:start w:w="90" w:type="dxa"/>
              <w:bottom w:w="80" w:type="dxa"/>
              <w:end w:w="90" w:type="dxa"/>
            </w:tcMar>
            <w:vAlign w:val="center"/>
          </w:tcPr>
          <w:p>
            <w:pPr>
              <w:jc w:val="left"/>
            </w:pPr>
            <w:r>
              <w:rPr>
                <w:rFonts w:ascii="Calibri" w:hAnsi="Calibri"/>
                <w:sz w:val="18"/>
              </w:rPr>
              <w:t>avg_interest_rate_all_loans_pct</w:t>
            </w:r>
          </w:p>
        </w:tc>
        <w:tc>
          <w:tcPr>
            <w:tcW w:type="dxa" w:w="3216"/>
            <w:shd w:fill="EAF1F7"/>
            <w:tcMar>
              <w:top w:w="80" w:type="dxa"/>
              <w:start w:w="90" w:type="dxa"/>
              <w:bottom w:w="80" w:type="dxa"/>
              <w:end w:w="90" w:type="dxa"/>
            </w:tcMar>
            <w:vAlign w:val="center"/>
          </w:tcPr>
          <w:p>
            <w:pPr>
              <w:jc w:val="center"/>
            </w:pPr>
            <w:r>
              <w:rPr>
                <w:rFonts w:ascii="Calibri" w:hAnsi="Calibri"/>
                <w:sz w:val="18"/>
              </w:rPr>
              <w:t>Average interest rate (%)</w:t>
            </w:r>
          </w:p>
        </w:tc>
        <w:tc>
          <w:tcPr>
            <w:tcW w:type="dxa" w:w="3216"/>
            <w:shd w:fill="EAF1F7"/>
            <w:tcMar>
              <w:top w:w="80" w:type="dxa"/>
              <w:start w:w="90" w:type="dxa"/>
              <w:bottom w:w="80" w:type="dxa"/>
              <w:end w:w="90" w:type="dxa"/>
            </w:tcMar>
            <w:vAlign w:val="center"/>
          </w:tcPr>
          <w:p>
            <w:pPr>
              <w:jc w:val="center"/>
            </w:pPr>
            <w:r>
              <w:rPr>
                <w:rFonts w:ascii="Calibri" w:hAnsi="Calibri"/>
                <w:sz w:val="18"/>
              </w:rPr>
              <w:t>Mortgage pricing conditions</w:t>
            </w:r>
          </w:p>
        </w:tc>
      </w:tr>
      <w:tr>
        <w:tc>
          <w:tcPr>
            <w:tcW w:type="dxa" w:w="3216"/>
            <w:tcMar>
              <w:top w:w="80" w:type="dxa"/>
              <w:start w:w="90" w:type="dxa"/>
              <w:bottom w:w="80" w:type="dxa"/>
              <w:end w:w="90" w:type="dxa"/>
            </w:tcMar>
            <w:vAlign w:val="center"/>
          </w:tcPr>
          <w:p>
            <w:pPr>
              <w:jc w:val="left"/>
            </w:pPr>
            <w:r>
              <w:rPr>
                <w:rFonts w:ascii="Calibri" w:hAnsi="Calibri"/>
                <w:sz w:val="18"/>
              </w:rPr>
              <w:t>fixed_rate_share_pct</w:t>
            </w:r>
          </w:p>
        </w:tc>
        <w:tc>
          <w:tcPr>
            <w:tcW w:type="dxa" w:w="3216"/>
            <w:tcMar>
              <w:top w:w="80" w:type="dxa"/>
              <w:start w:w="90" w:type="dxa"/>
              <w:bottom w:w="80" w:type="dxa"/>
              <w:end w:w="90" w:type="dxa"/>
            </w:tcMar>
            <w:vAlign w:val="center"/>
          </w:tcPr>
          <w:p>
            <w:pPr>
              <w:jc w:val="center"/>
            </w:pPr>
            <w:r>
              <w:rPr>
                <w:rFonts w:ascii="Calibri" w:hAnsi="Calibri"/>
                <w:sz w:val="18"/>
              </w:rPr>
              <w:t>Fixed-rate share (%)</w:t>
            </w:r>
          </w:p>
        </w:tc>
        <w:tc>
          <w:tcPr>
            <w:tcW w:type="dxa" w:w="3216"/>
            <w:tcMar>
              <w:top w:w="80" w:type="dxa"/>
              <w:start w:w="90" w:type="dxa"/>
              <w:bottom w:w="80" w:type="dxa"/>
              <w:end w:w="90" w:type="dxa"/>
            </w:tcMar>
            <w:vAlign w:val="center"/>
          </w:tcPr>
          <w:p>
            <w:pPr>
              <w:jc w:val="center"/>
            </w:pPr>
            <w:r>
              <w:rPr>
                <w:rFonts w:ascii="Calibri" w:hAnsi="Calibri"/>
                <w:sz w:val="18"/>
              </w:rPr>
              <w:t>Product structure / payment insulation</w:t>
            </w:r>
          </w:p>
        </w:tc>
      </w:tr>
      <w:tr>
        <w:tc>
          <w:tcPr>
            <w:tcW w:type="dxa" w:w="3216"/>
            <w:shd w:fill="EAF1F7"/>
            <w:tcMar>
              <w:top w:w="80" w:type="dxa"/>
              <w:start w:w="90" w:type="dxa"/>
              <w:bottom w:w="80" w:type="dxa"/>
              <w:end w:w="90" w:type="dxa"/>
            </w:tcMar>
            <w:vAlign w:val="center"/>
          </w:tcPr>
          <w:p>
            <w:pPr>
              <w:jc w:val="left"/>
            </w:pPr>
            <w:r>
              <w:rPr>
                <w:rFonts w:ascii="Calibri" w:hAnsi="Calibri"/>
                <w:sz w:val="18"/>
              </w:rPr>
              <w:t>gross_advances_gbp_m</w:t>
            </w:r>
          </w:p>
        </w:tc>
        <w:tc>
          <w:tcPr>
            <w:tcW w:type="dxa" w:w="3216"/>
            <w:shd w:fill="EAF1F7"/>
            <w:tcMar>
              <w:top w:w="80" w:type="dxa"/>
              <w:start w:w="90" w:type="dxa"/>
              <w:bottom w:w="80" w:type="dxa"/>
              <w:end w:w="90" w:type="dxa"/>
            </w:tcMar>
            <w:vAlign w:val="center"/>
          </w:tcPr>
          <w:p>
            <w:pPr>
              <w:jc w:val="center"/>
            </w:pPr>
            <w:r>
              <w:rPr>
                <w:rFonts w:ascii="Calibri" w:hAnsi="Calibri"/>
                <w:sz w:val="18"/>
              </w:rPr>
              <w:t>Gross advances (£m)</w:t>
            </w:r>
          </w:p>
        </w:tc>
        <w:tc>
          <w:tcPr>
            <w:tcW w:type="dxa" w:w="3216"/>
            <w:shd w:fill="EAF1F7"/>
            <w:tcMar>
              <w:top w:w="80" w:type="dxa"/>
              <w:start w:w="90" w:type="dxa"/>
              <w:bottom w:w="80" w:type="dxa"/>
              <w:end w:w="90" w:type="dxa"/>
            </w:tcMar>
            <w:vAlign w:val="center"/>
          </w:tcPr>
          <w:p>
            <w:pPr>
              <w:jc w:val="center"/>
            </w:pPr>
            <w:r>
              <w:rPr>
                <w:rFonts w:ascii="Calibri" w:hAnsi="Calibri"/>
                <w:sz w:val="18"/>
              </w:rPr>
              <w:t>Market activity / lending volume</w:t>
            </w:r>
          </w:p>
        </w:tc>
      </w:tr>
      <w:tr>
        <w:tc>
          <w:tcPr>
            <w:tcW w:type="dxa" w:w="3216"/>
            <w:tcMar>
              <w:top w:w="80" w:type="dxa"/>
              <w:start w:w="90" w:type="dxa"/>
              <w:bottom w:w="80" w:type="dxa"/>
              <w:end w:w="90" w:type="dxa"/>
            </w:tcMar>
            <w:vAlign w:val="center"/>
          </w:tcPr>
          <w:p>
            <w:pPr>
              <w:jc w:val="left"/>
            </w:pPr>
            <w:r>
              <w:rPr>
                <w:rFonts w:ascii="Calibri" w:hAnsi="Calibri"/>
                <w:sz w:val="18"/>
              </w:rPr>
              <w:t>new_commitments_gbp_m</w:t>
            </w:r>
          </w:p>
        </w:tc>
        <w:tc>
          <w:tcPr>
            <w:tcW w:type="dxa" w:w="3216"/>
            <w:tcMar>
              <w:top w:w="80" w:type="dxa"/>
              <w:start w:w="90" w:type="dxa"/>
              <w:bottom w:w="80" w:type="dxa"/>
              <w:end w:w="90" w:type="dxa"/>
            </w:tcMar>
            <w:vAlign w:val="center"/>
          </w:tcPr>
          <w:p>
            <w:pPr>
              <w:jc w:val="center"/>
            </w:pPr>
            <w:r>
              <w:rPr>
                <w:rFonts w:ascii="Calibri" w:hAnsi="Calibri"/>
                <w:sz w:val="18"/>
              </w:rPr>
              <w:t>New commitments (£m)</w:t>
            </w:r>
          </w:p>
        </w:tc>
        <w:tc>
          <w:tcPr>
            <w:tcW w:type="dxa" w:w="3216"/>
            <w:tcMar>
              <w:top w:w="80" w:type="dxa"/>
              <w:start w:w="90" w:type="dxa"/>
              <w:bottom w:w="80" w:type="dxa"/>
              <w:end w:w="90" w:type="dxa"/>
            </w:tcMar>
            <w:vAlign w:val="center"/>
          </w:tcPr>
          <w:p>
            <w:pPr>
              <w:jc w:val="center"/>
            </w:pPr>
            <w:r>
              <w:rPr>
                <w:rFonts w:ascii="Calibri" w:hAnsi="Calibri"/>
                <w:sz w:val="18"/>
              </w:rPr>
              <w:t>Forward lending pipeline</w:t>
            </w:r>
          </w:p>
        </w:tc>
      </w:tr>
      <w:tr>
        <w:tc>
          <w:tcPr>
            <w:tcW w:type="dxa" w:w="3216"/>
            <w:shd w:fill="EAF1F7"/>
            <w:tcMar>
              <w:top w:w="80" w:type="dxa"/>
              <w:start w:w="90" w:type="dxa"/>
              <w:bottom w:w="80" w:type="dxa"/>
              <w:end w:w="90" w:type="dxa"/>
            </w:tcMar>
            <w:vAlign w:val="center"/>
          </w:tcPr>
          <w:p>
            <w:pPr>
              <w:jc w:val="left"/>
            </w:pPr>
            <w:r>
              <w:rPr>
                <w:rFonts w:ascii="Calibri" w:hAnsi="Calibri"/>
                <w:sz w:val="18"/>
              </w:rPr>
              <w:t>ltv_gt_90_pct</w:t>
            </w:r>
          </w:p>
        </w:tc>
        <w:tc>
          <w:tcPr>
            <w:tcW w:type="dxa" w:w="3216"/>
            <w:shd w:fill="EAF1F7"/>
            <w:tcMar>
              <w:top w:w="80" w:type="dxa"/>
              <w:start w:w="90" w:type="dxa"/>
              <w:bottom w:w="80" w:type="dxa"/>
              <w:end w:w="90" w:type="dxa"/>
            </w:tcMar>
            <w:vAlign w:val="center"/>
          </w:tcPr>
          <w:p>
            <w:pPr>
              <w:jc w:val="center"/>
            </w:pPr>
            <w:r>
              <w:rPr>
                <w:rFonts w:ascii="Calibri" w:hAnsi="Calibri"/>
                <w:sz w:val="18"/>
              </w:rPr>
              <w:t>LTV &gt; 90% share (%)</w:t>
            </w:r>
          </w:p>
        </w:tc>
        <w:tc>
          <w:tcPr>
            <w:tcW w:type="dxa" w:w="3216"/>
            <w:shd w:fill="EAF1F7"/>
            <w:tcMar>
              <w:top w:w="80" w:type="dxa"/>
              <w:start w:w="90" w:type="dxa"/>
              <w:bottom w:w="80" w:type="dxa"/>
              <w:end w:w="90" w:type="dxa"/>
            </w:tcMar>
            <w:vAlign w:val="center"/>
          </w:tcPr>
          <w:p>
            <w:pPr>
              <w:jc w:val="center"/>
            </w:pPr>
            <w:r>
              <w:rPr>
                <w:rFonts w:ascii="Calibri" w:hAnsi="Calibri"/>
                <w:sz w:val="18"/>
              </w:rPr>
              <w:t>High-leverage lending</w:t>
            </w:r>
          </w:p>
        </w:tc>
      </w:tr>
      <w:tr>
        <w:tc>
          <w:tcPr>
            <w:tcW w:type="dxa" w:w="3216"/>
            <w:tcMar>
              <w:top w:w="80" w:type="dxa"/>
              <w:start w:w="90" w:type="dxa"/>
              <w:bottom w:w="80" w:type="dxa"/>
              <w:end w:w="90" w:type="dxa"/>
            </w:tcMar>
            <w:vAlign w:val="center"/>
          </w:tcPr>
          <w:p>
            <w:pPr>
              <w:jc w:val="left"/>
            </w:pPr>
            <w:r>
              <w:rPr>
                <w:rFonts w:ascii="Calibri" w:hAnsi="Calibri"/>
                <w:sz w:val="18"/>
              </w:rPr>
              <w:t>impaired_credit_history_pct</w:t>
            </w:r>
          </w:p>
        </w:tc>
        <w:tc>
          <w:tcPr>
            <w:tcW w:type="dxa" w:w="3216"/>
            <w:tcMar>
              <w:top w:w="80" w:type="dxa"/>
              <w:start w:w="90" w:type="dxa"/>
              <w:bottom w:w="80" w:type="dxa"/>
              <w:end w:w="90" w:type="dxa"/>
            </w:tcMar>
            <w:vAlign w:val="center"/>
          </w:tcPr>
          <w:p>
            <w:pPr>
              <w:jc w:val="center"/>
            </w:pPr>
            <w:r>
              <w:rPr>
                <w:rFonts w:ascii="Calibri" w:hAnsi="Calibri"/>
                <w:sz w:val="18"/>
              </w:rPr>
              <w:t>Impaired credit history share (%)</w:t>
            </w:r>
          </w:p>
        </w:tc>
        <w:tc>
          <w:tcPr>
            <w:tcW w:type="dxa" w:w="3216"/>
            <w:tcMar>
              <w:top w:w="80" w:type="dxa"/>
              <w:start w:w="90" w:type="dxa"/>
              <w:bottom w:w="80" w:type="dxa"/>
              <w:end w:w="90" w:type="dxa"/>
            </w:tcMar>
            <w:vAlign w:val="center"/>
          </w:tcPr>
          <w:p>
            <w:pPr>
              <w:jc w:val="center"/>
            </w:pPr>
            <w:r>
              <w:rPr>
                <w:rFonts w:ascii="Calibri" w:hAnsi="Calibri"/>
                <w:sz w:val="18"/>
              </w:rPr>
              <w:t>Borrower credit-quality proxy</w:t>
            </w:r>
          </w:p>
        </w:tc>
      </w:tr>
      <w:tr>
        <w:tc>
          <w:tcPr>
            <w:tcW w:type="dxa" w:w="3216"/>
            <w:shd w:fill="EAF1F7"/>
            <w:tcMar>
              <w:top w:w="80" w:type="dxa"/>
              <w:start w:w="90" w:type="dxa"/>
              <w:bottom w:w="80" w:type="dxa"/>
              <w:end w:w="90" w:type="dxa"/>
            </w:tcMar>
            <w:vAlign w:val="center"/>
          </w:tcPr>
          <w:p>
            <w:pPr>
              <w:jc w:val="left"/>
            </w:pPr>
            <w:r>
              <w:rPr>
                <w:rFonts w:ascii="Calibri" w:hAnsi="Calibri"/>
                <w:sz w:val="18"/>
              </w:rPr>
              <w:t>uk_hpi_annual_change_pct</w:t>
            </w:r>
          </w:p>
        </w:tc>
        <w:tc>
          <w:tcPr>
            <w:tcW w:type="dxa" w:w="3216"/>
            <w:shd w:fill="EAF1F7"/>
            <w:tcMar>
              <w:top w:w="80" w:type="dxa"/>
              <w:start w:w="90" w:type="dxa"/>
              <w:bottom w:w="80" w:type="dxa"/>
              <w:end w:w="90" w:type="dxa"/>
            </w:tcMar>
            <w:vAlign w:val="center"/>
          </w:tcPr>
          <w:p>
            <w:pPr>
              <w:jc w:val="center"/>
            </w:pPr>
            <w:r>
              <w:rPr>
                <w:rFonts w:ascii="Calibri" w:hAnsi="Calibri"/>
                <w:sz w:val="18"/>
              </w:rPr>
              <w:t>UK HPI annual change (%)</w:t>
            </w:r>
          </w:p>
        </w:tc>
        <w:tc>
          <w:tcPr>
            <w:tcW w:type="dxa" w:w="3216"/>
            <w:shd w:fill="EAF1F7"/>
            <w:tcMar>
              <w:top w:w="80" w:type="dxa"/>
              <w:start w:w="90" w:type="dxa"/>
              <w:bottom w:w="80" w:type="dxa"/>
              <w:end w:w="90" w:type="dxa"/>
            </w:tcMar>
            <w:vAlign w:val="center"/>
          </w:tcPr>
          <w:p>
            <w:pPr>
              <w:jc w:val="center"/>
            </w:pPr>
            <w:r>
              <w:rPr>
                <w:rFonts w:ascii="Calibri" w:hAnsi="Calibri"/>
                <w:sz w:val="18"/>
              </w:rPr>
              <w:t>Housing-market momentum</w:t>
            </w:r>
          </w:p>
        </w:tc>
      </w:tr>
    </w:tbl>
    <w:p>
      <w:pPr>
        <w:pStyle w:val="Heading1"/>
        <w:keepNext/>
      </w:pPr>
      <w:r>
        <w:t>3. Methodology</w:t>
      </w:r>
    </w:p>
    <w:p>
      <w:r>
        <w:t>The empirical strategy proceeds in four stages. First, descriptive statistics establish the scale and distribution of the principal variables. Second, Pearson correlations identify the strongest pairwise relationships among stress outcomes and leading explanatory variables. Third, two regression models are estimated using ordinary least squares with Newey-West heteroskedasticity and autocorrelation consistent standard errors. Model 1 uses the serious arrears rate as the dependent variable; Model 2 uses the log of new possessions. Fourth, an R-based forecasting extension estimates univariate ARIMA baselines for both serious arrears and new possessions.</w:t>
      </w:r>
    </w:p>
    <w:p>
      <w:r>
        <w:t>Model 1 can be written as serious arrears_t = α + βX_(t-1) + ε_t, where X includes lagged mortgage pricing, fixed-rate share, high-LTV lending, impaired-credit-history share, house-price growth, and gross advances. Model 2 uses log(new possessions_t) as the dependent variable and includes lagged serious arrears among the predictors. The interpretation throughout remains associational rather than strictly causal.</w:t>
      </w:r>
    </w:p>
    <w:p>
      <w:pPr>
        <w:pStyle w:val="Heading1"/>
        <w:keepNext/>
      </w:pPr>
      <w:r>
        <w:t>4. Descriptive statistical profile</w:t>
      </w:r>
    </w:p>
    <w:p>
      <w:r>
        <w:t>The sample statistics show that mortgage stress was materially present across the period but highly uneven through time. Serious arrears averaged 1.031% and total arrears 1.435% over the full sample. New possessions averaged 3,451.9 units per quarter, but the distribution was highly dispersed, with a minimum of 249 and a maximum of 9,674. House-price momentum was also variable, ranging from -2.467% to 11.033% on an annual basis.</w:t>
      </w:r>
    </w:p>
    <w:p>
      <w:r>
        <w:t>The composition of the mortgage market changed substantially. Fixed-rate lending averaged 82.9% across the period, but the minimum of 51.2% indicates a very different market structure in the earlier years. The mean share of lending above 90% loan-to-value was 2.76%, suggesting that high-leverage lending remained present but modest relative to the full market.</w:t>
      </w:r>
    </w:p>
    <w:p>
      <w:pPr>
        <w:pStyle w:val="Heading2"/>
        <w:keepNext/>
      </w:pPr>
      <w:r>
        <w:t>Table 2. Descriptive statistics for key variables</w:t>
      </w:r>
    </w:p>
    <w:tbl>
      <w:tblPr>
        <w:tblStyle w:val="TableGrid"/>
        <w:tblW w:type="auto" w:w="0"/>
        <w:jc w:val="center"/>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378"/>
        <w:gridCol w:w="1378"/>
        <w:gridCol w:w="1378"/>
        <w:gridCol w:w="1378"/>
        <w:gridCol w:w="1378"/>
        <w:gridCol w:w="1378"/>
        <w:gridCol w:w="1378"/>
      </w:tblGrid>
      <w:tr>
        <w:trPr>
          <w:tblHeader w:val="true"/>
        </w:trPr>
        <w:tc>
          <w:tcPr>
            <w:tcW w:type="dxa" w:w="1378"/>
            <w:shd w:fill="1F4E78"/>
            <w:tcMar>
              <w:top w:w="80" w:type="dxa"/>
              <w:start w:w="90" w:type="dxa"/>
              <w:bottom w:w="80" w:type="dxa"/>
              <w:end w:w="90" w:type="dxa"/>
            </w:tcMar>
            <w:vAlign w:val="center"/>
          </w:tcPr>
          <w:p>
            <w:pPr>
              <w:jc w:val="center"/>
            </w:pPr>
            <w:r>
              <w:rPr>
                <w:rFonts w:ascii="Calibri" w:hAnsi="Calibri"/>
                <w:b/>
                <w:color w:val="FFFFFF"/>
                <w:sz w:val="17"/>
              </w:rPr>
              <w:t>Variable</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7"/>
              </w:rPr>
              <w:t>N</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7"/>
              </w:rPr>
              <w:t>Mean</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7"/>
              </w:rPr>
              <w:t>Median</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7"/>
              </w:rPr>
              <w:t>Min</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7"/>
              </w:rPr>
              <w:t>Max</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7"/>
              </w:rPr>
              <w:t>Std. dev.</w:t>
            </w:r>
          </w:p>
        </w:tc>
      </w:tr>
      <w:tr>
        <w:tc>
          <w:tcPr>
            <w:tcW w:type="dxa" w:w="1378"/>
            <w:tcMar>
              <w:top w:w="80" w:type="dxa"/>
              <w:start w:w="90" w:type="dxa"/>
              <w:bottom w:w="80" w:type="dxa"/>
              <w:end w:w="90" w:type="dxa"/>
            </w:tcMar>
            <w:vAlign w:val="center"/>
          </w:tcPr>
          <w:p>
            <w:pPr>
              <w:jc w:val="left"/>
            </w:pPr>
            <w:r>
              <w:rPr>
                <w:rFonts w:ascii="Calibri" w:hAnsi="Calibri"/>
                <w:sz w:val="17"/>
              </w:rPr>
              <w:t>Serious arrears rate (%)</w:t>
            </w:r>
          </w:p>
        </w:tc>
        <w:tc>
          <w:tcPr>
            <w:tcW w:type="dxa" w:w="1378"/>
            <w:tcMar>
              <w:top w:w="80" w:type="dxa"/>
              <w:start w:w="90" w:type="dxa"/>
              <w:bottom w:w="80" w:type="dxa"/>
              <w:end w:w="90" w:type="dxa"/>
            </w:tcMar>
            <w:vAlign w:val="center"/>
          </w:tcPr>
          <w:p>
            <w:pPr>
              <w:jc w:val="center"/>
            </w:pPr>
            <w:r>
              <w:rPr>
                <w:rFonts w:ascii="Calibri" w:hAnsi="Calibri"/>
                <w:sz w:val="17"/>
              </w:rPr>
              <w:t>56</w:t>
            </w:r>
          </w:p>
        </w:tc>
        <w:tc>
          <w:tcPr>
            <w:tcW w:type="dxa" w:w="1378"/>
            <w:tcMar>
              <w:top w:w="80" w:type="dxa"/>
              <w:start w:w="90" w:type="dxa"/>
              <w:bottom w:w="80" w:type="dxa"/>
              <w:end w:w="90" w:type="dxa"/>
            </w:tcMar>
            <w:vAlign w:val="center"/>
          </w:tcPr>
          <w:p>
            <w:pPr>
              <w:jc w:val="center"/>
            </w:pPr>
            <w:r>
              <w:rPr>
                <w:rFonts w:ascii="Calibri" w:hAnsi="Calibri"/>
                <w:sz w:val="17"/>
              </w:rPr>
              <w:t>1.031</w:t>
            </w:r>
          </w:p>
        </w:tc>
        <w:tc>
          <w:tcPr>
            <w:tcW w:type="dxa" w:w="1378"/>
            <w:tcMar>
              <w:top w:w="80" w:type="dxa"/>
              <w:start w:w="90" w:type="dxa"/>
              <w:bottom w:w="80" w:type="dxa"/>
              <w:end w:w="90" w:type="dxa"/>
            </w:tcMar>
            <w:vAlign w:val="center"/>
          </w:tcPr>
          <w:p>
            <w:pPr>
              <w:jc w:val="center"/>
            </w:pPr>
            <w:r>
              <w:rPr>
                <w:rFonts w:ascii="Calibri" w:hAnsi="Calibri"/>
                <w:sz w:val="17"/>
              </w:rPr>
              <w:t>0.899</w:t>
            </w:r>
          </w:p>
        </w:tc>
        <w:tc>
          <w:tcPr>
            <w:tcW w:type="dxa" w:w="1378"/>
            <w:tcMar>
              <w:top w:w="80" w:type="dxa"/>
              <w:start w:w="90" w:type="dxa"/>
              <w:bottom w:w="80" w:type="dxa"/>
              <w:end w:w="90" w:type="dxa"/>
            </w:tcMar>
            <w:vAlign w:val="center"/>
          </w:tcPr>
          <w:p>
            <w:pPr>
              <w:jc w:val="center"/>
            </w:pPr>
            <w:r>
              <w:rPr>
                <w:rFonts w:ascii="Calibri" w:hAnsi="Calibri"/>
                <w:sz w:val="17"/>
              </w:rPr>
              <w:t>0.603</w:t>
            </w:r>
          </w:p>
        </w:tc>
        <w:tc>
          <w:tcPr>
            <w:tcW w:type="dxa" w:w="1378"/>
            <w:tcMar>
              <w:top w:w="80" w:type="dxa"/>
              <w:start w:w="90" w:type="dxa"/>
              <w:bottom w:w="80" w:type="dxa"/>
              <w:end w:w="90" w:type="dxa"/>
            </w:tcMar>
            <w:vAlign w:val="center"/>
          </w:tcPr>
          <w:p>
            <w:pPr>
              <w:jc w:val="center"/>
            </w:pPr>
            <w:r>
              <w:rPr>
                <w:rFonts w:ascii="Calibri" w:hAnsi="Calibri"/>
                <w:sz w:val="17"/>
              </w:rPr>
              <w:t>2.062</w:t>
            </w:r>
          </w:p>
        </w:tc>
        <w:tc>
          <w:tcPr>
            <w:tcW w:type="dxa" w:w="1378"/>
            <w:tcMar>
              <w:top w:w="80" w:type="dxa"/>
              <w:start w:w="90" w:type="dxa"/>
              <w:bottom w:w="80" w:type="dxa"/>
              <w:end w:w="90" w:type="dxa"/>
            </w:tcMar>
            <w:vAlign w:val="center"/>
          </w:tcPr>
          <w:p>
            <w:pPr>
              <w:jc w:val="center"/>
            </w:pPr>
            <w:r>
              <w:rPr>
                <w:rFonts w:ascii="Calibri" w:hAnsi="Calibri"/>
                <w:sz w:val="17"/>
              </w:rPr>
              <w:t>0.416</w:t>
            </w:r>
          </w:p>
        </w:tc>
      </w:tr>
      <w:tr>
        <w:tc>
          <w:tcPr>
            <w:tcW w:type="dxa" w:w="1378"/>
            <w:shd w:fill="EAF1F7"/>
            <w:tcMar>
              <w:top w:w="80" w:type="dxa"/>
              <w:start w:w="90" w:type="dxa"/>
              <w:bottom w:w="80" w:type="dxa"/>
              <w:end w:w="90" w:type="dxa"/>
            </w:tcMar>
            <w:vAlign w:val="center"/>
          </w:tcPr>
          <w:p>
            <w:pPr>
              <w:jc w:val="left"/>
            </w:pPr>
            <w:r>
              <w:rPr>
                <w:rFonts w:ascii="Calibri" w:hAnsi="Calibri"/>
                <w:sz w:val="17"/>
              </w:rPr>
              <w:t>Total arrears rate (%)</w:t>
            </w:r>
          </w:p>
        </w:tc>
        <w:tc>
          <w:tcPr>
            <w:tcW w:type="dxa" w:w="1378"/>
            <w:shd w:fill="EAF1F7"/>
            <w:tcMar>
              <w:top w:w="80" w:type="dxa"/>
              <w:start w:w="90" w:type="dxa"/>
              <w:bottom w:w="80" w:type="dxa"/>
              <w:end w:w="90" w:type="dxa"/>
            </w:tcMar>
            <w:vAlign w:val="center"/>
          </w:tcPr>
          <w:p>
            <w:pPr>
              <w:jc w:val="center"/>
            </w:pPr>
            <w:r>
              <w:rPr>
                <w:rFonts w:ascii="Calibri" w:hAnsi="Calibri"/>
                <w:sz w:val="17"/>
              </w:rPr>
              <w:t>56</w:t>
            </w:r>
          </w:p>
        </w:tc>
        <w:tc>
          <w:tcPr>
            <w:tcW w:type="dxa" w:w="1378"/>
            <w:shd w:fill="EAF1F7"/>
            <w:tcMar>
              <w:top w:w="80" w:type="dxa"/>
              <w:start w:w="90" w:type="dxa"/>
              <w:bottom w:w="80" w:type="dxa"/>
              <w:end w:w="90" w:type="dxa"/>
            </w:tcMar>
            <w:vAlign w:val="center"/>
          </w:tcPr>
          <w:p>
            <w:pPr>
              <w:jc w:val="center"/>
            </w:pPr>
            <w:r>
              <w:rPr>
                <w:rFonts w:ascii="Calibri" w:hAnsi="Calibri"/>
                <w:sz w:val="17"/>
              </w:rPr>
              <w:t>1.435</w:t>
            </w:r>
          </w:p>
        </w:tc>
        <w:tc>
          <w:tcPr>
            <w:tcW w:type="dxa" w:w="1378"/>
            <w:shd w:fill="EAF1F7"/>
            <w:tcMar>
              <w:top w:w="80" w:type="dxa"/>
              <w:start w:w="90" w:type="dxa"/>
              <w:bottom w:w="80" w:type="dxa"/>
              <w:end w:w="90" w:type="dxa"/>
            </w:tcMar>
            <w:vAlign w:val="center"/>
          </w:tcPr>
          <w:p>
            <w:pPr>
              <w:jc w:val="center"/>
            </w:pPr>
            <w:r>
              <w:rPr>
                <w:rFonts w:ascii="Calibri" w:hAnsi="Calibri"/>
                <w:sz w:val="17"/>
              </w:rPr>
              <w:t>1.233</w:t>
            </w:r>
          </w:p>
        </w:tc>
        <w:tc>
          <w:tcPr>
            <w:tcW w:type="dxa" w:w="1378"/>
            <w:shd w:fill="EAF1F7"/>
            <w:tcMar>
              <w:top w:w="80" w:type="dxa"/>
              <w:start w:w="90" w:type="dxa"/>
              <w:bottom w:w="80" w:type="dxa"/>
              <w:end w:w="90" w:type="dxa"/>
            </w:tcMar>
            <w:vAlign w:val="center"/>
          </w:tcPr>
          <w:p>
            <w:pPr>
              <w:jc w:val="center"/>
            </w:pPr>
            <w:r>
              <w:rPr>
                <w:rFonts w:ascii="Calibri" w:hAnsi="Calibri"/>
                <w:sz w:val="17"/>
              </w:rPr>
              <w:t>0.775</w:t>
            </w:r>
          </w:p>
        </w:tc>
        <w:tc>
          <w:tcPr>
            <w:tcW w:type="dxa" w:w="1378"/>
            <w:shd w:fill="EAF1F7"/>
            <w:tcMar>
              <w:top w:w="80" w:type="dxa"/>
              <w:start w:w="90" w:type="dxa"/>
              <w:bottom w:w="80" w:type="dxa"/>
              <w:end w:w="90" w:type="dxa"/>
            </w:tcMar>
            <w:vAlign w:val="center"/>
          </w:tcPr>
          <w:p>
            <w:pPr>
              <w:jc w:val="center"/>
            </w:pPr>
            <w:r>
              <w:rPr>
                <w:rFonts w:ascii="Calibri" w:hAnsi="Calibri"/>
                <w:sz w:val="17"/>
              </w:rPr>
              <w:t>2.884</w:t>
            </w:r>
          </w:p>
        </w:tc>
        <w:tc>
          <w:tcPr>
            <w:tcW w:type="dxa" w:w="1378"/>
            <w:shd w:fill="EAF1F7"/>
            <w:tcMar>
              <w:top w:w="80" w:type="dxa"/>
              <w:start w:w="90" w:type="dxa"/>
              <w:bottom w:w="80" w:type="dxa"/>
              <w:end w:w="90" w:type="dxa"/>
            </w:tcMar>
            <w:vAlign w:val="center"/>
          </w:tcPr>
          <w:p>
            <w:pPr>
              <w:jc w:val="center"/>
            </w:pPr>
            <w:r>
              <w:rPr>
                <w:rFonts w:ascii="Calibri" w:hAnsi="Calibri"/>
                <w:sz w:val="17"/>
              </w:rPr>
              <w:t>0.623</w:t>
            </w:r>
          </w:p>
        </w:tc>
      </w:tr>
      <w:tr>
        <w:tc>
          <w:tcPr>
            <w:tcW w:type="dxa" w:w="1378"/>
            <w:tcMar>
              <w:top w:w="80" w:type="dxa"/>
              <w:start w:w="90" w:type="dxa"/>
              <w:bottom w:w="80" w:type="dxa"/>
              <w:end w:w="90" w:type="dxa"/>
            </w:tcMar>
            <w:vAlign w:val="center"/>
          </w:tcPr>
          <w:p>
            <w:pPr>
              <w:jc w:val="left"/>
            </w:pPr>
            <w:r>
              <w:rPr>
                <w:rFonts w:ascii="Calibri" w:hAnsi="Calibri"/>
                <w:sz w:val="17"/>
              </w:rPr>
              <w:t>New possessions (units)</w:t>
            </w:r>
          </w:p>
        </w:tc>
        <w:tc>
          <w:tcPr>
            <w:tcW w:type="dxa" w:w="1378"/>
            <w:tcMar>
              <w:top w:w="80" w:type="dxa"/>
              <w:start w:w="90" w:type="dxa"/>
              <w:bottom w:w="80" w:type="dxa"/>
              <w:end w:w="90" w:type="dxa"/>
            </w:tcMar>
            <w:vAlign w:val="center"/>
          </w:tcPr>
          <w:p>
            <w:pPr>
              <w:jc w:val="center"/>
            </w:pPr>
            <w:r>
              <w:rPr>
                <w:rFonts w:ascii="Calibri" w:hAnsi="Calibri"/>
                <w:sz w:val="17"/>
              </w:rPr>
              <w:t>56</w:t>
            </w:r>
          </w:p>
        </w:tc>
        <w:tc>
          <w:tcPr>
            <w:tcW w:type="dxa" w:w="1378"/>
            <w:tcMar>
              <w:top w:w="80" w:type="dxa"/>
              <w:start w:w="90" w:type="dxa"/>
              <w:bottom w:w="80" w:type="dxa"/>
              <w:end w:w="90" w:type="dxa"/>
            </w:tcMar>
            <w:vAlign w:val="center"/>
          </w:tcPr>
          <w:p>
            <w:pPr>
              <w:jc w:val="center"/>
            </w:pPr>
            <w:r>
              <w:rPr>
                <w:rFonts w:ascii="Calibri" w:hAnsi="Calibri"/>
                <w:sz w:val="17"/>
              </w:rPr>
              <w:t>3,451.911</w:t>
            </w:r>
          </w:p>
        </w:tc>
        <w:tc>
          <w:tcPr>
            <w:tcW w:type="dxa" w:w="1378"/>
            <w:tcMar>
              <w:top w:w="80" w:type="dxa"/>
              <w:start w:w="90" w:type="dxa"/>
              <w:bottom w:w="80" w:type="dxa"/>
              <w:end w:w="90" w:type="dxa"/>
            </w:tcMar>
            <w:vAlign w:val="center"/>
          </w:tcPr>
          <w:p>
            <w:pPr>
              <w:jc w:val="center"/>
            </w:pPr>
            <w:r>
              <w:rPr>
                <w:rFonts w:ascii="Calibri" w:hAnsi="Calibri"/>
                <w:sz w:val="17"/>
              </w:rPr>
              <w:t>2,141.500</w:t>
            </w:r>
          </w:p>
        </w:tc>
        <w:tc>
          <w:tcPr>
            <w:tcW w:type="dxa" w:w="1378"/>
            <w:tcMar>
              <w:top w:w="80" w:type="dxa"/>
              <w:start w:w="90" w:type="dxa"/>
              <w:bottom w:w="80" w:type="dxa"/>
              <w:end w:w="90" w:type="dxa"/>
            </w:tcMar>
            <w:vAlign w:val="center"/>
          </w:tcPr>
          <w:p>
            <w:pPr>
              <w:jc w:val="center"/>
            </w:pPr>
            <w:r>
              <w:rPr>
                <w:rFonts w:ascii="Calibri" w:hAnsi="Calibri"/>
                <w:sz w:val="17"/>
              </w:rPr>
              <w:t>249.000</w:t>
            </w:r>
          </w:p>
        </w:tc>
        <w:tc>
          <w:tcPr>
            <w:tcW w:type="dxa" w:w="1378"/>
            <w:tcMar>
              <w:top w:w="80" w:type="dxa"/>
              <w:start w:w="90" w:type="dxa"/>
              <w:bottom w:w="80" w:type="dxa"/>
              <w:end w:w="90" w:type="dxa"/>
            </w:tcMar>
            <w:vAlign w:val="center"/>
          </w:tcPr>
          <w:p>
            <w:pPr>
              <w:jc w:val="center"/>
            </w:pPr>
            <w:r>
              <w:rPr>
                <w:rFonts w:ascii="Calibri" w:hAnsi="Calibri"/>
                <w:sz w:val="17"/>
              </w:rPr>
              <w:t>9,674.000</w:t>
            </w:r>
          </w:p>
        </w:tc>
        <w:tc>
          <w:tcPr>
            <w:tcW w:type="dxa" w:w="1378"/>
            <w:tcMar>
              <w:top w:w="80" w:type="dxa"/>
              <w:start w:w="90" w:type="dxa"/>
              <w:bottom w:w="80" w:type="dxa"/>
              <w:end w:w="90" w:type="dxa"/>
            </w:tcMar>
            <w:vAlign w:val="center"/>
          </w:tcPr>
          <w:p>
            <w:pPr>
              <w:jc w:val="center"/>
            </w:pPr>
            <w:r>
              <w:rPr>
                <w:rFonts w:ascii="Calibri" w:hAnsi="Calibri"/>
                <w:sz w:val="17"/>
              </w:rPr>
              <w:t>2,919.587</w:t>
            </w:r>
          </w:p>
        </w:tc>
      </w:tr>
      <w:tr>
        <w:tc>
          <w:tcPr>
            <w:tcW w:type="dxa" w:w="1378"/>
            <w:shd w:fill="EAF1F7"/>
            <w:tcMar>
              <w:top w:w="80" w:type="dxa"/>
              <w:start w:w="90" w:type="dxa"/>
              <w:bottom w:w="80" w:type="dxa"/>
              <w:end w:w="90" w:type="dxa"/>
            </w:tcMar>
            <w:vAlign w:val="center"/>
          </w:tcPr>
          <w:p>
            <w:pPr>
              <w:jc w:val="left"/>
            </w:pPr>
            <w:r>
              <w:rPr>
                <w:rFonts w:ascii="Calibri" w:hAnsi="Calibri"/>
                <w:sz w:val="17"/>
              </w:rPr>
              <w:t>Stock of possessions (units)</w:t>
            </w:r>
          </w:p>
        </w:tc>
        <w:tc>
          <w:tcPr>
            <w:tcW w:type="dxa" w:w="1378"/>
            <w:shd w:fill="EAF1F7"/>
            <w:tcMar>
              <w:top w:w="80" w:type="dxa"/>
              <w:start w:w="90" w:type="dxa"/>
              <w:bottom w:w="80" w:type="dxa"/>
              <w:end w:w="90" w:type="dxa"/>
            </w:tcMar>
            <w:vAlign w:val="center"/>
          </w:tcPr>
          <w:p>
            <w:pPr>
              <w:jc w:val="center"/>
            </w:pPr>
            <w:r>
              <w:rPr>
                <w:rFonts w:ascii="Calibri" w:hAnsi="Calibri"/>
                <w:sz w:val="17"/>
              </w:rPr>
              <w:t>56</w:t>
            </w:r>
          </w:p>
        </w:tc>
        <w:tc>
          <w:tcPr>
            <w:tcW w:type="dxa" w:w="1378"/>
            <w:shd w:fill="EAF1F7"/>
            <w:tcMar>
              <w:top w:w="80" w:type="dxa"/>
              <w:start w:w="90" w:type="dxa"/>
              <w:bottom w:w="80" w:type="dxa"/>
              <w:end w:w="90" w:type="dxa"/>
            </w:tcMar>
            <w:vAlign w:val="center"/>
          </w:tcPr>
          <w:p>
            <w:pPr>
              <w:jc w:val="center"/>
            </w:pPr>
            <w:r>
              <w:rPr>
                <w:rFonts w:ascii="Calibri" w:hAnsi="Calibri"/>
                <w:sz w:val="17"/>
              </w:rPr>
              <w:t>6,501.071</w:t>
            </w:r>
          </w:p>
        </w:tc>
        <w:tc>
          <w:tcPr>
            <w:tcW w:type="dxa" w:w="1378"/>
            <w:shd w:fill="EAF1F7"/>
            <w:tcMar>
              <w:top w:w="80" w:type="dxa"/>
              <w:start w:w="90" w:type="dxa"/>
              <w:bottom w:w="80" w:type="dxa"/>
              <w:end w:w="90" w:type="dxa"/>
            </w:tcMar>
            <w:vAlign w:val="center"/>
          </w:tcPr>
          <w:p>
            <w:pPr>
              <w:jc w:val="center"/>
            </w:pPr>
            <w:r>
              <w:rPr>
                <w:rFonts w:ascii="Calibri" w:hAnsi="Calibri"/>
                <w:sz w:val="17"/>
              </w:rPr>
              <w:t>4,358.000</w:t>
            </w:r>
          </w:p>
        </w:tc>
        <w:tc>
          <w:tcPr>
            <w:tcW w:type="dxa" w:w="1378"/>
            <w:shd w:fill="EAF1F7"/>
            <w:tcMar>
              <w:top w:w="80" w:type="dxa"/>
              <w:start w:w="90" w:type="dxa"/>
              <w:bottom w:w="80" w:type="dxa"/>
              <w:end w:w="90" w:type="dxa"/>
            </w:tcMar>
            <w:vAlign w:val="center"/>
          </w:tcPr>
          <w:p>
            <w:pPr>
              <w:jc w:val="center"/>
            </w:pPr>
            <w:r>
              <w:rPr>
                <w:rFonts w:ascii="Calibri" w:hAnsi="Calibri"/>
                <w:sz w:val="17"/>
              </w:rPr>
              <w:t>1,583.000</w:t>
            </w:r>
          </w:p>
        </w:tc>
        <w:tc>
          <w:tcPr>
            <w:tcW w:type="dxa" w:w="1378"/>
            <w:shd w:fill="EAF1F7"/>
            <w:tcMar>
              <w:top w:w="80" w:type="dxa"/>
              <w:start w:w="90" w:type="dxa"/>
              <w:bottom w:w="80" w:type="dxa"/>
              <w:end w:w="90" w:type="dxa"/>
            </w:tcMar>
            <w:vAlign w:val="center"/>
          </w:tcPr>
          <w:p>
            <w:pPr>
              <w:jc w:val="center"/>
            </w:pPr>
            <w:r>
              <w:rPr>
                <w:rFonts w:ascii="Calibri" w:hAnsi="Calibri"/>
                <w:sz w:val="17"/>
              </w:rPr>
              <w:t>16,262.000</w:t>
            </w:r>
          </w:p>
        </w:tc>
        <w:tc>
          <w:tcPr>
            <w:tcW w:type="dxa" w:w="1378"/>
            <w:shd w:fill="EAF1F7"/>
            <w:tcMar>
              <w:top w:w="80" w:type="dxa"/>
              <w:start w:w="90" w:type="dxa"/>
              <w:bottom w:w="80" w:type="dxa"/>
              <w:end w:w="90" w:type="dxa"/>
            </w:tcMar>
            <w:vAlign w:val="center"/>
          </w:tcPr>
          <w:p>
            <w:pPr>
              <w:jc w:val="center"/>
            </w:pPr>
            <w:r>
              <w:rPr>
                <w:rFonts w:ascii="Calibri" w:hAnsi="Calibri"/>
                <w:sz w:val="17"/>
              </w:rPr>
              <w:t>4,463.220</w:t>
            </w:r>
          </w:p>
        </w:tc>
      </w:tr>
      <w:tr>
        <w:tc>
          <w:tcPr>
            <w:tcW w:type="dxa" w:w="1378"/>
            <w:tcMar>
              <w:top w:w="80" w:type="dxa"/>
              <w:start w:w="90" w:type="dxa"/>
              <w:bottom w:w="80" w:type="dxa"/>
              <w:end w:w="90" w:type="dxa"/>
            </w:tcMar>
            <w:vAlign w:val="center"/>
          </w:tcPr>
          <w:p>
            <w:pPr>
              <w:jc w:val="left"/>
            </w:pPr>
            <w:r>
              <w:rPr>
                <w:rFonts w:ascii="Calibri" w:hAnsi="Calibri"/>
                <w:sz w:val="17"/>
              </w:rPr>
              <w:t>Average interest rate (%)</w:t>
            </w:r>
          </w:p>
        </w:tc>
        <w:tc>
          <w:tcPr>
            <w:tcW w:type="dxa" w:w="1378"/>
            <w:tcMar>
              <w:top w:w="80" w:type="dxa"/>
              <w:start w:w="90" w:type="dxa"/>
              <w:bottom w:w="80" w:type="dxa"/>
              <w:end w:w="90" w:type="dxa"/>
            </w:tcMar>
            <w:vAlign w:val="center"/>
          </w:tcPr>
          <w:p>
            <w:pPr>
              <w:jc w:val="center"/>
            </w:pPr>
            <w:r>
              <w:rPr>
                <w:rFonts w:ascii="Calibri" w:hAnsi="Calibri"/>
                <w:sz w:val="17"/>
              </w:rPr>
              <w:t>56</w:t>
            </w:r>
          </w:p>
        </w:tc>
        <w:tc>
          <w:tcPr>
            <w:tcW w:type="dxa" w:w="1378"/>
            <w:tcMar>
              <w:top w:w="80" w:type="dxa"/>
              <w:start w:w="90" w:type="dxa"/>
              <w:bottom w:w="80" w:type="dxa"/>
              <w:end w:w="90" w:type="dxa"/>
            </w:tcMar>
            <w:vAlign w:val="center"/>
          </w:tcPr>
          <w:p>
            <w:pPr>
              <w:jc w:val="center"/>
            </w:pPr>
            <w:r>
              <w:rPr>
                <w:rFonts w:ascii="Calibri" w:hAnsi="Calibri"/>
                <w:sz w:val="17"/>
              </w:rPr>
              <w:t>3.034</w:t>
            </w:r>
          </w:p>
        </w:tc>
        <w:tc>
          <w:tcPr>
            <w:tcW w:type="dxa" w:w="1378"/>
            <w:tcMar>
              <w:top w:w="80" w:type="dxa"/>
              <w:start w:w="90" w:type="dxa"/>
              <w:bottom w:w="80" w:type="dxa"/>
              <w:end w:w="90" w:type="dxa"/>
            </w:tcMar>
            <w:vAlign w:val="center"/>
          </w:tcPr>
          <w:p>
            <w:pPr>
              <w:jc w:val="center"/>
            </w:pPr>
            <w:r>
              <w:rPr>
                <w:rFonts w:ascii="Calibri" w:hAnsi="Calibri"/>
                <w:sz w:val="17"/>
              </w:rPr>
              <w:t>2.727</w:t>
            </w:r>
          </w:p>
        </w:tc>
        <w:tc>
          <w:tcPr>
            <w:tcW w:type="dxa" w:w="1378"/>
            <w:tcMar>
              <w:top w:w="80" w:type="dxa"/>
              <w:start w:w="90" w:type="dxa"/>
              <w:bottom w:w="80" w:type="dxa"/>
              <w:end w:w="90" w:type="dxa"/>
            </w:tcMar>
            <w:vAlign w:val="center"/>
          </w:tcPr>
          <w:p>
            <w:pPr>
              <w:jc w:val="center"/>
            </w:pPr>
            <w:r>
              <w:rPr>
                <w:rFonts w:ascii="Calibri" w:hAnsi="Calibri"/>
                <w:sz w:val="17"/>
              </w:rPr>
              <w:t>1.901</w:t>
            </w:r>
          </w:p>
        </w:tc>
        <w:tc>
          <w:tcPr>
            <w:tcW w:type="dxa" w:w="1378"/>
            <w:tcMar>
              <w:top w:w="80" w:type="dxa"/>
              <w:start w:w="90" w:type="dxa"/>
              <w:bottom w:w="80" w:type="dxa"/>
              <w:end w:w="90" w:type="dxa"/>
            </w:tcMar>
            <w:vAlign w:val="center"/>
          </w:tcPr>
          <w:p>
            <w:pPr>
              <w:jc w:val="center"/>
            </w:pPr>
            <w:r>
              <w:rPr>
                <w:rFonts w:ascii="Calibri" w:hAnsi="Calibri"/>
                <w:sz w:val="17"/>
              </w:rPr>
              <w:t>5.341</w:t>
            </w:r>
          </w:p>
        </w:tc>
        <w:tc>
          <w:tcPr>
            <w:tcW w:type="dxa" w:w="1378"/>
            <w:tcMar>
              <w:top w:w="80" w:type="dxa"/>
              <w:start w:w="90" w:type="dxa"/>
              <w:bottom w:w="80" w:type="dxa"/>
              <w:end w:w="90" w:type="dxa"/>
            </w:tcMar>
            <w:vAlign w:val="center"/>
          </w:tcPr>
          <w:p>
            <w:pPr>
              <w:jc w:val="center"/>
            </w:pPr>
            <w:r>
              <w:rPr>
                <w:rFonts w:ascii="Calibri" w:hAnsi="Calibri"/>
                <w:sz w:val="17"/>
              </w:rPr>
              <w:t>0.954</w:t>
            </w:r>
          </w:p>
        </w:tc>
      </w:tr>
      <w:tr>
        <w:tc>
          <w:tcPr>
            <w:tcW w:type="dxa" w:w="1378"/>
            <w:shd w:fill="EAF1F7"/>
            <w:tcMar>
              <w:top w:w="80" w:type="dxa"/>
              <w:start w:w="90" w:type="dxa"/>
              <w:bottom w:w="80" w:type="dxa"/>
              <w:end w:w="90" w:type="dxa"/>
            </w:tcMar>
            <w:vAlign w:val="center"/>
          </w:tcPr>
          <w:p>
            <w:pPr>
              <w:jc w:val="left"/>
            </w:pPr>
            <w:r>
              <w:rPr>
                <w:rFonts w:ascii="Calibri" w:hAnsi="Calibri"/>
                <w:sz w:val="17"/>
              </w:rPr>
              <w:t>UK HPI annual change (%)</w:t>
            </w:r>
          </w:p>
        </w:tc>
        <w:tc>
          <w:tcPr>
            <w:tcW w:type="dxa" w:w="1378"/>
            <w:shd w:fill="EAF1F7"/>
            <w:tcMar>
              <w:top w:w="80" w:type="dxa"/>
              <w:start w:w="90" w:type="dxa"/>
              <w:bottom w:w="80" w:type="dxa"/>
              <w:end w:w="90" w:type="dxa"/>
            </w:tcMar>
            <w:vAlign w:val="center"/>
          </w:tcPr>
          <w:p>
            <w:pPr>
              <w:jc w:val="center"/>
            </w:pPr>
            <w:r>
              <w:rPr>
                <w:rFonts w:ascii="Calibri" w:hAnsi="Calibri"/>
                <w:sz w:val="17"/>
              </w:rPr>
              <w:t>56</w:t>
            </w:r>
          </w:p>
        </w:tc>
        <w:tc>
          <w:tcPr>
            <w:tcW w:type="dxa" w:w="1378"/>
            <w:shd w:fill="EAF1F7"/>
            <w:tcMar>
              <w:top w:w="80" w:type="dxa"/>
              <w:start w:w="90" w:type="dxa"/>
              <w:bottom w:w="80" w:type="dxa"/>
              <w:end w:w="90" w:type="dxa"/>
            </w:tcMar>
            <w:vAlign w:val="center"/>
          </w:tcPr>
          <w:p>
            <w:pPr>
              <w:jc w:val="center"/>
            </w:pPr>
            <w:r>
              <w:rPr>
                <w:rFonts w:ascii="Calibri" w:hAnsi="Calibri"/>
                <w:sz w:val="17"/>
              </w:rPr>
              <w:t>3.749</w:t>
            </w:r>
          </w:p>
        </w:tc>
        <w:tc>
          <w:tcPr>
            <w:tcW w:type="dxa" w:w="1378"/>
            <w:shd w:fill="EAF1F7"/>
            <w:tcMar>
              <w:top w:w="80" w:type="dxa"/>
              <w:start w:w="90" w:type="dxa"/>
              <w:bottom w:w="80" w:type="dxa"/>
              <w:end w:w="90" w:type="dxa"/>
            </w:tcMar>
            <w:vAlign w:val="center"/>
          </w:tcPr>
          <w:p>
            <w:pPr>
              <w:jc w:val="center"/>
            </w:pPr>
            <w:r>
              <w:rPr>
                <w:rFonts w:ascii="Calibri" w:hAnsi="Calibri"/>
                <w:sz w:val="17"/>
              </w:rPr>
              <w:t>3.567</w:t>
            </w:r>
          </w:p>
        </w:tc>
        <w:tc>
          <w:tcPr>
            <w:tcW w:type="dxa" w:w="1378"/>
            <w:shd w:fill="EAF1F7"/>
            <w:tcMar>
              <w:top w:w="80" w:type="dxa"/>
              <w:start w:w="90" w:type="dxa"/>
              <w:bottom w:w="80" w:type="dxa"/>
              <w:end w:w="90" w:type="dxa"/>
            </w:tcMar>
            <w:vAlign w:val="center"/>
          </w:tcPr>
          <w:p>
            <w:pPr>
              <w:jc w:val="center"/>
            </w:pPr>
            <w:r>
              <w:rPr>
                <w:rFonts w:ascii="Calibri" w:hAnsi="Calibri"/>
                <w:sz w:val="17"/>
              </w:rPr>
              <w:t>-2.467</w:t>
            </w:r>
          </w:p>
        </w:tc>
        <w:tc>
          <w:tcPr>
            <w:tcW w:type="dxa" w:w="1378"/>
            <w:shd w:fill="EAF1F7"/>
            <w:tcMar>
              <w:top w:w="80" w:type="dxa"/>
              <w:start w:w="90" w:type="dxa"/>
              <w:bottom w:w="80" w:type="dxa"/>
              <w:end w:w="90" w:type="dxa"/>
            </w:tcMar>
            <w:vAlign w:val="center"/>
          </w:tcPr>
          <w:p>
            <w:pPr>
              <w:jc w:val="center"/>
            </w:pPr>
            <w:r>
              <w:rPr>
                <w:rFonts w:ascii="Calibri" w:hAnsi="Calibri"/>
                <w:sz w:val="17"/>
              </w:rPr>
              <w:t>11.033</w:t>
            </w:r>
          </w:p>
        </w:tc>
        <w:tc>
          <w:tcPr>
            <w:tcW w:type="dxa" w:w="1378"/>
            <w:shd w:fill="EAF1F7"/>
            <w:tcMar>
              <w:top w:w="80" w:type="dxa"/>
              <w:start w:w="90" w:type="dxa"/>
              <w:bottom w:w="80" w:type="dxa"/>
              <w:end w:w="90" w:type="dxa"/>
            </w:tcMar>
            <w:vAlign w:val="center"/>
          </w:tcPr>
          <w:p>
            <w:pPr>
              <w:jc w:val="center"/>
            </w:pPr>
            <w:r>
              <w:rPr>
                <w:rFonts w:ascii="Calibri" w:hAnsi="Calibri"/>
                <w:sz w:val="17"/>
              </w:rPr>
              <w:t>3.541</w:t>
            </w:r>
          </w:p>
        </w:tc>
      </w:tr>
      <w:tr>
        <w:tc>
          <w:tcPr>
            <w:tcW w:type="dxa" w:w="1378"/>
            <w:tcMar>
              <w:top w:w="80" w:type="dxa"/>
              <w:start w:w="90" w:type="dxa"/>
              <w:bottom w:w="80" w:type="dxa"/>
              <w:end w:w="90" w:type="dxa"/>
            </w:tcMar>
            <w:vAlign w:val="center"/>
          </w:tcPr>
          <w:p>
            <w:pPr>
              <w:jc w:val="left"/>
            </w:pPr>
            <w:r>
              <w:rPr>
                <w:rFonts w:ascii="Calibri" w:hAnsi="Calibri"/>
                <w:sz w:val="17"/>
              </w:rPr>
              <w:t>Gross advances (£m)</w:t>
            </w:r>
          </w:p>
        </w:tc>
        <w:tc>
          <w:tcPr>
            <w:tcW w:type="dxa" w:w="1378"/>
            <w:tcMar>
              <w:top w:w="80" w:type="dxa"/>
              <w:start w:w="90" w:type="dxa"/>
              <w:bottom w:w="80" w:type="dxa"/>
              <w:end w:w="90" w:type="dxa"/>
            </w:tcMar>
            <w:vAlign w:val="center"/>
          </w:tcPr>
          <w:p>
            <w:pPr>
              <w:jc w:val="center"/>
            </w:pPr>
            <w:r>
              <w:rPr>
                <w:rFonts w:ascii="Calibri" w:hAnsi="Calibri"/>
                <w:sz w:val="17"/>
              </w:rPr>
              <w:t>56</w:t>
            </w:r>
          </w:p>
        </w:tc>
        <w:tc>
          <w:tcPr>
            <w:tcW w:type="dxa" w:w="1378"/>
            <w:tcMar>
              <w:top w:w="80" w:type="dxa"/>
              <w:start w:w="90" w:type="dxa"/>
              <w:bottom w:w="80" w:type="dxa"/>
              <w:end w:w="90" w:type="dxa"/>
            </w:tcMar>
            <w:vAlign w:val="center"/>
          </w:tcPr>
          <w:p>
            <w:pPr>
              <w:jc w:val="center"/>
            </w:pPr>
            <w:r>
              <w:rPr>
                <w:rFonts w:ascii="Calibri" w:hAnsi="Calibri"/>
                <w:sz w:val="17"/>
              </w:rPr>
              <w:t>59,535.659</w:t>
            </w:r>
          </w:p>
        </w:tc>
        <w:tc>
          <w:tcPr>
            <w:tcW w:type="dxa" w:w="1378"/>
            <w:tcMar>
              <w:top w:w="80" w:type="dxa"/>
              <w:start w:w="90" w:type="dxa"/>
              <w:bottom w:w="80" w:type="dxa"/>
              <w:end w:w="90" w:type="dxa"/>
            </w:tcMar>
            <w:vAlign w:val="center"/>
          </w:tcPr>
          <w:p>
            <w:pPr>
              <w:jc w:val="center"/>
            </w:pPr>
            <w:r>
              <w:rPr>
                <w:rFonts w:ascii="Calibri" w:hAnsi="Calibri"/>
                <w:sz w:val="17"/>
              </w:rPr>
              <w:t>62,266.236</w:t>
            </w:r>
          </w:p>
        </w:tc>
        <w:tc>
          <w:tcPr>
            <w:tcW w:type="dxa" w:w="1378"/>
            <w:tcMar>
              <w:top w:w="80" w:type="dxa"/>
              <w:start w:w="90" w:type="dxa"/>
              <w:bottom w:w="80" w:type="dxa"/>
              <w:end w:w="90" w:type="dxa"/>
            </w:tcMar>
            <w:vAlign w:val="center"/>
          </w:tcPr>
          <w:p>
            <w:pPr>
              <w:jc w:val="center"/>
            </w:pPr>
            <w:r>
              <w:rPr>
                <w:rFonts w:ascii="Calibri" w:hAnsi="Calibri"/>
                <w:sz w:val="17"/>
              </w:rPr>
              <w:t>32,984.725</w:t>
            </w:r>
          </w:p>
        </w:tc>
        <w:tc>
          <w:tcPr>
            <w:tcW w:type="dxa" w:w="1378"/>
            <w:tcMar>
              <w:top w:w="80" w:type="dxa"/>
              <w:start w:w="90" w:type="dxa"/>
              <w:bottom w:w="80" w:type="dxa"/>
              <w:end w:w="90" w:type="dxa"/>
            </w:tcMar>
            <w:vAlign w:val="center"/>
          </w:tcPr>
          <w:p>
            <w:pPr>
              <w:jc w:val="center"/>
            </w:pPr>
            <w:r>
              <w:rPr>
                <w:rFonts w:ascii="Calibri" w:hAnsi="Calibri"/>
                <w:sz w:val="17"/>
              </w:rPr>
              <w:t>89,117.086</w:t>
            </w:r>
          </w:p>
        </w:tc>
        <w:tc>
          <w:tcPr>
            <w:tcW w:type="dxa" w:w="1378"/>
            <w:tcMar>
              <w:top w:w="80" w:type="dxa"/>
              <w:start w:w="90" w:type="dxa"/>
              <w:bottom w:w="80" w:type="dxa"/>
              <w:end w:w="90" w:type="dxa"/>
            </w:tcMar>
            <w:vAlign w:val="center"/>
          </w:tcPr>
          <w:p>
            <w:pPr>
              <w:jc w:val="center"/>
            </w:pPr>
            <w:r>
              <w:rPr>
                <w:rFonts w:ascii="Calibri" w:hAnsi="Calibri"/>
                <w:sz w:val="17"/>
              </w:rPr>
              <w:t>14,138.347</w:t>
            </w:r>
          </w:p>
        </w:tc>
      </w:tr>
      <w:tr>
        <w:tc>
          <w:tcPr>
            <w:tcW w:type="dxa" w:w="1378"/>
            <w:shd w:fill="EAF1F7"/>
            <w:tcMar>
              <w:top w:w="80" w:type="dxa"/>
              <w:start w:w="90" w:type="dxa"/>
              <w:bottom w:w="80" w:type="dxa"/>
              <w:end w:w="90" w:type="dxa"/>
            </w:tcMar>
            <w:vAlign w:val="center"/>
          </w:tcPr>
          <w:p>
            <w:pPr>
              <w:jc w:val="left"/>
            </w:pPr>
            <w:r>
              <w:rPr>
                <w:rFonts w:ascii="Calibri" w:hAnsi="Calibri"/>
                <w:sz w:val="17"/>
              </w:rPr>
              <w:t>New commitments (£m)</w:t>
            </w:r>
          </w:p>
        </w:tc>
        <w:tc>
          <w:tcPr>
            <w:tcW w:type="dxa" w:w="1378"/>
            <w:shd w:fill="EAF1F7"/>
            <w:tcMar>
              <w:top w:w="80" w:type="dxa"/>
              <w:start w:w="90" w:type="dxa"/>
              <w:bottom w:w="80" w:type="dxa"/>
              <w:end w:w="90" w:type="dxa"/>
            </w:tcMar>
            <w:vAlign w:val="center"/>
          </w:tcPr>
          <w:p>
            <w:pPr>
              <w:jc w:val="center"/>
            </w:pPr>
            <w:r>
              <w:rPr>
                <w:rFonts w:ascii="Calibri" w:hAnsi="Calibri"/>
                <w:sz w:val="17"/>
              </w:rPr>
              <w:t>56</w:t>
            </w:r>
          </w:p>
        </w:tc>
        <w:tc>
          <w:tcPr>
            <w:tcW w:type="dxa" w:w="1378"/>
            <w:shd w:fill="EAF1F7"/>
            <w:tcMar>
              <w:top w:w="80" w:type="dxa"/>
              <w:start w:w="90" w:type="dxa"/>
              <w:bottom w:w="80" w:type="dxa"/>
              <w:end w:w="90" w:type="dxa"/>
            </w:tcMar>
            <w:vAlign w:val="center"/>
          </w:tcPr>
          <w:p>
            <w:pPr>
              <w:jc w:val="center"/>
            </w:pPr>
            <w:r>
              <w:rPr>
                <w:rFonts w:ascii="Calibri" w:hAnsi="Calibri"/>
                <w:sz w:val="17"/>
              </w:rPr>
              <w:t>59,937.593</w:t>
            </w:r>
          </w:p>
        </w:tc>
        <w:tc>
          <w:tcPr>
            <w:tcW w:type="dxa" w:w="1378"/>
            <w:shd w:fill="EAF1F7"/>
            <w:tcMar>
              <w:top w:w="80" w:type="dxa"/>
              <w:start w:w="90" w:type="dxa"/>
              <w:bottom w:w="80" w:type="dxa"/>
              <w:end w:w="90" w:type="dxa"/>
            </w:tcMar>
            <w:vAlign w:val="center"/>
          </w:tcPr>
          <w:p>
            <w:pPr>
              <w:jc w:val="center"/>
            </w:pPr>
            <w:r>
              <w:rPr>
                <w:rFonts w:ascii="Calibri" w:hAnsi="Calibri"/>
                <w:sz w:val="17"/>
              </w:rPr>
              <w:t>61,014.476</w:t>
            </w:r>
          </w:p>
        </w:tc>
        <w:tc>
          <w:tcPr>
            <w:tcW w:type="dxa" w:w="1378"/>
            <w:shd w:fill="EAF1F7"/>
            <w:tcMar>
              <w:top w:w="80" w:type="dxa"/>
              <w:start w:w="90" w:type="dxa"/>
              <w:bottom w:w="80" w:type="dxa"/>
              <w:end w:w="90" w:type="dxa"/>
            </w:tcMar>
            <w:vAlign w:val="center"/>
          </w:tcPr>
          <w:p>
            <w:pPr>
              <w:jc w:val="center"/>
            </w:pPr>
            <w:r>
              <w:rPr>
                <w:rFonts w:ascii="Calibri" w:hAnsi="Calibri"/>
                <w:sz w:val="17"/>
              </w:rPr>
              <w:t>34,420.936</w:t>
            </w:r>
          </w:p>
        </w:tc>
        <w:tc>
          <w:tcPr>
            <w:tcW w:type="dxa" w:w="1378"/>
            <w:shd w:fill="EAF1F7"/>
            <w:tcMar>
              <w:top w:w="80" w:type="dxa"/>
              <w:start w:w="90" w:type="dxa"/>
              <w:bottom w:w="80" w:type="dxa"/>
              <w:end w:w="90" w:type="dxa"/>
            </w:tcMar>
            <w:vAlign w:val="center"/>
          </w:tcPr>
          <w:p>
            <w:pPr>
              <w:jc w:val="center"/>
            </w:pPr>
            <w:r>
              <w:rPr>
                <w:rFonts w:ascii="Calibri" w:hAnsi="Calibri"/>
                <w:sz w:val="17"/>
              </w:rPr>
              <w:t>87,794.850</w:t>
            </w:r>
          </w:p>
        </w:tc>
        <w:tc>
          <w:tcPr>
            <w:tcW w:type="dxa" w:w="1378"/>
            <w:shd w:fill="EAF1F7"/>
            <w:tcMar>
              <w:top w:w="80" w:type="dxa"/>
              <w:start w:w="90" w:type="dxa"/>
              <w:bottom w:w="80" w:type="dxa"/>
              <w:end w:w="90" w:type="dxa"/>
            </w:tcMar>
            <w:vAlign w:val="center"/>
          </w:tcPr>
          <w:p>
            <w:pPr>
              <w:jc w:val="center"/>
            </w:pPr>
            <w:r>
              <w:rPr>
                <w:rFonts w:ascii="Calibri" w:hAnsi="Calibri"/>
                <w:sz w:val="17"/>
              </w:rPr>
              <w:t>15,154.908</w:t>
            </w:r>
          </w:p>
        </w:tc>
      </w:tr>
      <w:tr>
        <w:tc>
          <w:tcPr>
            <w:tcW w:type="dxa" w:w="1378"/>
            <w:tcMar>
              <w:top w:w="80" w:type="dxa"/>
              <w:start w:w="90" w:type="dxa"/>
              <w:bottom w:w="80" w:type="dxa"/>
              <w:end w:w="90" w:type="dxa"/>
            </w:tcMar>
            <w:vAlign w:val="center"/>
          </w:tcPr>
          <w:p>
            <w:pPr>
              <w:jc w:val="left"/>
            </w:pPr>
            <w:r>
              <w:rPr>
                <w:rFonts w:ascii="Calibri" w:hAnsi="Calibri"/>
                <w:sz w:val="17"/>
              </w:rPr>
              <w:t>Fixed-rate share (%)</w:t>
            </w:r>
          </w:p>
        </w:tc>
        <w:tc>
          <w:tcPr>
            <w:tcW w:type="dxa" w:w="1378"/>
            <w:tcMar>
              <w:top w:w="80" w:type="dxa"/>
              <w:start w:w="90" w:type="dxa"/>
              <w:bottom w:w="80" w:type="dxa"/>
              <w:end w:w="90" w:type="dxa"/>
            </w:tcMar>
            <w:vAlign w:val="center"/>
          </w:tcPr>
          <w:p>
            <w:pPr>
              <w:jc w:val="center"/>
            </w:pPr>
            <w:r>
              <w:rPr>
                <w:rFonts w:ascii="Calibri" w:hAnsi="Calibri"/>
                <w:sz w:val="17"/>
              </w:rPr>
              <w:t>56</w:t>
            </w:r>
          </w:p>
        </w:tc>
        <w:tc>
          <w:tcPr>
            <w:tcW w:type="dxa" w:w="1378"/>
            <w:tcMar>
              <w:top w:w="80" w:type="dxa"/>
              <w:start w:w="90" w:type="dxa"/>
              <w:bottom w:w="80" w:type="dxa"/>
              <w:end w:w="90" w:type="dxa"/>
            </w:tcMar>
            <w:vAlign w:val="center"/>
          </w:tcPr>
          <w:p>
            <w:pPr>
              <w:jc w:val="center"/>
            </w:pPr>
            <w:r>
              <w:rPr>
                <w:rFonts w:ascii="Calibri" w:hAnsi="Calibri"/>
                <w:sz w:val="17"/>
              </w:rPr>
              <w:t>82.908</w:t>
            </w:r>
          </w:p>
        </w:tc>
        <w:tc>
          <w:tcPr>
            <w:tcW w:type="dxa" w:w="1378"/>
            <w:tcMar>
              <w:top w:w="80" w:type="dxa"/>
              <w:start w:w="90" w:type="dxa"/>
              <w:bottom w:w="80" w:type="dxa"/>
              <w:end w:w="90" w:type="dxa"/>
            </w:tcMar>
            <w:vAlign w:val="center"/>
          </w:tcPr>
          <w:p>
            <w:pPr>
              <w:jc w:val="center"/>
            </w:pPr>
            <w:r>
              <w:rPr>
                <w:rFonts w:ascii="Calibri" w:hAnsi="Calibri"/>
                <w:sz w:val="17"/>
              </w:rPr>
              <w:t>87.104</w:t>
            </w:r>
          </w:p>
        </w:tc>
        <w:tc>
          <w:tcPr>
            <w:tcW w:type="dxa" w:w="1378"/>
            <w:tcMar>
              <w:top w:w="80" w:type="dxa"/>
              <w:start w:w="90" w:type="dxa"/>
              <w:bottom w:w="80" w:type="dxa"/>
              <w:end w:w="90" w:type="dxa"/>
            </w:tcMar>
            <w:vAlign w:val="center"/>
          </w:tcPr>
          <w:p>
            <w:pPr>
              <w:jc w:val="center"/>
            </w:pPr>
            <w:r>
              <w:rPr>
                <w:rFonts w:ascii="Calibri" w:hAnsi="Calibri"/>
                <w:sz w:val="17"/>
              </w:rPr>
              <w:t>51.218</w:t>
            </w:r>
          </w:p>
        </w:tc>
        <w:tc>
          <w:tcPr>
            <w:tcW w:type="dxa" w:w="1378"/>
            <w:tcMar>
              <w:top w:w="80" w:type="dxa"/>
              <w:start w:w="90" w:type="dxa"/>
              <w:bottom w:w="80" w:type="dxa"/>
              <w:end w:w="90" w:type="dxa"/>
            </w:tcMar>
            <w:vAlign w:val="center"/>
          </w:tcPr>
          <w:p>
            <w:pPr>
              <w:jc w:val="center"/>
            </w:pPr>
            <w:r>
              <w:rPr>
                <w:rFonts w:ascii="Calibri" w:hAnsi="Calibri"/>
                <w:sz w:val="17"/>
              </w:rPr>
              <w:t>95.455</w:t>
            </w:r>
          </w:p>
        </w:tc>
        <w:tc>
          <w:tcPr>
            <w:tcW w:type="dxa" w:w="1378"/>
            <w:tcMar>
              <w:top w:w="80" w:type="dxa"/>
              <w:start w:w="90" w:type="dxa"/>
              <w:bottom w:w="80" w:type="dxa"/>
              <w:end w:w="90" w:type="dxa"/>
            </w:tcMar>
            <w:vAlign w:val="center"/>
          </w:tcPr>
          <w:p>
            <w:pPr>
              <w:jc w:val="center"/>
            </w:pPr>
            <w:r>
              <w:rPr>
                <w:rFonts w:ascii="Calibri" w:hAnsi="Calibri"/>
                <w:sz w:val="17"/>
              </w:rPr>
              <w:t>12.771</w:t>
            </w:r>
          </w:p>
        </w:tc>
      </w:tr>
      <w:tr>
        <w:tc>
          <w:tcPr>
            <w:tcW w:type="dxa" w:w="1378"/>
            <w:shd w:fill="EAF1F7"/>
            <w:tcMar>
              <w:top w:w="80" w:type="dxa"/>
              <w:start w:w="90" w:type="dxa"/>
              <w:bottom w:w="80" w:type="dxa"/>
              <w:end w:w="90" w:type="dxa"/>
            </w:tcMar>
            <w:vAlign w:val="center"/>
          </w:tcPr>
          <w:p>
            <w:pPr>
              <w:jc w:val="left"/>
            </w:pPr>
            <w:r>
              <w:rPr>
                <w:rFonts w:ascii="Calibri" w:hAnsi="Calibri"/>
                <w:sz w:val="17"/>
              </w:rPr>
              <w:t>House purchase share (%)</w:t>
            </w:r>
          </w:p>
        </w:tc>
        <w:tc>
          <w:tcPr>
            <w:tcW w:type="dxa" w:w="1378"/>
            <w:shd w:fill="EAF1F7"/>
            <w:tcMar>
              <w:top w:w="80" w:type="dxa"/>
              <w:start w:w="90" w:type="dxa"/>
              <w:bottom w:w="80" w:type="dxa"/>
              <w:end w:w="90" w:type="dxa"/>
            </w:tcMar>
            <w:vAlign w:val="center"/>
          </w:tcPr>
          <w:p>
            <w:pPr>
              <w:jc w:val="center"/>
            </w:pPr>
            <w:r>
              <w:rPr>
                <w:rFonts w:ascii="Calibri" w:hAnsi="Calibri"/>
                <w:sz w:val="17"/>
              </w:rPr>
              <w:t>56</w:t>
            </w:r>
          </w:p>
        </w:tc>
        <w:tc>
          <w:tcPr>
            <w:tcW w:type="dxa" w:w="1378"/>
            <w:shd w:fill="EAF1F7"/>
            <w:tcMar>
              <w:top w:w="80" w:type="dxa"/>
              <w:start w:w="90" w:type="dxa"/>
              <w:bottom w:w="80" w:type="dxa"/>
              <w:end w:w="90" w:type="dxa"/>
            </w:tcMar>
            <w:vAlign w:val="center"/>
          </w:tcPr>
          <w:p>
            <w:pPr>
              <w:jc w:val="center"/>
            </w:pPr>
            <w:r>
              <w:rPr>
                <w:rFonts w:ascii="Calibri" w:hAnsi="Calibri"/>
                <w:sz w:val="17"/>
              </w:rPr>
              <w:t>65.764</w:t>
            </w:r>
          </w:p>
        </w:tc>
        <w:tc>
          <w:tcPr>
            <w:tcW w:type="dxa" w:w="1378"/>
            <w:shd w:fill="EAF1F7"/>
            <w:tcMar>
              <w:top w:w="80" w:type="dxa"/>
              <w:start w:w="90" w:type="dxa"/>
              <w:bottom w:w="80" w:type="dxa"/>
              <w:end w:w="90" w:type="dxa"/>
            </w:tcMar>
            <w:vAlign w:val="center"/>
          </w:tcPr>
          <w:p>
            <w:pPr>
              <w:jc w:val="center"/>
            </w:pPr>
            <w:r>
              <w:rPr>
                <w:rFonts w:ascii="Calibri" w:hAnsi="Calibri"/>
                <w:sz w:val="17"/>
              </w:rPr>
              <w:t>66.078</w:t>
            </w:r>
          </w:p>
        </w:tc>
        <w:tc>
          <w:tcPr>
            <w:tcW w:type="dxa" w:w="1378"/>
            <w:shd w:fill="EAF1F7"/>
            <w:tcMar>
              <w:top w:w="80" w:type="dxa"/>
              <w:start w:w="90" w:type="dxa"/>
              <w:bottom w:w="80" w:type="dxa"/>
              <w:end w:w="90" w:type="dxa"/>
            </w:tcMar>
            <w:vAlign w:val="center"/>
          </w:tcPr>
          <w:p>
            <w:pPr>
              <w:jc w:val="center"/>
            </w:pPr>
            <w:r>
              <w:rPr>
                <w:rFonts w:ascii="Calibri" w:hAnsi="Calibri"/>
                <w:sz w:val="17"/>
              </w:rPr>
              <w:t>53.890</w:t>
            </w:r>
          </w:p>
        </w:tc>
        <w:tc>
          <w:tcPr>
            <w:tcW w:type="dxa" w:w="1378"/>
            <w:shd w:fill="EAF1F7"/>
            <w:tcMar>
              <w:top w:w="80" w:type="dxa"/>
              <w:start w:w="90" w:type="dxa"/>
              <w:bottom w:w="80" w:type="dxa"/>
              <w:end w:w="90" w:type="dxa"/>
            </w:tcMar>
            <w:vAlign w:val="center"/>
          </w:tcPr>
          <w:p>
            <w:pPr>
              <w:jc w:val="center"/>
            </w:pPr>
            <w:r>
              <w:rPr>
                <w:rFonts w:ascii="Calibri" w:hAnsi="Calibri"/>
                <w:sz w:val="17"/>
              </w:rPr>
              <w:t>77.824</w:t>
            </w:r>
          </w:p>
        </w:tc>
        <w:tc>
          <w:tcPr>
            <w:tcW w:type="dxa" w:w="1378"/>
            <w:shd w:fill="EAF1F7"/>
            <w:tcMar>
              <w:top w:w="80" w:type="dxa"/>
              <w:start w:w="90" w:type="dxa"/>
              <w:bottom w:w="80" w:type="dxa"/>
              <w:end w:w="90" w:type="dxa"/>
            </w:tcMar>
            <w:vAlign w:val="center"/>
          </w:tcPr>
          <w:p>
            <w:pPr>
              <w:jc w:val="center"/>
            </w:pPr>
            <w:r>
              <w:rPr>
                <w:rFonts w:ascii="Calibri" w:hAnsi="Calibri"/>
                <w:sz w:val="17"/>
              </w:rPr>
              <w:t>4.619</w:t>
            </w:r>
          </w:p>
        </w:tc>
      </w:tr>
      <w:tr>
        <w:tc>
          <w:tcPr>
            <w:tcW w:type="dxa" w:w="1378"/>
            <w:tcMar>
              <w:top w:w="80" w:type="dxa"/>
              <w:start w:w="90" w:type="dxa"/>
              <w:bottom w:w="80" w:type="dxa"/>
              <w:end w:w="90" w:type="dxa"/>
            </w:tcMar>
            <w:vAlign w:val="center"/>
          </w:tcPr>
          <w:p>
            <w:pPr>
              <w:jc w:val="left"/>
            </w:pPr>
            <w:r>
              <w:rPr>
                <w:rFonts w:ascii="Calibri" w:hAnsi="Calibri"/>
                <w:sz w:val="17"/>
              </w:rPr>
              <w:t>Buy-to-let share (%)</w:t>
            </w:r>
          </w:p>
        </w:tc>
        <w:tc>
          <w:tcPr>
            <w:tcW w:type="dxa" w:w="1378"/>
            <w:tcMar>
              <w:top w:w="80" w:type="dxa"/>
              <w:start w:w="90" w:type="dxa"/>
              <w:bottom w:w="80" w:type="dxa"/>
              <w:end w:w="90" w:type="dxa"/>
            </w:tcMar>
            <w:vAlign w:val="center"/>
          </w:tcPr>
          <w:p>
            <w:pPr>
              <w:jc w:val="center"/>
            </w:pPr>
            <w:r>
              <w:rPr>
                <w:rFonts w:ascii="Calibri" w:hAnsi="Calibri"/>
                <w:sz w:val="17"/>
              </w:rPr>
              <w:t>56</w:t>
            </w:r>
          </w:p>
        </w:tc>
        <w:tc>
          <w:tcPr>
            <w:tcW w:type="dxa" w:w="1378"/>
            <w:tcMar>
              <w:top w:w="80" w:type="dxa"/>
              <w:start w:w="90" w:type="dxa"/>
              <w:bottom w:w="80" w:type="dxa"/>
              <w:end w:w="90" w:type="dxa"/>
            </w:tcMar>
            <w:vAlign w:val="center"/>
          </w:tcPr>
          <w:p>
            <w:pPr>
              <w:jc w:val="center"/>
            </w:pPr>
            <w:r>
              <w:rPr>
                <w:rFonts w:ascii="Calibri" w:hAnsi="Calibri"/>
                <w:sz w:val="17"/>
              </w:rPr>
              <w:t>12.339</w:t>
            </w:r>
          </w:p>
        </w:tc>
        <w:tc>
          <w:tcPr>
            <w:tcW w:type="dxa" w:w="1378"/>
            <w:tcMar>
              <w:top w:w="80" w:type="dxa"/>
              <w:start w:w="90" w:type="dxa"/>
              <w:bottom w:w="80" w:type="dxa"/>
              <w:end w:w="90" w:type="dxa"/>
            </w:tcMar>
            <w:vAlign w:val="center"/>
          </w:tcPr>
          <w:p>
            <w:pPr>
              <w:jc w:val="center"/>
            </w:pPr>
            <w:r>
              <w:rPr>
                <w:rFonts w:ascii="Calibri" w:hAnsi="Calibri"/>
                <w:sz w:val="17"/>
              </w:rPr>
              <w:t>12.426</w:t>
            </w:r>
          </w:p>
        </w:tc>
        <w:tc>
          <w:tcPr>
            <w:tcW w:type="dxa" w:w="1378"/>
            <w:tcMar>
              <w:top w:w="80" w:type="dxa"/>
              <w:start w:w="90" w:type="dxa"/>
              <w:bottom w:w="80" w:type="dxa"/>
              <w:end w:w="90" w:type="dxa"/>
            </w:tcMar>
            <w:vAlign w:val="center"/>
          </w:tcPr>
          <w:p>
            <w:pPr>
              <w:jc w:val="center"/>
            </w:pPr>
            <w:r>
              <w:rPr>
                <w:rFonts w:ascii="Calibri" w:hAnsi="Calibri"/>
                <w:sz w:val="17"/>
              </w:rPr>
              <w:t>7.036</w:t>
            </w:r>
          </w:p>
        </w:tc>
        <w:tc>
          <w:tcPr>
            <w:tcW w:type="dxa" w:w="1378"/>
            <w:tcMar>
              <w:top w:w="80" w:type="dxa"/>
              <w:start w:w="90" w:type="dxa"/>
              <w:bottom w:w="80" w:type="dxa"/>
              <w:end w:w="90" w:type="dxa"/>
            </w:tcMar>
            <w:vAlign w:val="center"/>
          </w:tcPr>
          <w:p>
            <w:pPr>
              <w:jc w:val="center"/>
            </w:pPr>
            <w:r>
              <w:rPr>
                <w:rFonts w:ascii="Calibri" w:hAnsi="Calibri"/>
                <w:sz w:val="17"/>
              </w:rPr>
              <w:t>22.065</w:t>
            </w:r>
          </w:p>
        </w:tc>
        <w:tc>
          <w:tcPr>
            <w:tcW w:type="dxa" w:w="1378"/>
            <w:tcMar>
              <w:top w:w="80" w:type="dxa"/>
              <w:start w:w="90" w:type="dxa"/>
              <w:bottom w:w="80" w:type="dxa"/>
              <w:end w:w="90" w:type="dxa"/>
            </w:tcMar>
            <w:vAlign w:val="center"/>
          </w:tcPr>
          <w:p>
            <w:pPr>
              <w:jc w:val="center"/>
            </w:pPr>
            <w:r>
              <w:rPr>
                <w:rFonts w:ascii="Calibri" w:hAnsi="Calibri"/>
                <w:sz w:val="17"/>
              </w:rPr>
              <w:t>2.799</w:t>
            </w:r>
          </w:p>
        </w:tc>
      </w:tr>
      <w:tr>
        <w:tc>
          <w:tcPr>
            <w:tcW w:type="dxa" w:w="1378"/>
            <w:shd w:fill="EAF1F7"/>
            <w:tcMar>
              <w:top w:w="80" w:type="dxa"/>
              <w:start w:w="90" w:type="dxa"/>
              <w:bottom w:w="80" w:type="dxa"/>
              <w:end w:w="90" w:type="dxa"/>
            </w:tcMar>
            <w:vAlign w:val="center"/>
          </w:tcPr>
          <w:p>
            <w:pPr>
              <w:jc w:val="left"/>
            </w:pPr>
            <w:r>
              <w:rPr>
                <w:rFonts w:ascii="Calibri" w:hAnsi="Calibri"/>
                <w:sz w:val="17"/>
              </w:rPr>
              <w:t>Remortgage share (%)</w:t>
            </w:r>
          </w:p>
        </w:tc>
        <w:tc>
          <w:tcPr>
            <w:tcW w:type="dxa" w:w="1378"/>
            <w:shd w:fill="EAF1F7"/>
            <w:tcMar>
              <w:top w:w="80" w:type="dxa"/>
              <w:start w:w="90" w:type="dxa"/>
              <w:bottom w:w="80" w:type="dxa"/>
              <w:end w:w="90" w:type="dxa"/>
            </w:tcMar>
            <w:vAlign w:val="center"/>
          </w:tcPr>
          <w:p>
            <w:pPr>
              <w:jc w:val="center"/>
            </w:pPr>
            <w:r>
              <w:rPr>
                <w:rFonts w:ascii="Calibri" w:hAnsi="Calibri"/>
                <w:sz w:val="17"/>
              </w:rPr>
              <w:t>56</w:t>
            </w:r>
          </w:p>
        </w:tc>
        <w:tc>
          <w:tcPr>
            <w:tcW w:type="dxa" w:w="1378"/>
            <w:shd w:fill="EAF1F7"/>
            <w:tcMar>
              <w:top w:w="80" w:type="dxa"/>
              <w:start w:w="90" w:type="dxa"/>
              <w:bottom w:w="80" w:type="dxa"/>
              <w:end w:w="90" w:type="dxa"/>
            </w:tcMar>
            <w:vAlign w:val="center"/>
          </w:tcPr>
          <w:p>
            <w:pPr>
              <w:jc w:val="center"/>
            </w:pPr>
            <w:r>
              <w:rPr>
                <w:rFonts w:ascii="Calibri" w:hAnsi="Calibri"/>
                <w:sz w:val="17"/>
              </w:rPr>
              <w:t>28.096</w:t>
            </w:r>
          </w:p>
        </w:tc>
        <w:tc>
          <w:tcPr>
            <w:tcW w:type="dxa" w:w="1378"/>
            <w:shd w:fill="EAF1F7"/>
            <w:tcMar>
              <w:top w:w="80" w:type="dxa"/>
              <w:start w:w="90" w:type="dxa"/>
              <w:bottom w:w="80" w:type="dxa"/>
              <w:end w:w="90" w:type="dxa"/>
            </w:tcMar>
            <w:vAlign w:val="center"/>
          </w:tcPr>
          <w:p>
            <w:pPr>
              <w:jc w:val="center"/>
            </w:pPr>
            <w:r>
              <w:rPr>
                <w:rFonts w:ascii="Calibri" w:hAnsi="Calibri"/>
                <w:sz w:val="17"/>
              </w:rPr>
              <w:t>28.111</w:t>
            </w:r>
          </w:p>
        </w:tc>
        <w:tc>
          <w:tcPr>
            <w:tcW w:type="dxa" w:w="1378"/>
            <w:shd w:fill="EAF1F7"/>
            <w:tcMar>
              <w:top w:w="80" w:type="dxa"/>
              <w:start w:w="90" w:type="dxa"/>
              <w:bottom w:w="80" w:type="dxa"/>
              <w:end w:w="90" w:type="dxa"/>
            </w:tcMar>
            <w:vAlign w:val="center"/>
          </w:tcPr>
          <w:p>
            <w:pPr>
              <w:jc w:val="center"/>
            </w:pPr>
            <w:r>
              <w:rPr>
                <w:rFonts w:ascii="Calibri" w:hAnsi="Calibri"/>
                <w:sz w:val="17"/>
              </w:rPr>
              <w:t>16.547</w:t>
            </w:r>
          </w:p>
        </w:tc>
        <w:tc>
          <w:tcPr>
            <w:tcW w:type="dxa" w:w="1378"/>
            <w:shd w:fill="EAF1F7"/>
            <w:tcMar>
              <w:top w:w="80" w:type="dxa"/>
              <w:start w:w="90" w:type="dxa"/>
              <w:bottom w:w="80" w:type="dxa"/>
              <w:end w:w="90" w:type="dxa"/>
            </w:tcMar>
            <w:vAlign w:val="center"/>
          </w:tcPr>
          <w:p>
            <w:pPr>
              <w:jc w:val="center"/>
            </w:pPr>
            <w:r>
              <w:rPr>
                <w:rFonts w:ascii="Calibri" w:hAnsi="Calibri"/>
                <w:sz w:val="17"/>
              </w:rPr>
              <w:t>38.300</w:t>
            </w:r>
          </w:p>
        </w:tc>
        <w:tc>
          <w:tcPr>
            <w:tcW w:type="dxa" w:w="1378"/>
            <w:shd w:fill="EAF1F7"/>
            <w:tcMar>
              <w:top w:w="80" w:type="dxa"/>
              <w:start w:w="90" w:type="dxa"/>
              <w:bottom w:w="80" w:type="dxa"/>
              <w:end w:w="90" w:type="dxa"/>
            </w:tcMar>
            <w:vAlign w:val="center"/>
          </w:tcPr>
          <w:p>
            <w:pPr>
              <w:jc w:val="center"/>
            </w:pPr>
            <w:r>
              <w:rPr>
                <w:rFonts w:ascii="Calibri" w:hAnsi="Calibri"/>
                <w:sz w:val="17"/>
              </w:rPr>
              <w:t>4.342</w:t>
            </w:r>
          </w:p>
        </w:tc>
      </w:tr>
      <w:tr>
        <w:tc>
          <w:tcPr>
            <w:tcW w:type="dxa" w:w="1378"/>
            <w:tcMar>
              <w:top w:w="80" w:type="dxa"/>
              <w:start w:w="90" w:type="dxa"/>
              <w:bottom w:w="80" w:type="dxa"/>
              <w:end w:w="90" w:type="dxa"/>
            </w:tcMar>
            <w:vAlign w:val="center"/>
          </w:tcPr>
          <w:p>
            <w:pPr>
              <w:jc w:val="left"/>
            </w:pPr>
            <w:r>
              <w:rPr>
                <w:rFonts w:ascii="Calibri" w:hAnsi="Calibri"/>
                <w:sz w:val="17"/>
              </w:rPr>
              <w:t>Impaired credit history share (%)</w:t>
            </w:r>
          </w:p>
        </w:tc>
        <w:tc>
          <w:tcPr>
            <w:tcW w:type="dxa" w:w="1378"/>
            <w:tcMar>
              <w:top w:w="80" w:type="dxa"/>
              <w:start w:w="90" w:type="dxa"/>
              <w:bottom w:w="80" w:type="dxa"/>
              <w:end w:w="90" w:type="dxa"/>
            </w:tcMar>
            <w:vAlign w:val="center"/>
          </w:tcPr>
          <w:p>
            <w:pPr>
              <w:jc w:val="center"/>
            </w:pPr>
            <w:r>
              <w:rPr>
                <w:rFonts w:ascii="Calibri" w:hAnsi="Calibri"/>
                <w:sz w:val="17"/>
              </w:rPr>
              <w:t>56</w:t>
            </w:r>
          </w:p>
        </w:tc>
        <w:tc>
          <w:tcPr>
            <w:tcW w:type="dxa" w:w="1378"/>
            <w:tcMar>
              <w:top w:w="80" w:type="dxa"/>
              <w:start w:w="90" w:type="dxa"/>
              <w:bottom w:w="80" w:type="dxa"/>
              <w:end w:w="90" w:type="dxa"/>
            </w:tcMar>
            <w:vAlign w:val="center"/>
          </w:tcPr>
          <w:p>
            <w:pPr>
              <w:jc w:val="center"/>
            </w:pPr>
            <w:r>
              <w:rPr>
                <w:rFonts w:ascii="Calibri" w:hAnsi="Calibri"/>
                <w:sz w:val="17"/>
              </w:rPr>
              <w:t>0.384</w:t>
            </w:r>
          </w:p>
        </w:tc>
        <w:tc>
          <w:tcPr>
            <w:tcW w:type="dxa" w:w="1378"/>
            <w:tcMar>
              <w:top w:w="80" w:type="dxa"/>
              <w:start w:w="90" w:type="dxa"/>
              <w:bottom w:w="80" w:type="dxa"/>
              <w:end w:w="90" w:type="dxa"/>
            </w:tcMar>
            <w:vAlign w:val="center"/>
          </w:tcPr>
          <w:p>
            <w:pPr>
              <w:jc w:val="center"/>
            </w:pPr>
            <w:r>
              <w:rPr>
                <w:rFonts w:ascii="Calibri" w:hAnsi="Calibri"/>
                <w:sz w:val="17"/>
              </w:rPr>
              <w:t>0.363</w:t>
            </w:r>
          </w:p>
        </w:tc>
        <w:tc>
          <w:tcPr>
            <w:tcW w:type="dxa" w:w="1378"/>
            <w:tcMar>
              <w:top w:w="80" w:type="dxa"/>
              <w:start w:w="90" w:type="dxa"/>
              <w:bottom w:w="80" w:type="dxa"/>
              <w:end w:w="90" w:type="dxa"/>
            </w:tcMar>
            <w:vAlign w:val="center"/>
          </w:tcPr>
          <w:p>
            <w:pPr>
              <w:jc w:val="center"/>
            </w:pPr>
            <w:r>
              <w:rPr>
                <w:rFonts w:ascii="Calibri" w:hAnsi="Calibri"/>
                <w:sz w:val="17"/>
              </w:rPr>
              <w:t>0.188</w:t>
            </w:r>
          </w:p>
        </w:tc>
        <w:tc>
          <w:tcPr>
            <w:tcW w:type="dxa" w:w="1378"/>
            <w:tcMar>
              <w:top w:w="80" w:type="dxa"/>
              <w:start w:w="90" w:type="dxa"/>
              <w:bottom w:w="80" w:type="dxa"/>
              <w:end w:w="90" w:type="dxa"/>
            </w:tcMar>
            <w:vAlign w:val="center"/>
          </w:tcPr>
          <w:p>
            <w:pPr>
              <w:jc w:val="center"/>
            </w:pPr>
            <w:r>
              <w:rPr>
                <w:rFonts w:ascii="Calibri" w:hAnsi="Calibri"/>
                <w:sz w:val="17"/>
              </w:rPr>
              <w:t>0.744</w:t>
            </w:r>
          </w:p>
        </w:tc>
        <w:tc>
          <w:tcPr>
            <w:tcW w:type="dxa" w:w="1378"/>
            <w:tcMar>
              <w:top w:w="80" w:type="dxa"/>
              <w:start w:w="90" w:type="dxa"/>
              <w:bottom w:w="80" w:type="dxa"/>
              <w:end w:w="90" w:type="dxa"/>
            </w:tcMar>
            <w:vAlign w:val="center"/>
          </w:tcPr>
          <w:p>
            <w:pPr>
              <w:jc w:val="center"/>
            </w:pPr>
            <w:r>
              <w:rPr>
                <w:rFonts w:ascii="Calibri" w:hAnsi="Calibri"/>
                <w:sz w:val="17"/>
              </w:rPr>
              <w:t>0.158</w:t>
            </w:r>
          </w:p>
        </w:tc>
      </w:tr>
      <w:tr>
        <w:tc>
          <w:tcPr>
            <w:tcW w:type="dxa" w:w="1378"/>
            <w:shd w:fill="EAF1F7"/>
            <w:tcMar>
              <w:top w:w="80" w:type="dxa"/>
              <w:start w:w="90" w:type="dxa"/>
              <w:bottom w:w="80" w:type="dxa"/>
              <w:end w:w="90" w:type="dxa"/>
            </w:tcMar>
            <w:vAlign w:val="center"/>
          </w:tcPr>
          <w:p>
            <w:pPr>
              <w:jc w:val="left"/>
            </w:pPr>
            <w:r>
              <w:rPr>
                <w:rFonts w:ascii="Calibri" w:hAnsi="Calibri"/>
                <w:sz w:val="17"/>
              </w:rPr>
              <w:t>LTV &gt; 90% share (%)</w:t>
            </w:r>
          </w:p>
        </w:tc>
        <w:tc>
          <w:tcPr>
            <w:tcW w:type="dxa" w:w="1378"/>
            <w:shd w:fill="EAF1F7"/>
            <w:tcMar>
              <w:top w:w="80" w:type="dxa"/>
              <w:start w:w="90" w:type="dxa"/>
              <w:bottom w:w="80" w:type="dxa"/>
              <w:end w:w="90" w:type="dxa"/>
            </w:tcMar>
            <w:vAlign w:val="center"/>
          </w:tcPr>
          <w:p>
            <w:pPr>
              <w:jc w:val="center"/>
            </w:pPr>
            <w:r>
              <w:rPr>
                <w:rFonts w:ascii="Calibri" w:hAnsi="Calibri"/>
                <w:sz w:val="17"/>
              </w:rPr>
              <w:t>56</w:t>
            </w:r>
          </w:p>
        </w:tc>
        <w:tc>
          <w:tcPr>
            <w:tcW w:type="dxa" w:w="1378"/>
            <w:shd w:fill="EAF1F7"/>
            <w:tcMar>
              <w:top w:w="80" w:type="dxa"/>
              <w:start w:w="90" w:type="dxa"/>
              <w:bottom w:w="80" w:type="dxa"/>
              <w:end w:w="90" w:type="dxa"/>
            </w:tcMar>
            <w:vAlign w:val="center"/>
          </w:tcPr>
          <w:p>
            <w:pPr>
              <w:jc w:val="center"/>
            </w:pPr>
            <w:r>
              <w:rPr>
                <w:rFonts w:ascii="Calibri" w:hAnsi="Calibri"/>
                <w:sz w:val="17"/>
              </w:rPr>
              <w:t>2.758</w:t>
            </w:r>
          </w:p>
        </w:tc>
        <w:tc>
          <w:tcPr>
            <w:tcW w:type="dxa" w:w="1378"/>
            <w:shd w:fill="EAF1F7"/>
            <w:tcMar>
              <w:top w:w="80" w:type="dxa"/>
              <w:start w:w="90" w:type="dxa"/>
              <w:bottom w:w="80" w:type="dxa"/>
              <w:end w:w="90" w:type="dxa"/>
            </w:tcMar>
            <w:vAlign w:val="center"/>
          </w:tcPr>
          <w:p>
            <w:pPr>
              <w:jc w:val="center"/>
            </w:pPr>
            <w:r>
              <w:rPr>
                <w:rFonts w:ascii="Calibri" w:hAnsi="Calibri"/>
                <w:sz w:val="17"/>
              </w:rPr>
              <w:t>3.038</w:t>
            </w:r>
          </w:p>
        </w:tc>
        <w:tc>
          <w:tcPr>
            <w:tcW w:type="dxa" w:w="1378"/>
            <w:shd w:fill="EAF1F7"/>
            <w:tcMar>
              <w:top w:w="80" w:type="dxa"/>
              <w:start w:w="90" w:type="dxa"/>
              <w:bottom w:w="80" w:type="dxa"/>
              <w:end w:w="90" w:type="dxa"/>
            </w:tcMar>
            <w:vAlign w:val="center"/>
          </w:tcPr>
          <w:p>
            <w:pPr>
              <w:jc w:val="center"/>
            </w:pPr>
            <w:r>
              <w:rPr>
                <w:rFonts w:ascii="Calibri" w:hAnsi="Calibri"/>
                <w:sz w:val="17"/>
              </w:rPr>
              <w:t>0.821</w:t>
            </w:r>
          </w:p>
        </w:tc>
        <w:tc>
          <w:tcPr>
            <w:tcW w:type="dxa" w:w="1378"/>
            <w:shd w:fill="EAF1F7"/>
            <w:tcMar>
              <w:top w:w="80" w:type="dxa"/>
              <w:start w:w="90" w:type="dxa"/>
              <w:bottom w:w="80" w:type="dxa"/>
              <w:end w:w="90" w:type="dxa"/>
            </w:tcMar>
            <w:vAlign w:val="center"/>
          </w:tcPr>
          <w:p>
            <w:pPr>
              <w:jc w:val="center"/>
            </w:pPr>
            <w:r>
              <w:rPr>
                <w:rFonts w:ascii="Calibri" w:hAnsi="Calibri"/>
                <w:sz w:val="17"/>
              </w:rPr>
              <w:t>4.763</w:t>
            </w:r>
          </w:p>
        </w:tc>
        <w:tc>
          <w:tcPr>
            <w:tcW w:type="dxa" w:w="1378"/>
            <w:shd w:fill="EAF1F7"/>
            <w:tcMar>
              <w:top w:w="80" w:type="dxa"/>
              <w:start w:w="90" w:type="dxa"/>
              <w:bottom w:w="80" w:type="dxa"/>
              <w:end w:w="90" w:type="dxa"/>
            </w:tcMar>
            <w:vAlign w:val="center"/>
          </w:tcPr>
          <w:p>
            <w:pPr>
              <w:jc w:val="center"/>
            </w:pPr>
            <w:r>
              <w:rPr>
                <w:rFonts w:ascii="Calibri" w:hAnsi="Calibri"/>
                <w:sz w:val="17"/>
              </w:rPr>
              <w:t>1.117</w:t>
            </w:r>
          </w:p>
        </w:tc>
      </w:tr>
    </w:tbl>
    <w:p>
      <w:r>
        <w:t>At the annual level, the early 2010s were clearly the high-stress phase of the sample. In 2011, the average serious arrears rate was 1.959% and total new possessions reached 37,723. By 2020, the average serious arrears rate had fallen to 0.682% and new possessions to 2,835, indicating a marked moderation in mortgage stress before the later-sample uptick captured in the forecasting holdout period.</w:t>
      </w:r>
    </w:p>
    <w:p>
      <w:pPr>
        <w:pStyle w:val="Heading1"/>
        <w:keepNext/>
      </w:pPr>
      <w:r>
        <w:t>5. Correlation evidence</w:t>
      </w:r>
    </w:p>
    <w:p>
      <w:r>
        <w:t>The correlation evidence indicates that the mortgage-stress variables are tightly interlinked. Serious arrears and total arrears are almost perfectly correlated (0.9968), while both are also strongly positively related to stock possessions and new possessions. Fixed-rate share and aggregate lending activity are strongly negatively correlated with stress outcomes, whereas high-risk leverage measures remain positively associated with stress.</w:t>
      </w:r>
    </w:p>
    <w:p>
      <w:pPr>
        <w:pStyle w:val="Heading2"/>
        <w:keepNext/>
      </w:pPr>
      <w:r>
        <w:t>Table 3. Selected strongest correlations with the main stress outcomes</w:t>
      </w:r>
    </w:p>
    <w:tbl>
      <w:tblPr>
        <w:tblStyle w:val="TableGrid"/>
        <w:tblW w:type="auto" w:w="0"/>
        <w:jc w:val="center"/>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216"/>
        <w:gridCol w:w="3216"/>
        <w:gridCol w:w="3216"/>
      </w:tblGrid>
      <w:tr>
        <w:trPr>
          <w:tblHeader w:val="true"/>
        </w:trPr>
        <w:tc>
          <w:tcPr>
            <w:tcW w:type="dxa" w:w="3216"/>
            <w:shd w:fill="1F4E78"/>
            <w:tcMar>
              <w:top w:w="80" w:type="dxa"/>
              <w:start w:w="90" w:type="dxa"/>
              <w:bottom w:w="80" w:type="dxa"/>
              <w:end w:w="90" w:type="dxa"/>
            </w:tcMar>
            <w:vAlign w:val="center"/>
          </w:tcPr>
          <w:p>
            <w:pPr>
              <w:jc w:val="center"/>
            </w:pPr>
            <w:r>
              <w:rPr>
                <w:rFonts w:ascii="Calibri" w:hAnsi="Calibri"/>
                <w:b/>
                <w:color w:val="FFFFFF"/>
                <w:sz w:val="18"/>
              </w:rPr>
              <w:t>Target outcome</w:t>
            </w:r>
          </w:p>
        </w:tc>
        <w:tc>
          <w:tcPr>
            <w:tcW w:type="dxa" w:w="3216"/>
            <w:shd w:fill="1F4E78"/>
            <w:tcMar>
              <w:top w:w="80" w:type="dxa"/>
              <w:start w:w="90" w:type="dxa"/>
              <w:bottom w:w="80" w:type="dxa"/>
              <w:end w:w="90" w:type="dxa"/>
            </w:tcMar>
            <w:vAlign w:val="center"/>
          </w:tcPr>
          <w:p>
            <w:pPr>
              <w:jc w:val="center"/>
            </w:pPr>
            <w:r>
              <w:rPr>
                <w:rFonts w:ascii="Calibri" w:hAnsi="Calibri"/>
                <w:b/>
                <w:color w:val="FFFFFF"/>
                <w:sz w:val="18"/>
              </w:rPr>
              <w:t>Correlated variable</w:t>
            </w:r>
          </w:p>
        </w:tc>
        <w:tc>
          <w:tcPr>
            <w:tcW w:type="dxa" w:w="3216"/>
            <w:shd w:fill="1F4E78"/>
            <w:tcMar>
              <w:top w:w="80" w:type="dxa"/>
              <w:start w:w="90" w:type="dxa"/>
              <w:bottom w:w="80" w:type="dxa"/>
              <w:end w:w="90" w:type="dxa"/>
            </w:tcMar>
            <w:vAlign w:val="center"/>
          </w:tcPr>
          <w:p>
            <w:pPr>
              <w:jc w:val="center"/>
            </w:pPr>
            <w:r>
              <w:rPr>
                <w:rFonts w:ascii="Calibri" w:hAnsi="Calibri"/>
                <w:b/>
                <w:color w:val="FFFFFF"/>
                <w:sz w:val="18"/>
              </w:rPr>
              <w:t>Pearson r</w:t>
            </w:r>
          </w:p>
        </w:tc>
      </w:tr>
      <w:tr>
        <w:tc>
          <w:tcPr>
            <w:tcW w:type="dxa" w:w="3216"/>
            <w:tcMar>
              <w:top w:w="80" w:type="dxa"/>
              <w:start w:w="90" w:type="dxa"/>
              <w:bottom w:w="80" w:type="dxa"/>
              <w:end w:w="90" w:type="dxa"/>
            </w:tcMar>
            <w:vAlign w:val="center"/>
          </w:tcPr>
          <w:p>
            <w:pPr>
              <w:jc w:val="left"/>
            </w:pPr>
            <w:r>
              <w:rPr>
                <w:rFonts w:ascii="Calibri" w:hAnsi="Calibri"/>
                <w:sz w:val="18"/>
              </w:rPr>
              <w:t>Serious arrears</w:t>
            </w:r>
          </w:p>
        </w:tc>
        <w:tc>
          <w:tcPr>
            <w:tcW w:type="dxa" w:w="3216"/>
            <w:tcMar>
              <w:top w:w="80" w:type="dxa"/>
              <w:start w:w="90" w:type="dxa"/>
              <w:bottom w:w="80" w:type="dxa"/>
              <w:end w:w="90" w:type="dxa"/>
            </w:tcMar>
            <w:vAlign w:val="center"/>
          </w:tcPr>
          <w:p>
            <w:pPr>
              <w:jc w:val="center"/>
            </w:pPr>
            <w:r>
              <w:rPr>
                <w:rFonts w:ascii="Calibri" w:hAnsi="Calibri"/>
                <w:sz w:val="18"/>
              </w:rPr>
              <w:t>Total arrears rate</w:t>
            </w:r>
          </w:p>
        </w:tc>
        <w:tc>
          <w:tcPr>
            <w:tcW w:type="dxa" w:w="3216"/>
            <w:tcMar>
              <w:top w:w="80" w:type="dxa"/>
              <w:start w:w="90" w:type="dxa"/>
              <w:bottom w:w="80" w:type="dxa"/>
              <w:end w:w="90" w:type="dxa"/>
            </w:tcMar>
            <w:vAlign w:val="center"/>
          </w:tcPr>
          <w:p>
            <w:pPr>
              <w:jc w:val="center"/>
            </w:pPr>
            <w:r>
              <w:rPr>
                <w:rFonts w:ascii="Calibri" w:hAnsi="Calibri"/>
                <w:sz w:val="18"/>
              </w:rPr>
              <w:t>0.996751</w:t>
            </w:r>
          </w:p>
        </w:tc>
      </w:tr>
      <w:tr>
        <w:tc>
          <w:tcPr>
            <w:tcW w:type="dxa" w:w="3216"/>
            <w:shd w:fill="EAF1F7"/>
            <w:tcMar>
              <w:top w:w="80" w:type="dxa"/>
              <w:start w:w="90" w:type="dxa"/>
              <w:bottom w:w="80" w:type="dxa"/>
              <w:end w:w="90" w:type="dxa"/>
            </w:tcMar>
            <w:vAlign w:val="center"/>
          </w:tcPr>
          <w:p>
            <w:pPr>
              <w:jc w:val="left"/>
            </w:pPr>
            <w:r>
              <w:rPr>
                <w:rFonts w:ascii="Calibri" w:hAnsi="Calibri"/>
                <w:sz w:val="18"/>
              </w:rPr>
              <w:t>Serious arrears</w:t>
            </w:r>
          </w:p>
        </w:tc>
        <w:tc>
          <w:tcPr>
            <w:tcW w:type="dxa" w:w="3216"/>
            <w:shd w:fill="EAF1F7"/>
            <w:tcMar>
              <w:top w:w="80" w:type="dxa"/>
              <w:start w:w="90" w:type="dxa"/>
              <w:bottom w:w="80" w:type="dxa"/>
              <w:end w:w="90" w:type="dxa"/>
            </w:tcMar>
            <w:vAlign w:val="center"/>
          </w:tcPr>
          <w:p>
            <w:pPr>
              <w:jc w:val="center"/>
            </w:pPr>
            <w:r>
              <w:rPr>
                <w:rFonts w:ascii="Calibri" w:hAnsi="Calibri"/>
                <w:sz w:val="18"/>
              </w:rPr>
              <w:t>Stock of possessions</w:t>
            </w:r>
          </w:p>
        </w:tc>
        <w:tc>
          <w:tcPr>
            <w:tcW w:type="dxa" w:w="3216"/>
            <w:shd w:fill="EAF1F7"/>
            <w:tcMar>
              <w:top w:w="80" w:type="dxa"/>
              <w:start w:w="90" w:type="dxa"/>
              <w:bottom w:w="80" w:type="dxa"/>
              <w:end w:w="90" w:type="dxa"/>
            </w:tcMar>
            <w:vAlign w:val="center"/>
          </w:tcPr>
          <w:p>
            <w:pPr>
              <w:jc w:val="center"/>
            </w:pPr>
            <w:r>
              <w:rPr>
                <w:rFonts w:ascii="Calibri" w:hAnsi="Calibri"/>
                <w:sz w:val="18"/>
              </w:rPr>
              <w:t>0.979572</w:t>
            </w:r>
          </w:p>
        </w:tc>
      </w:tr>
      <w:tr>
        <w:tc>
          <w:tcPr>
            <w:tcW w:type="dxa" w:w="3216"/>
            <w:tcMar>
              <w:top w:w="80" w:type="dxa"/>
              <w:start w:w="90" w:type="dxa"/>
              <w:bottom w:w="80" w:type="dxa"/>
              <w:end w:w="90" w:type="dxa"/>
            </w:tcMar>
            <w:vAlign w:val="center"/>
          </w:tcPr>
          <w:p>
            <w:pPr>
              <w:jc w:val="left"/>
            </w:pPr>
            <w:r>
              <w:rPr>
                <w:rFonts w:ascii="Calibri" w:hAnsi="Calibri"/>
                <w:sz w:val="18"/>
              </w:rPr>
              <w:t>Serious arrears</w:t>
            </w:r>
          </w:p>
        </w:tc>
        <w:tc>
          <w:tcPr>
            <w:tcW w:type="dxa" w:w="3216"/>
            <w:tcMar>
              <w:top w:w="80" w:type="dxa"/>
              <w:start w:w="90" w:type="dxa"/>
              <w:bottom w:w="80" w:type="dxa"/>
              <w:end w:w="90" w:type="dxa"/>
            </w:tcMar>
            <w:vAlign w:val="center"/>
          </w:tcPr>
          <w:p>
            <w:pPr>
              <w:jc w:val="center"/>
            </w:pPr>
            <w:r>
              <w:rPr>
                <w:rFonts w:ascii="Calibri" w:hAnsi="Calibri"/>
                <w:sz w:val="18"/>
              </w:rPr>
              <w:t>New possessions</w:t>
            </w:r>
          </w:p>
        </w:tc>
        <w:tc>
          <w:tcPr>
            <w:tcW w:type="dxa" w:w="3216"/>
            <w:tcMar>
              <w:top w:w="80" w:type="dxa"/>
              <w:start w:w="90" w:type="dxa"/>
              <w:bottom w:w="80" w:type="dxa"/>
              <w:end w:w="90" w:type="dxa"/>
            </w:tcMar>
            <w:vAlign w:val="center"/>
          </w:tcPr>
          <w:p>
            <w:pPr>
              <w:jc w:val="center"/>
            </w:pPr>
            <w:r>
              <w:rPr>
                <w:rFonts w:ascii="Calibri" w:hAnsi="Calibri"/>
                <w:sz w:val="18"/>
              </w:rPr>
              <w:t>0.969003</w:t>
            </w:r>
          </w:p>
        </w:tc>
      </w:tr>
      <w:tr>
        <w:tc>
          <w:tcPr>
            <w:tcW w:type="dxa" w:w="3216"/>
            <w:shd w:fill="EAF1F7"/>
            <w:tcMar>
              <w:top w:w="80" w:type="dxa"/>
              <w:start w:w="90" w:type="dxa"/>
              <w:bottom w:w="80" w:type="dxa"/>
              <w:end w:w="90" w:type="dxa"/>
            </w:tcMar>
            <w:vAlign w:val="center"/>
          </w:tcPr>
          <w:p>
            <w:pPr>
              <w:jc w:val="left"/>
            </w:pPr>
            <w:r>
              <w:rPr>
                <w:rFonts w:ascii="Calibri" w:hAnsi="Calibri"/>
                <w:sz w:val="18"/>
              </w:rPr>
              <w:t>Serious arrears</w:t>
            </w:r>
          </w:p>
        </w:tc>
        <w:tc>
          <w:tcPr>
            <w:tcW w:type="dxa" w:w="3216"/>
            <w:shd w:fill="EAF1F7"/>
            <w:tcMar>
              <w:top w:w="80" w:type="dxa"/>
              <w:start w:w="90" w:type="dxa"/>
              <w:bottom w:w="80" w:type="dxa"/>
              <w:end w:w="90" w:type="dxa"/>
            </w:tcMar>
            <w:vAlign w:val="center"/>
          </w:tcPr>
          <w:p>
            <w:pPr>
              <w:jc w:val="center"/>
            </w:pPr>
            <w:r>
              <w:rPr>
                <w:rFonts w:ascii="Calibri" w:hAnsi="Calibri"/>
                <w:sz w:val="18"/>
              </w:rPr>
              <w:t>Fixed-rate share</w:t>
            </w:r>
          </w:p>
        </w:tc>
        <w:tc>
          <w:tcPr>
            <w:tcW w:type="dxa" w:w="3216"/>
            <w:shd w:fill="EAF1F7"/>
            <w:tcMar>
              <w:top w:w="80" w:type="dxa"/>
              <w:start w:w="90" w:type="dxa"/>
              <w:bottom w:w="80" w:type="dxa"/>
              <w:end w:w="90" w:type="dxa"/>
            </w:tcMar>
            <w:vAlign w:val="center"/>
          </w:tcPr>
          <w:p>
            <w:pPr>
              <w:jc w:val="center"/>
            </w:pPr>
            <w:r>
              <w:rPr>
                <w:rFonts w:ascii="Calibri" w:hAnsi="Calibri"/>
                <w:sz w:val="18"/>
              </w:rPr>
              <w:t>-0.925592</w:t>
            </w:r>
          </w:p>
        </w:tc>
      </w:tr>
      <w:tr>
        <w:tc>
          <w:tcPr>
            <w:tcW w:type="dxa" w:w="3216"/>
            <w:tcMar>
              <w:top w:w="80" w:type="dxa"/>
              <w:start w:w="90" w:type="dxa"/>
              <w:bottom w:w="80" w:type="dxa"/>
              <w:end w:w="90" w:type="dxa"/>
            </w:tcMar>
            <w:vAlign w:val="center"/>
          </w:tcPr>
          <w:p>
            <w:pPr>
              <w:jc w:val="left"/>
            </w:pPr>
            <w:r>
              <w:rPr>
                <w:rFonts w:ascii="Calibri" w:hAnsi="Calibri"/>
                <w:sz w:val="18"/>
              </w:rPr>
              <w:t>Serious arrears</w:t>
            </w:r>
          </w:p>
        </w:tc>
        <w:tc>
          <w:tcPr>
            <w:tcW w:type="dxa" w:w="3216"/>
            <w:tcMar>
              <w:top w:w="80" w:type="dxa"/>
              <w:start w:w="90" w:type="dxa"/>
              <w:bottom w:w="80" w:type="dxa"/>
              <w:end w:w="90" w:type="dxa"/>
            </w:tcMar>
            <w:vAlign w:val="center"/>
          </w:tcPr>
          <w:p>
            <w:pPr>
              <w:jc w:val="center"/>
            </w:pPr>
            <w:r>
              <w:rPr>
                <w:rFonts w:ascii="Calibri" w:hAnsi="Calibri"/>
                <w:sz w:val="18"/>
              </w:rPr>
              <w:t>Gross advances</w:t>
            </w:r>
          </w:p>
        </w:tc>
        <w:tc>
          <w:tcPr>
            <w:tcW w:type="dxa" w:w="3216"/>
            <w:tcMar>
              <w:top w:w="80" w:type="dxa"/>
              <w:start w:w="90" w:type="dxa"/>
              <w:bottom w:w="80" w:type="dxa"/>
              <w:end w:w="90" w:type="dxa"/>
            </w:tcMar>
            <w:vAlign w:val="center"/>
          </w:tcPr>
          <w:p>
            <w:pPr>
              <w:jc w:val="center"/>
            </w:pPr>
            <w:r>
              <w:rPr>
                <w:rFonts w:ascii="Calibri" w:hAnsi="Calibri"/>
                <w:sz w:val="18"/>
              </w:rPr>
              <w:t>-0.842382</w:t>
            </w:r>
          </w:p>
        </w:tc>
      </w:tr>
      <w:tr>
        <w:tc>
          <w:tcPr>
            <w:tcW w:type="dxa" w:w="3216"/>
            <w:shd w:fill="EAF1F7"/>
            <w:tcMar>
              <w:top w:w="80" w:type="dxa"/>
              <w:start w:w="90" w:type="dxa"/>
              <w:bottom w:w="80" w:type="dxa"/>
              <w:end w:w="90" w:type="dxa"/>
            </w:tcMar>
            <w:vAlign w:val="center"/>
          </w:tcPr>
          <w:p>
            <w:pPr>
              <w:jc w:val="left"/>
            </w:pPr>
            <w:r>
              <w:rPr>
                <w:rFonts w:ascii="Calibri" w:hAnsi="Calibri"/>
                <w:sz w:val="18"/>
              </w:rPr>
              <w:t>Serious arrears</w:t>
            </w:r>
          </w:p>
        </w:tc>
        <w:tc>
          <w:tcPr>
            <w:tcW w:type="dxa" w:w="3216"/>
            <w:shd w:fill="EAF1F7"/>
            <w:tcMar>
              <w:top w:w="80" w:type="dxa"/>
              <w:start w:w="90" w:type="dxa"/>
              <w:bottom w:w="80" w:type="dxa"/>
              <w:end w:w="90" w:type="dxa"/>
            </w:tcMar>
            <w:vAlign w:val="center"/>
          </w:tcPr>
          <w:p>
            <w:pPr>
              <w:jc w:val="center"/>
            </w:pPr>
            <w:r>
              <w:rPr>
                <w:rFonts w:ascii="Calibri" w:hAnsi="Calibri"/>
                <w:sz w:val="18"/>
              </w:rPr>
              <w:t>LTV &gt; 95% share</w:t>
            </w:r>
          </w:p>
        </w:tc>
        <w:tc>
          <w:tcPr>
            <w:tcW w:type="dxa" w:w="3216"/>
            <w:shd w:fill="EAF1F7"/>
            <w:tcMar>
              <w:top w:w="80" w:type="dxa"/>
              <w:start w:w="90" w:type="dxa"/>
              <w:bottom w:w="80" w:type="dxa"/>
              <w:end w:w="90" w:type="dxa"/>
            </w:tcMar>
            <w:vAlign w:val="center"/>
          </w:tcPr>
          <w:p>
            <w:pPr>
              <w:jc w:val="center"/>
            </w:pPr>
            <w:r>
              <w:rPr>
                <w:rFonts w:ascii="Calibri" w:hAnsi="Calibri"/>
                <w:sz w:val="18"/>
              </w:rPr>
              <w:t>0.767929</w:t>
            </w:r>
          </w:p>
        </w:tc>
      </w:tr>
      <w:tr>
        <w:tc>
          <w:tcPr>
            <w:tcW w:type="dxa" w:w="3216"/>
            <w:tcMar>
              <w:top w:w="80" w:type="dxa"/>
              <w:start w:w="90" w:type="dxa"/>
              <w:bottom w:w="80" w:type="dxa"/>
              <w:end w:w="90" w:type="dxa"/>
            </w:tcMar>
            <w:vAlign w:val="center"/>
          </w:tcPr>
          <w:p>
            <w:pPr>
              <w:jc w:val="left"/>
            </w:pPr>
            <w:r>
              <w:rPr>
                <w:rFonts w:ascii="Calibri" w:hAnsi="Calibri"/>
                <w:sz w:val="18"/>
              </w:rPr>
              <w:t>New possessions</w:t>
            </w:r>
          </w:p>
        </w:tc>
        <w:tc>
          <w:tcPr>
            <w:tcW w:type="dxa" w:w="3216"/>
            <w:tcMar>
              <w:top w:w="80" w:type="dxa"/>
              <w:start w:w="90" w:type="dxa"/>
              <w:bottom w:w="80" w:type="dxa"/>
              <w:end w:w="90" w:type="dxa"/>
            </w:tcMar>
            <w:vAlign w:val="center"/>
          </w:tcPr>
          <w:p>
            <w:pPr>
              <w:jc w:val="center"/>
            </w:pPr>
            <w:r>
              <w:rPr>
                <w:rFonts w:ascii="Calibri" w:hAnsi="Calibri"/>
                <w:sz w:val="18"/>
              </w:rPr>
              <w:t>Stock of possessions</w:t>
            </w:r>
          </w:p>
        </w:tc>
        <w:tc>
          <w:tcPr>
            <w:tcW w:type="dxa" w:w="3216"/>
            <w:tcMar>
              <w:top w:w="80" w:type="dxa"/>
              <w:start w:w="90" w:type="dxa"/>
              <w:bottom w:w="80" w:type="dxa"/>
              <w:end w:w="90" w:type="dxa"/>
            </w:tcMar>
            <w:vAlign w:val="center"/>
          </w:tcPr>
          <w:p>
            <w:pPr>
              <w:jc w:val="center"/>
            </w:pPr>
            <w:r>
              <w:rPr>
                <w:rFonts w:ascii="Calibri" w:hAnsi="Calibri"/>
                <w:sz w:val="18"/>
              </w:rPr>
              <w:t>0.979355</w:t>
            </w:r>
          </w:p>
        </w:tc>
      </w:tr>
      <w:tr>
        <w:tc>
          <w:tcPr>
            <w:tcW w:type="dxa" w:w="3216"/>
            <w:shd w:fill="EAF1F7"/>
            <w:tcMar>
              <w:top w:w="80" w:type="dxa"/>
              <w:start w:w="90" w:type="dxa"/>
              <w:bottom w:w="80" w:type="dxa"/>
              <w:end w:w="90" w:type="dxa"/>
            </w:tcMar>
            <w:vAlign w:val="center"/>
          </w:tcPr>
          <w:p>
            <w:pPr>
              <w:jc w:val="left"/>
            </w:pPr>
            <w:r>
              <w:rPr>
                <w:rFonts w:ascii="Calibri" w:hAnsi="Calibri"/>
                <w:sz w:val="18"/>
              </w:rPr>
              <w:t>New possessions</w:t>
            </w:r>
          </w:p>
        </w:tc>
        <w:tc>
          <w:tcPr>
            <w:tcW w:type="dxa" w:w="3216"/>
            <w:shd w:fill="EAF1F7"/>
            <w:tcMar>
              <w:top w:w="80" w:type="dxa"/>
              <w:start w:w="90" w:type="dxa"/>
              <w:bottom w:w="80" w:type="dxa"/>
              <w:end w:w="90" w:type="dxa"/>
            </w:tcMar>
            <w:vAlign w:val="center"/>
          </w:tcPr>
          <w:p>
            <w:pPr>
              <w:jc w:val="center"/>
            </w:pPr>
            <w:r>
              <w:rPr>
                <w:rFonts w:ascii="Calibri" w:hAnsi="Calibri"/>
                <w:sz w:val="18"/>
              </w:rPr>
              <w:t>Total arrears rate</w:t>
            </w:r>
          </w:p>
        </w:tc>
        <w:tc>
          <w:tcPr>
            <w:tcW w:type="dxa" w:w="3216"/>
            <w:shd w:fill="EAF1F7"/>
            <w:tcMar>
              <w:top w:w="80" w:type="dxa"/>
              <w:start w:w="90" w:type="dxa"/>
              <w:bottom w:w="80" w:type="dxa"/>
              <w:end w:w="90" w:type="dxa"/>
            </w:tcMar>
            <w:vAlign w:val="center"/>
          </w:tcPr>
          <w:p>
            <w:pPr>
              <w:jc w:val="center"/>
            </w:pPr>
            <w:r>
              <w:rPr>
                <w:rFonts w:ascii="Calibri" w:hAnsi="Calibri"/>
                <w:sz w:val="18"/>
              </w:rPr>
              <w:t>0.976079</w:t>
            </w:r>
          </w:p>
        </w:tc>
      </w:tr>
      <w:tr>
        <w:tc>
          <w:tcPr>
            <w:tcW w:type="dxa" w:w="3216"/>
            <w:tcMar>
              <w:top w:w="80" w:type="dxa"/>
              <w:start w:w="90" w:type="dxa"/>
              <w:bottom w:w="80" w:type="dxa"/>
              <w:end w:w="90" w:type="dxa"/>
            </w:tcMar>
            <w:vAlign w:val="center"/>
          </w:tcPr>
          <w:p>
            <w:pPr>
              <w:jc w:val="left"/>
            </w:pPr>
            <w:r>
              <w:rPr>
                <w:rFonts w:ascii="Calibri" w:hAnsi="Calibri"/>
                <w:sz w:val="18"/>
              </w:rPr>
              <w:t>New possessions</w:t>
            </w:r>
          </w:p>
        </w:tc>
        <w:tc>
          <w:tcPr>
            <w:tcW w:type="dxa" w:w="3216"/>
            <w:tcMar>
              <w:top w:w="80" w:type="dxa"/>
              <w:start w:w="90" w:type="dxa"/>
              <w:bottom w:w="80" w:type="dxa"/>
              <w:end w:w="90" w:type="dxa"/>
            </w:tcMar>
            <w:vAlign w:val="center"/>
          </w:tcPr>
          <w:p>
            <w:pPr>
              <w:jc w:val="center"/>
            </w:pPr>
            <w:r>
              <w:rPr>
                <w:rFonts w:ascii="Calibri" w:hAnsi="Calibri"/>
                <w:sz w:val="18"/>
              </w:rPr>
              <w:t>Serious arrears</w:t>
            </w:r>
          </w:p>
        </w:tc>
        <w:tc>
          <w:tcPr>
            <w:tcW w:type="dxa" w:w="3216"/>
            <w:tcMar>
              <w:top w:w="80" w:type="dxa"/>
              <w:start w:w="90" w:type="dxa"/>
              <w:bottom w:w="80" w:type="dxa"/>
              <w:end w:w="90" w:type="dxa"/>
            </w:tcMar>
            <w:vAlign w:val="center"/>
          </w:tcPr>
          <w:p>
            <w:pPr>
              <w:jc w:val="center"/>
            </w:pPr>
            <w:r>
              <w:rPr>
                <w:rFonts w:ascii="Calibri" w:hAnsi="Calibri"/>
                <w:sz w:val="18"/>
              </w:rPr>
              <w:t>0.969003</w:t>
            </w:r>
          </w:p>
        </w:tc>
      </w:tr>
      <w:tr>
        <w:tc>
          <w:tcPr>
            <w:tcW w:type="dxa" w:w="3216"/>
            <w:shd w:fill="EAF1F7"/>
            <w:tcMar>
              <w:top w:w="80" w:type="dxa"/>
              <w:start w:w="90" w:type="dxa"/>
              <w:bottom w:w="80" w:type="dxa"/>
              <w:end w:w="90" w:type="dxa"/>
            </w:tcMar>
            <w:vAlign w:val="center"/>
          </w:tcPr>
          <w:p>
            <w:pPr>
              <w:jc w:val="left"/>
            </w:pPr>
            <w:r>
              <w:rPr>
                <w:rFonts w:ascii="Calibri" w:hAnsi="Calibri"/>
                <w:sz w:val="18"/>
              </w:rPr>
              <w:t>New possessions</w:t>
            </w:r>
          </w:p>
        </w:tc>
        <w:tc>
          <w:tcPr>
            <w:tcW w:type="dxa" w:w="3216"/>
            <w:shd w:fill="EAF1F7"/>
            <w:tcMar>
              <w:top w:w="80" w:type="dxa"/>
              <w:start w:w="90" w:type="dxa"/>
              <w:bottom w:w="80" w:type="dxa"/>
              <w:end w:w="90" w:type="dxa"/>
            </w:tcMar>
            <w:vAlign w:val="center"/>
          </w:tcPr>
          <w:p>
            <w:pPr>
              <w:jc w:val="center"/>
            </w:pPr>
            <w:r>
              <w:rPr>
                <w:rFonts w:ascii="Calibri" w:hAnsi="Calibri"/>
                <w:sz w:val="18"/>
              </w:rPr>
              <w:t>Fixed-rate share</w:t>
            </w:r>
          </w:p>
        </w:tc>
        <w:tc>
          <w:tcPr>
            <w:tcW w:type="dxa" w:w="3216"/>
            <w:shd w:fill="EAF1F7"/>
            <w:tcMar>
              <w:top w:w="80" w:type="dxa"/>
              <w:start w:w="90" w:type="dxa"/>
              <w:bottom w:w="80" w:type="dxa"/>
              <w:end w:w="90" w:type="dxa"/>
            </w:tcMar>
            <w:vAlign w:val="center"/>
          </w:tcPr>
          <w:p>
            <w:pPr>
              <w:jc w:val="center"/>
            </w:pPr>
            <w:r>
              <w:rPr>
                <w:rFonts w:ascii="Calibri" w:hAnsi="Calibri"/>
                <w:sz w:val="18"/>
              </w:rPr>
              <w:t>-0.915811</w:t>
            </w:r>
          </w:p>
        </w:tc>
      </w:tr>
      <w:tr>
        <w:tc>
          <w:tcPr>
            <w:tcW w:type="dxa" w:w="3216"/>
            <w:tcMar>
              <w:top w:w="80" w:type="dxa"/>
              <w:start w:w="90" w:type="dxa"/>
              <w:bottom w:w="80" w:type="dxa"/>
              <w:end w:w="90" w:type="dxa"/>
            </w:tcMar>
            <w:vAlign w:val="center"/>
          </w:tcPr>
          <w:p>
            <w:pPr>
              <w:jc w:val="left"/>
            </w:pPr>
            <w:r>
              <w:rPr>
                <w:rFonts w:ascii="Calibri" w:hAnsi="Calibri"/>
                <w:sz w:val="18"/>
              </w:rPr>
              <w:t>New possessions</w:t>
            </w:r>
          </w:p>
        </w:tc>
        <w:tc>
          <w:tcPr>
            <w:tcW w:type="dxa" w:w="3216"/>
            <w:tcMar>
              <w:top w:w="80" w:type="dxa"/>
              <w:start w:w="90" w:type="dxa"/>
              <w:bottom w:w="80" w:type="dxa"/>
              <w:end w:w="90" w:type="dxa"/>
            </w:tcMar>
            <w:vAlign w:val="center"/>
          </w:tcPr>
          <w:p>
            <w:pPr>
              <w:jc w:val="center"/>
            </w:pPr>
            <w:r>
              <w:rPr>
                <w:rFonts w:ascii="Calibri" w:hAnsi="Calibri"/>
                <w:sz w:val="18"/>
              </w:rPr>
              <w:t>Gross advances</w:t>
            </w:r>
          </w:p>
        </w:tc>
        <w:tc>
          <w:tcPr>
            <w:tcW w:type="dxa" w:w="3216"/>
            <w:tcMar>
              <w:top w:w="80" w:type="dxa"/>
              <w:start w:w="90" w:type="dxa"/>
              <w:bottom w:w="80" w:type="dxa"/>
              <w:end w:w="90" w:type="dxa"/>
            </w:tcMar>
            <w:vAlign w:val="center"/>
          </w:tcPr>
          <w:p>
            <w:pPr>
              <w:jc w:val="center"/>
            </w:pPr>
            <w:r>
              <w:rPr>
                <w:rFonts w:ascii="Calibri" w:hAnsi="Calibri"/>
                <w:sz w:val="18"/>
              </w:rPr>
              <w:t>-0.808239</w:t>
            </w:r>
          </w:p>
        </w:tc>
      </w:tr>
      <w:tr>
        <w:tc>
          <w:tcPr>
            <w:tcW w:type="dxa" w:w="3216"/>
            <w:shd w:fill="EAF1F7"/>
            <w:tcMar>
              <w:top w:w="80" w:type="dxa"/>
              <w:start w:w="90" w:type="dxa"/>
              <w:bottom w:w="80" w:type="dxa"/>
              <w:end w:w="90" w:type="dxa"/>
            </w:tcMar>
            <w:vAlign w:val="center"/>
          </w:tcPr>
          <w:p>
            <w:pPr>
              <w:jc w:val="left"/>
            </w:pPr>
            <w:r>
              <w:rPr>
                <w:rFonts w:ascii="Calibri" w:hAnsi="Calibri"/>
                <w:sz w:val="18"/>
              </w:rPr>
              <w:t>New possessions</w:t>
            </w:r>
          </w:p>
        </w:tc>
        <w:tc>
          <w:tcPr>
            <w:tcW w:type="dxa" w:w="3216"/>
            <w:shd w:fill="EAF1F7"/>
            <w:tcMar>
              <w:top w:w="80" w:type="dxa"/>
              <w:start w:w="90" w:type="dxa"/>
              <w:bottom w:w="80" w:type="dxa"/>
              <w:end w:w="90" w:type="dxa"/>
            </w:tcMar>
            <w:vAlign w:val="center"/>
          </w:tcPr>
          <w:p>
            <w:pPr>
              <w:jc w:val="center"/>
            </w:pPr>
            <w:r>
              <w:rPr>
                <w:rFonts w:ascii="Calibri" w:hAnsi="Calibri"/>
                <w:sz w:val="18"/>
              </w:rPr>
              <w:t>LTV &gt; 95% share</w:t>
            </w:r>
          </w:p>
        </w:tc>
        <w:tc>
          <w:tcPr>
            <w:tcW w:type="dxa" w:w="3216"/>
            <w:shd w:fill="EAF1F7"/>
            <w:tcMar>
              <w:top w:w="80" w:type="dxa"/>
              <w:start w:w="90" w:type="dxa"/>
              <w:bottom w:w="80" w:type="dxa"/>
              <w:end w:w="90" w:type="dxa"/>
            </w:tcMar>
            <w:vAlign w:val="center"/>
          </w:tcPr>
          <w:p>
            <w:pPr>
              <w:jc w:val="center"/>
            </w:pPr>
            <w:r>
              <w:rPr>
                <w:rFonts w:ascii="Calibri" w:hAnsi="Calibri"/>
                <w:sz w:val="18"/>
              </w:rPr>
              <w:t>0.770882</w:t>
            </w:r>
          </w:p>
        </w:tc>
      </w:tr>
    </w:tbl>
    <w:p>
      <w:pPr>
        <w:pStyle w:val="Heading1"/>
        <w:keepNext/>
      </w:pPr>
      <w:r>
        <w:t>6. Econometric results</w:t>
      </w:r>
    </w:p>
    <w:p>
      <w:r>
        <w:t>Model 1 examines one-quarter-lagged predictors of the serious arrears rate. The model fit is strong (R² = 0.9283; adjusted R² = 0.9193; N = 55). Higher lagged mortgage pricing is positively associated with later serious arrears, while a higher fixed-rate share and stronger gross lending activity are associated with lower arrears. The coefficient on lagged LTV &gt; 90% share is negative in this specification and statistically significant, but that sign should be treated cautiously because aggregate time-series coefficients can absorb structural change and common trends.</w:t>
      </w:r>
    </w:p>
    <w:p>
      <w:r>
        <w:t>Model 2 uses the log of new possessions as the dependent variable (R² = 0.7902; adjusted R² = 0.7640; N = 55). The most important result is that lagged serious arrears are strongly and positively associated with later possessions. Lagged LTV &gt; 90% share also enters positively and significantly, which is more consistent with a conventional mortgage-risk interpretation. Once lagged arrears are included, other mortgage-market indicators lose statistical significance in this specification.</w:t>
      </w:r>
    </w:p>
    <w:p>
      <w:pPr>
        <w:pStyle w:val="Heading2"/>
        <w:keepNext/>
      </w:pPr>
      <w:r>
        <w:t>Table 4. Model 1: determinants of serious arrears (OLS with Newey-West HAC errors)</w:t>
      </w:r>
    </w:p>
    <w:tbl>
      <w:tblPr>
        <w:tblStyle w:val="TableGrid"/>
        <w:tblW w:type="auto" w:w="0"/>
        <w:jc w:val="center"/>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412"/>
        <w:gridCol w:w="2412"/>
        <w:gridCol w:w="2412"/>
        <w:gridCol w:w="2412"/>
      </w:tblGrid>
      <w:tr>
        <w:trPr>
          <w:tblHeader w:val="true"/>
        </w:trPr>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Predictor</w:t>
            </w:r>
          </w:p>
        </w:tc>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Coefficient</w:t>
            </w:r>
          </w:p>
        </w:tc>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p-value</w:t>
            </w:r>
          </w:p>
        </w:tc>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Interpretation</w:t>
            </w:r>
          </w:p>
        </w:tc>
      </w:tr>
      <w:tr>
        <w:tc>
          <w:tcPr>
            <w:tcW w:type="dxa" w:w="2412"/>
            <w:tcMar>
              <w:top w:w="80" w:type="dxa"/>
              <w:start w:w="90" w:type="dxa"/>
              <w:bottom w:w="80" w:type="dxa"/>
              <w:end w:w="90" w:type="dxa"/>
            </w:tcMar>
            <w:vAlign w:val="center"/>
          </w:tcPr>
          <w:p>
            <w:pPr>
              <w:jc w:val="left"/>
            </w:pPr>
            <w:r>
              <w:rPr>
                <w:rFonts w:ascii="Calibri" w:hAnsi="Calibri"/>
                <w:sz w:val="17"/>
              </w:rPr>
              <w:t>Lagged average interest rate</w:t>
            </w:r>
          </w:p>
        </w:tc>
        <w:tc>
          <w:tcPr>
            <w:tcW w:type="dxa" w:w="2412"/>
            <w:tcMar>
              <w:top w:w="80" w:type="dxa"/>
              <w:start w:w="90" w:type="dxa"/>
              <w:bottom w:w="80" w:type="dxa"/>
              <w:end w:w="90" w:type="dxa"/>
            </w:tcMar>
            <w:vAlign w:val="center"/>
          </w:tcPr>
          <w:p>
            <w:pPr>
              <w:jc w:val="center"/>
            </w:pPr>
            <w:r>
              <w:rPr>
                <w:rFonts w:ascii="Calibri" w:hAnsi="Calibri"/>
                <w:sz w:val="17"/>
              </w:rPr>
              <w:t>0.077141</w:t>
            </w:r>
          </w:p>
        </w:tc>
        <w:tc>
          <w:tcPr>
            <w:tcW w:type="dxa" w:w="2412"/>
            <w:tcMar>
              <w:top w:w="80" w:type="dxa"/>
              <w:start w:w="90" w:type="dxa"/>
              <w:bottom w:w="80" w:type="dxa"/>
              <w:end w:w="90" w:type="dxa"/>
            </w:tcMar>
            <w:vAlign w:val="center"/>
          </w:tcPr>
          <w:p>
            <w:pPr>
              <w:jc w:val="center"/>
            </w:pPr>
            <w:r>
              <w:rPr>
                <w:rFonts w:ascii="Calibri" w:hAnsi="Calibri"/>
                <w:sz w:val="17"/>
              </w:rPr>
              <w:t>0.013305</w:t>
            </w:r>
          </w:p>
        </w:tc>
        <w:tc>
          <w:tcPr>
            <w:tcW w:type="dxa" w:w="2412"/>
            <w:tcMar>
              <w:top w:w="80" w:type="dxa"/>
              <w:start w:w="90" w:type="dxa"/>
              <w:bottom w:w="80" w:type="dxa"/>
              <w:end w:w="90" w:type="dxa"/>
            </w:tcMar>
            <w:vAlign w:val="center"/>
          </w:tcPr>
          <w:p>
            <w:pPr>
              <w:jc w:val="center"/>
            </w:pPr>
            <w:r>
              <w:rPr>
                <w:rFonts w:ascii="Calibri" w:hAnsi="Calibri"/>
                <w:sz w:val="17"/>
              </w:rPr>
              <w:t>Positive and significant</w:t>
            </w:r>
          </w:p>
        </w:tc>
      </w:tr>
      <w:tr>
        <w:tc>
          <w:tcPr>
            <w:tcW w:type="dxa" w:w="2412"/>
            <w:shd w:fill="EAF1F7"/>
            <w:tcMar>
              <w:top w:w="80" w:type="dxa"/>
              <w:start w:w="90" w:type="dxa"/>
              <w:bottom w:w="80" w:type="dxa"/>
              <w:end w:w="90" w:type="dxa"/>
            </w:tcMar>
            <w:vAlign w:val="center"/>
          </w:tcPr>
          <w:p>
            <w:pPr>
              <w:jc w:val="left"/>
            </w:pPr>
            <w:r>
              <w:rPr>
                <w:rFonts w:ascii="Calibri" w:hAnsi="Calibri"/>
                <w:sz w:val="17"/>
              </w:rPr>
              <w:t>Lagged UK HPI annual change</w:t>
            </w:r>
          </w:p>
        </w:tc>
        <w:tc>
          <w:tcPr>
            <w:tcW w:type="dxa" w:w="2412"/>
            <w:shd w:fill="EAF1F7"/>
            <w:tcMar>
              <w:top w:w="80" w:type="dxa"/>
              <w:start w:w="90" w:type="dxa"/>
              <w:bottom w:w="80" w:type="dxa"/>
              <w:end w:w="90" w:type="dxa"/>
            </w:tcMar>
            <w:vAlign w:val="center"/>
          </w:tcPr>
          <w:p>
            <w:pPr>
              <w:jc w:val="center"/>
            </w:pPr>
            <w:r>
              <w:rPr>
                <w:rFonts w:ascii="Calibri" w:hAnsi="Calibri"/>
                <w:sz w:val="17"/>
              </w:rPr>
              <w:t>0.002861</w:t>
            </w:r>
          </w:p>
        </w:tc>
        <w:tc>
          <w:tcPr>
            <w:tcW w:type="dxa" w:w="2412"/>
            <w:shd w:fill="EAF1F7"/>
            <w:tcMar>
              <w:top w:w="80" w:type="dxa"/>
              <w:start w:w="90" w:type="dxa"/>
              <w:bottom w:w="80" w:type="dxa"/>
              <w:end w:w="90" w:type="dxa"/>
            </w:tcMar>
            <w:vAlign w:val="center"/>
          </w:tcPr>
          <w:p>
            <w:pPr>
              <w:jc w:val="center"/>
            </w:pPr>
            <w:r>
              <w:rPr>
                <w:rFonts w:ascii="Calibri" w:hAnsi="Calibri"/>
                <w:sz w:val="17"/>
              </w:rPr>
              <w:t>0.594021</w:t>
            </w:r>
          </w:p>
        </w:tc>
        <w:tc>
          <w:tcPr>
            <w:tcW w:type="dxa" w:w="2412"/>
            <w:shd w:fill="EAF1F7"/>
            <w:tcMar>
              <w:top w:w="80" w:type="dxa"/>
              <w:start w:w="90" w:type="dxa"/>
              <w:bottom w:w="80" w:type="dxa"/>
              <w:end w:w="90" w:type="dxa"/>
            </w:tcMar>
            <w:vAlign w:val="center"/>
          </w:tcPr>
          <w:p>
            <w:pPr>
              <w:jc w:val="center"/>
            </w:pPr>
            <w:r>
              <w:rPr>
                <w:rFonts w:ascii="Calibri" w:hAnsi="Calibri"/>
                <w:sz w:val="17"/>
              </w:rPr>
              <w:t>Not significant</w:t>
            </w:r>
          </w:p>
        </w:tc>
      </w:tr>
      <w:tr>
        <w:tc>
          <w:tcPr>
            <w:tcW w:type="dxa" w:w="2412"/>
            <w:tcMar>
              <w:top w:w="80" w:type="dxa"/>
              <w:start w:w="90" w:type="dxa"/>
              <w:bottom w:w="80" w:type="dxa"/>
              <w:end w:w="90" w:type="dxa"/>
            </w:tcMar>
            <w:vAlign w:val="center"/>
          </w:tcPr>
          <w:p>
            <w:pPr>
              <w:jc w:val="left"/>
            </w:pPr>
            <w:r>
              <w:rPr>
                <w:rFonts w:ascii="Calibri" w:hAnsi="Calibri"/>
                <w:sz w:val="17"/>
              </w:rPr>
              <w:t>Lagged fixed-rate share</w:t>
            </w:r>
          </w:p>
        </w:tc>
        <w:tc>
          <w:tcPr>
            <w:tcW w:type="dxa" w:w="2412"/>
            <w:tcMar>
              <w:top w:w="80" w:type="dxa"/>
              <w:start w:w="90" w:type="dxa"/>
              <w:bottom w:w="80" w:type="dxa"/>
              <w:end w:w="90" w:type="dxa"/>
            </w:tcMar>
            <w:vAlign w:val="center"/>
          </w:tcPr>
          <w:p>
            <w:pPr>
              <w:jc w:val="center"/>
            </w:pPr>
            <w:r>
              <w:rPr>
                <w:rFonts w:ascii="Calibri" w:hAnsi="Calibri"/>
                <w:sz w:val="17"/>
              </w:rPr>
              <w:t>-0.018548</w:t>
            </w:r>
          </w:p>
        </w:tc>
        <w:tc>
          <w:tcPr>
            <w:tcW w:type="dxa" w:w="2412"/>
            <w:tcMar>
              <w:top w:w="80" w:type="dxa"/>
              <w:start w:w="90" w:type="dxa"/>
              <w:bottom w:w="80" w:type="dxa"/>
              <w:end w:w="90" w:type="dxa"/>
            </w:tcMar>
            <w:vAlign w:val="center"/>
          </w:tcPr>
          <w:p>
            <w:pPr>
              <w:jc w:val="center"/>
            </w:pPr>
            <w:r>
              <w:rPr>
                <w:rFonts w:ascii="Calibri" w:hAnsi="Calibri"/>
                <w:sz w:val="17"/>
              </w:rPr>
              <w:t>0.000006</w:t>
            </w:r>
          </w:p>
        </w:tc>
        <w:tc>
          <w:tcPr>
            <w:tcW w:type="dxa" w:w="2412"/>
            <w:tcMar>
              <w:top w:w="80" w:type="dxa"/>
              <w:start w:w="90" w:type="dxa"/>
              <w:bottom w:w="80" w:type="dxa"/>
              <w:end w:w="90" w:type="dxa"/>
            </w:tcMar>
            <w:vAlign w:val="center"/>
          </w:tcPr>
          <w:p>
            <w:pPr>
              <w:jc w:val="center"/>
            </w:pPr>
            <w:r>
              <w:rPr>
                <w:rFonts w:ascii="Calibri" w:hAnsi="Calibri"/>
                <w:sz w:val="17"/>
              </w:rPr>
              <w:t>Negative and strongly significant</w:t>
            </w:r>
          </w:p>
        </w:tc>
      </w:tr>
      <w:tr>
        <w:tc>
          <w:tcPr>
            <w:tcW w:type="dxa" w:w="2412"/>
            <w:shd w:fill="EAF1F7"/>
            <w:tcMar>
              <w:top w:w="80" w:type="dxa"/>
              <w:start w:w="90" w:type="dxa"/>
              <w:bottom w:w="80" w:type="dxa"/>
              <w:end w:w="90" w:type="dxa"/>
            </w:tcMar>
            <w:vAlign w:val="center"/>
          </w:tcPr>
          <w:p>
            <w:pPr>
              <w:jc w:val="left"/>
            </w:pPr>
            <w:r>
              <w:rPr>
                <w:rFonts w:ascii="Calibri" w:hAnsi="Calibri"/>
                <w:sz w:val="17"/>
              </w:rPr>
              <w:t>Lagged LTV &gt; 90% share</w:t>
            </w:r>
          </w:p>
        </w:tc>
        <w:tc>
          <w:tcPr>
            <w:tcW w:type="dxa" w:w="2412"/>
            <w:shd w:fill="EAF1F7"/>
            <w:tcMar>
              <w:top w:w="80" w:type="dxa"/>
              <w:start w:w="90" w:type="dxa"/>
              <w:bottom w:w="80" w:type="dxa"/>
              <w:end w:w="90" w:type="dxa"/>
            </w:tcMar>
            <w:vAlign w:val="center"/>
          </w:tcPr>
          <w:p>
            <w:pPr>
              <w:jc w:val="center"/>
            </w:pPr>
            <w:r>
              <w:rPr>
                <w:rFonts w:ascii="Calibri" w:hAnsi="Calibri"/>
                <w:sz w:val="17"/>
              </w:rPr>
              <w:t>-0.063975</w:t>
            </w:r>
          </w:p>
        </w:tc>
        <w:tc>
          <w:tcPr>
            <w:tcW w:type="dxa" w:w="2412"/>
            <w:shd w:fill="EAF1F7"/>
            <w:tcMar>
              <w:top w:w="80" w:type="dxa"/>
              <w:start w:w="90" w:type="dxa"/>
              <w:bottom w:w="80" w:type="dxa"/>
              <w:end w:w="90" w:type="dxa"/>
            </w:tcMar>
            <w:vAlign w:val="center"/>
          </w:tcPr>
          <w:p>
            <w:pPr>
              <w:jc w:val="center"/>
            </w:pPr>
            <w:r>
              <w:rPr>
                <w:rFonts w:ascii="Calibri" w:hAnsi="Calibri"/>
                <w:sz w:val="17"/>
              </w:rPr>
              <w:t>0.006109</w:t>
            </w:r>
          </w:p>
        </w:tc>
        <w:tc>
          <w:tcPr>
            <w:tcW w:type="dxa" w:w="2412"/>
            <w:shd w:fill="EAF1F7"/>
            <w:tcMar>
              <w:top w:w="80" w:type="dxa"/>
              <w:start w:w="90" w:type="dxa"/>
              <w:bottom w:w="80" w:type="dxa"/>
              <w:end w:w="90" w:type="dxa"/>
            </w:tcMar>
            <w:vAlign w:val="center"/>
          </w:tcPr>
          <w:p>
            <w:pPr>
              <w:jc w:val="center"/>
            </w:pPr>
            <w:r>
              <w:rPr>
                <w:rFonts w:ascii="Calibri" w:hAnsi="Calibri"/>
                <w:sz w:val="17"/>
              </w:rPr>
              <w:t>Negative and significant</w:t>
            </w:r>
          </w:p>
        </w:tc>
      </w:tr>
      <w:tr>
        <w:tc>
          <w:tcPr>
            <w:tcW w:type="dxa" w:w="2412"/>
            <w:tcMar>
              <w:top w:w="80" w:type="dxa"/>
              <w:start w:w="90" w:type="dxa"/>
              <w:bottom w:w="80" w:type="dxa"/>
              <w:end w:w="90" w:type="dxa"/>
            </w:tcMar>
            <w:vAlign w:val="center"/>
          </w:tcPr>
          <w:p>
            <w:pPr>
              <w:jc w:val="left"/>
            </w:pPr>
            <w:r>
              <w:rPr>
                <w:rFonts w:ascii="Calibri" w:hAnsi="Calibri"/>
                <w:sz w:val="17"/>
              </w:rPr>
              <w:t>Lagged impaired credit history share</w:t>
            </w:r>
          </w:p>
        </w:tc>
        <w:tc>
          <w:tcPr>
            <w:tcW w:type="dxa" w:w="2412"/>
            <w:tcMar>
              <w:top w:w="80" w:type="dxa"/>
              <w:start w:w="90" w:type="dxa"/>
              <w:bottom w:w="80" w:type="dxa"/>
              <w:end w:w="90" w:type="dxa"/>
            </w:tcMar>
            <w:vAlign w:val="center"/>
          </w:tcPr>
          <w:p>
            <w:pPr>
              <w:jc w:val="center"/>
            </w:pPr>
            <w:r>
              <w:rPr>
                <w:rFonts w:ascii="Calibri" w:hAnsi="Calibri"/>
                <w:sz w:val="17"/>
              </w:rPr>
              <w:t>0.114484</w:t>
            </w:r>
          </w:p>
        </w:tc>
        <w:tc>
          <w:tcPr>
            <w:tcW w:type="dxa" w:w="2412"/>
            <w:tcMar>
              <w:top w:w="80" w:type="dxa"/>
              <w:start w:w="90" w:type="dxa"/>
              <w:bottom w:w="80" w:type="dxa"/>
              <w:end w:w="90" w:type="dxa"/>
            </w:tcMar>
            <w:vAlign w:val="center"/>
          </w:tcPr>
          <w:p>
            <w:pPr>
              <w:jc w:val="center"/>
            </w:pPr>
            <w:r>
              <w:rPr>
                <w:rFonts w:ascii="Calibri" w:hAnsi="Calibri"/>
                <w:sz w:val="17"/>
              </w:rPr>
              <w:t>0.517252</w:t>
            </w:r>
          </w:p>
        </w:tc>
        <w:tc>
          <w:tcPr>
            <w:tcW w:type="dxa" w:w="2412"/>
            <w:tcMar>
              <w:top w:w="80" w:type="dxa"/>
              <w:start w:w="90" w:type="dxa"/>
              <w:bottom w:w="80" w:type="dxa"/>
              <w:end w:w="90" w:type="dxa"/>
            </w:tcMar>
            <w:vAlign w:val="center"/>
          </w:tcPr>
          <w:p>
            <w:pPr>
              <w:jc w:val="center"/>
            </w:pPr>
            <w:r>
              <w:rPr>
                <w:rFonts w:ascii="Calibri" w:hAnsi="Calibri"/>
                <w:sz w:val="17"/>
              </w:rPr>
              <w:t>Not significant</w:t>
            </w:r>
          </w:p>
        </w:tc>
      </w:tr>
      <w:tr>
        <w:tc>
          <w:tcPr>
            <w:tcW w:type="dxa" w:w="2412"/>
            <w:shd w:fill="EAF1F7"/>
            <w:tcMar>
              <w:top w:w="80" w:type="dxa"/>
              <w:start w:w="90" w:type="dxa"/>
              <w:bottom w:w="80" w:type="dxa"/>
              <w:end w:w="90" w:type="dxa"/>
            </w:tcMar>
            <w:vAlign w:val="center"/>
          </w:tcPr>
          <w:p>
            <w:pPr>
              <w:jc w:val="left"/>
            </w:pPr>
            <w:r>
              <w:rPr>
                <w:rFonts w:ascii="Calibri" w:hAnsi="Calibri"/>
                <w:sz w:val="17"/>
              </w:rPr>
              <w:t>Lagged gross advances</w:t>
            </w:r>
          </w:p>
        </w:tc>
        <w:tc>
          <w:tcPr>
            <w:tcW w:type="dxa" w:w="2412"/>
            <w:shd w:fill="EAF1F7"/>
            <w:tcMar>
              <w:top w:w="80" w:type="dxa"/>
              <w:start w:w="90" w:type="dxa"/>
              <w:bottom w:w="80" w:type="dxa"/>
              <w:end w:w="90" w:type="dxa"/>
            </w:tcMar>
            <w:vAlign w:val="center"/>
          </w:tcPr>
          <w:p>
            <w:pPr>
              <w:jc w:val="center"/>
            </w:pPr>
            <w:r>
              <w:rPr>
                <w:rFonts w:ascii="Calibri" w:hAnsi="Calibri"/>
                <w:sz w:val="17"/>
              </w:rPr>
              <w:t>-0.000006</w:t>
            </w:r>
          </w:p>
        </w:tc>
        <w:tc>
          <w:tcPr>
            <w:tcW w:type="dxa" w:w="2412"/>
            <w:shd w:fill="EAF1F7"/>
            <w:tcMar>
              <w:top w:w="80" w:type="dxa"/>
              <w:start w:w="90" w:type="dxa"/>
              <w:bottom w:w="80" w:type="dxa"/>
              <w:end w:w="90" w:type="dxa"/>
            </w:tcMar>
            <w:vAlign w:val="center"/>
          </w:tcPr>
          <w:p>
            <w:pPr>
              <w:jc w:val="center"/>
            </w:pPr>
            <w:r>
              <w:rPr>
                <w:rFonts w:ascii="Calibri" w:hAnsi="Calibri"/>
                <w:sz w:val="17"/>
              </w:rPr>
              <w:t>0.025479</w:t>
            </w:r>
          </w:p>
        </w:tc>
        <w:tc>
          <w:tcPr>
            <w:tcW w:type="dxa" w:w="2412"/>
            <w:shd w:fill="EAF1F7"/>
            <w:tcMar>
              <w:top w:w="80" w:type="dxa"/>
              <w:start w:w="90" w:type="dxa"/>
              <w:bottom w:w="80" w:type="dxa"/>
              <w:end w:w="90" w:type="dxa"/>
            </w:tcMar>
            <w:vAlign w:val="center"/>
          </w:tcPr>
          <w:p>
            <w:pPr>
              <w:jc w:val="center"/>
            </w:pPr>
            <w:r>
              <w:rPr>
                <w:rFonts w:ascii="Calibri" w:hAnsi="Calibri"/>
                <w:sz w:val="17"/>
              </w:rPr>
              <w:t>Negative and significant</w:t>
            </w:r>
          </w:p>
        </w:tc>
      </w:tr>
    </w:tbl>
    <w:p>
      <w:r>
        <w:t>Model 1 fit statistics: R² = 0.9283; adjusted R² = 0.9193; AIC = -77.8521; BIC = -63.8008; observations = 55.</w:t>
      </w:r>
    </w:p>
    <w:p>
      <w:pPr>
        <w:pStyle w:val="Heading2"/>
        <w:keepNext/>
      </w:pPr>
      <w:r>
        <w:t>Table 5. Model 2: determinants of log new possessions (OLS with Newey-West HAC errors)</w:t>
      </w:r>
    </w:p>
    <w:tbl>
      <w:tblPr>
        <w:tblStyle w:val="TableGrid"/>
        <w:tblW w:type="auto" w:w="0"/>
        <w:jc w:val="center"/>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412"/>
        <w:gridCol w:w="2412"/>
        <w:gridCol w:w="2412"/>
        <w:gridCol w:w="2412"/>
      </w:tblGrid>
      <w:tr>
        <w:trPr>
          <w:tblHeader w:val="true"/>
        </w:trPr>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Predictor</w:t>
            </w:r>
          </w:p>
        </w:tc>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Coefficient</w:t>
            </w:r>
          </w:p>
        </w:tc>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p-value</w:t>
            </w:r>
          </w:p>
        </w:tc>
        <w:tc>
          <w:tcPr>
            <w:tcW w:type="dxa" w:w="2412"/>
            <w:shd w:fill="1F4E78"/>
            <w:tcMar>
              <w:top w:w="80" w:type="dxa"/>
              <w:start w:w="90" w:type="dxa"/>
              <w:bottom w:w="80" w:type="dxa"/>
              <w:end w:w="90" w:type="dxa"/>
            </w:tcMar>
            <w:vAlign w:val="center"/>
          </w:tcPr>
          <w:p>
            <w:pPr>
              <w:jc w:val="center"/>
            </w:pPr>
            <w:r>
              <w:rPr>
                <w:rFonts w:ascii="Calibri" w:hAnsi="Calibri"/>
                <w:b/>
                <w:color w:val="FFFFFF"/>
                <w:sz w:val="17"/>
              </w:rPr>
              <w:t>Interpretation</w:t>
            </w:r>
          </w:p>
        </w:tc>
      </w:tr>
      <w:tr>
        <w:tc>
          <w:tcPr>
            <w:tcW w:type="dxa" w:w="2412"/>
            <w:tcMar>
              <w:top w:w="80" w:type="dxa"/>
              <w:start w:w="90" w:type="dxa"/>
              <w:bottom w:w="80" w:type="dxa"/>
              <w:end w:w="90" w:type="dxa"/>
            </w:tcMar>
            <w:vAlign w:val="center"/>
          </w:tcPr>
          <w:p>
            <w:pPr>
              <w:jc w:val="left"/>
            </w:pPr>
            <w:r>
              <w:rPr>
                <w:rFonts w:ascii="Calibri" w:hAnsi="Calibri"/>
                <w:sz w:val="17"/>
              </w:rPr>
              <w:t>Lagged serious arrears rate</w:t>
            </w:r>
          </w:p>
        </w:tc>
        <w:tc>
          <w:tcPr>
            <w:tcW w:type="dxa" w:w="2412"/>
            <w:tcMar>
              <w:top w:w="80" w:type="dxa"/>
              <w:start w:w="90" w:type="dxa"/>
              <w:bottom w:w="80" w:type="dxa"/>
              <w:end w:w="90" w:type="dxa"/>
            </w:tcMar>
            <w:vAlign w:val="center"/>
          </w:tcPr>
          <w:p>
            <w:pPr>
              <w:jc w:val="center"/>
            </w:pPr>
            <w:r>
              <w:rPr>
                <w:rFonts w:ascii="Calibri" w:hAnsi="Calibri"/>
                <w:sz w:val="17"/>
              </w:rPr>
              <w:t>2.272435</w:t>
            </w:r>
          </w:p>
        </w:tc>
        <w:tc>
          <w:tcPr>
            <w:tcW w:type="dxa" w:w="2412"/>
            <w:tcMar>
              <w:top w:w="80" w:type="dxa"/>
              <w:start w:w="90" w:type="dxa"/>
              <w:bottom w:w="80" w:type="dxa"/>
              <w:end w:w="90" w:type="dxa"/>
            </w:tcMar>
            <w:vAlign w:val="center"/>
          </w:tcPr>
          <w:p>
            <w:pPr>
              <w:jc w:val="center"/>
            </w:pPr>
            <w:r>
              <w:rPr>
                <w:rFonts w:ascii="Calibri" w:hAnsi="Calibri"/>
                <w:sz w:val="17"/>
              </w:rPr>
              <w:t>0.000008</w:t>
            </w:r>
          </w:p>
        </w:tc>
        <w:tc>
          <w:tcPr>
            <w:tcW w:type="dxa" w:w="2412"/>
            <w:tcMar>
              <w:top w:w="80" w:type="dxa"/>
              <w:start w:w="90" w:type="dxa"/>
              <w:bottom w:w="80" w:type="dxa"/>
              <w:end w:w="90" w:type="dxa"/>
            </w:tcMar>
            <w:vAlign w:val="center"/>
          </w:tcPr>
          <w:p>
            <w:pPr>
              <w:jc w:val="center"/>
            </w:pPr>
            <w:r>
              <w:rPr>
                <w:rFonts w:ascii="Calibri" w:hAnsi="Calibri"/>
                <w:sz w:val="17"/>
              </w:rPr>
              <w:t>Positive and highly significant</w:t>
            </w:r>
          </w:p>
        </w:tc>
      </w:tr>
      <w:tr>
        <w:tc>
          <w:tcPr>
            <w:tcW w:type="dxa" w:w="2412"/>
            <w:shd w:fill="EAF1F7"/>
            <w:tcMar>
              <w:top w:w="80" w:type="dxa"/>
              <w:start w:w="90" w:type="dxa"/>
              <w:bottom w:w="80" w:type="dxa"/>
              <w:end w:w="90" w:type="dxa"/>
            </w:tcMar>
            <w:vAlign w:val="center"/>
          </w:tcPr>
          <w:p>
            <w:pPr>
              <w:jc w:val="left"/>
            </w:pPr>
            <w:r>
              <w:rPr>
                <w:rFonts w:ascii="Calibri" w:hAnsi="Calibri"/>
                <w:sz w:val="17"/>
              </w:rPr>
              <w:t>Lagged average interest rate</w:t>
            </w:r>
          </w:p>
        </w:tc>
        <w:tc>
          <w:tcPr>
            <w:tcW w:type="dxa" w:w="2412"/>
            <w:shd w:fill="EAF1F7"/>
            <w:tcMar>
              <w:top w:w="80" w:type="dxa"/>
              <w:start w:w="90" w:type="dxa"/>
              <w:bottom w:w="80" w:type="dxa"/>
              <w:end w:w="90" w:type="dxa"/>
            </w:tcMar>
            <w:vAlign w:val="center"/>
          </w:tcPr>
          <w:p>
            <w:pPr>
              <w:jc w:val="center"/>
            </w:pPr>
            <w:r>
              <w:rPr>
                <w:rFonts w:ascii="Calibri" w:hAnsi="Calibri"/>
                <w:sz w:val="17"/>
              </w:rPr>
              <w:t>0.024802</w:t>
            </w:r>
          </w:p>
        </w:tc>
        <w:tc>
          <w:tcPr>
            <w:tcW w:type="dxa" w:w="2412"/>
            <w:shd w:fill="EAF1F7"/>
            <w:tcMar>
              <w:top w:w="80" w:type="dxa"/>
              <w:start w:w="90" w:type="dxa"/>
              <w:bottom w:w="80" w:type="dxa"/>
              <w:end w:w="90" w:type="dxa"/>
            </w:tcMar>
            <w:vAlign w:val="center"/>
          </w:tcPr>
          <w:p>
            <w:pPr>
              <w:jc w:val="center"/>
            </w:pPr>
            <w:r>
              <w:rPr>
                <w:rFonts w:ascii="Calibri" w:hAnsi="Calibri"/>
                <w:sz w:val="17"/>
              </w:rPr>
              <w:t>0.834102</w:t>
            </w:r>
          </w:p>
        </w:tc>
        <w:tc>
          <w:tcPr>
            <w:tcW w:type="dxa" w:w="2412"/>
            <w:shd w:fill="EAF1F7"/>
            <w:tcMar>
              <w:top w:w="80" w:type="dxa"/>
              <w:start w:w="90" w:type="dxa"/>
              <w:bottom w:w="80" w:type="dxa"/>
              <w:end w:w="90" w:type="dxa"/>
            </w:tcMar>
            <w:vAlign w:val="center"/>
          </w:tcPr>
          <w:p>
            <w:pPr>
              <w:jc w:val="center"/>
            </w:pPr>
            <w:r>
              <w:rPr>
                <w:rFonts w:ascii="Calibri" w:hAnsi="Calibri"/>
                <w:sz w:val="17"/>
              </w:rPr>
              <w:t>Not significant</w:t>
            </w:r>
          </w:p>
        </w:tc>
      </w:tr>
      <w:tr>
        <w:tc>
          <w:tcPr>
            <w:tcW w:type="dxa" w:w="2412"/>
            <w:tcMar>
              <w:top w:w="80" w:type="dxa"/>
              <w:start w:w="90" w:type="dxa"/>
              <w:bottom w:w="80" w:type="dxa"/>
              <w:end w:w="90" w:type="dxa"/>
            </w:tcMar>
            <w:vAlign w:val="center"/>
          </w:tcPr>
          <w:p>
            <w:pPr>
              <w:jc w:val="left"/>
            </w:pPr>
            <w:r>
              <w:rPr>
                <w:rFonts w:ascii="Calibri" w:hAnsi="Calibri"/>
                <w:sz w:val="17"/>
              </w:rPr>
              <w:t>Lagged UK HPI annual change</w:t>
            </w:r>
          </w:p>
        </w:tc>
        <w:tc>
          <w:tcPr>
            <w:tcW w:type="dxa" w:w="2412"/>
            <w:tcMar>
              <w:top w:w="80" w:type="dxa"/>
              <w:start w:w="90" w:type="dxa"/>
              <w:bottom w:w="80" w:type="dxa"/>
              <w:end w:w="90" w:type="dxa"/>
            </w:tcMar>
            <w:vAlign w:val="center"/>
          </w:tcPr>
          <w:p>
            <w:pPr>
              <w:jc w:val="center"/>
            </w:pPr>
            <w:r>
              <w:rPr>
                <w:rFonts w:ascii="Calibri" w:hAnsi="Calibri"/>
                <w:sz w:val="17"/>
              </w:rPr>
              <w:t>0.037309</w:t>
            </w:r>
          </w:p>
        </w:tc>
        <w:tc>
          <w:tcPr>
            <w:tcW w:type="dxa" w:w="2412"/>
            <w:tcMar>
              <w:top w:w="80" w:type="dxa"/>
              <w:start w:w="90" w:type="dxa"/>
              <w:bottom w:w="80" w:type="dxa"/>
              <w:end w:w="90" w:type="dxa"/>
            </w:tcMar>
            <w:vAlign w:val="center"/>
          </w:tcPr>
          <w:p>
            <w:pPr>
              <w:jc w:val="center"/>
            </w:pPr>
            <w:r>
              <w:rPr>
                <w:rFonts w:ascii="Calibri" w:hAnsi="Calibri"/>
                <w:sz w:val="17"/>
              </w:rPr>
              <w:t>0.184626</w:t>
            </w:r>
          </w:p>
        </w:tc>
        <w:tc>
          <w:tcPr>
            <w:tcW w:type="dxa" w:w="2412"/>
            <w:tcMar>
              <w:top w:w="80" w:type="dxa"/>
              <w:start w:w="90" w:type="dxa"/>
              <w:bottom w:w="80" w:type="dxa"/>
              <w:end w:w="90" w:type="dxa"/>
            </w:tcMar>
            <w:vAlign w:val="center"/>
          </w:tcPr>
          <w:p>
            <w:pPr>
              <w:jc w:val="center"/>
            </w:pPr>
            <w:r>
              <w:rPr>
                <w:rFonts w:ascii="Calibri" w:hAnsi="Calibri"/>
                <w:sz w:val="17"/>
              </w:rPr>
              <w:t>Not significant</w:t>
            </w:r>
          </w:p>
        </w:tc>
      </w:tr>
      <w:tr>
        <w:tc>
          <w:tcPr>
            <w:tcW w:type="dxa" w:w="2412"/>
            <w:shd w:fill="EAF1F7"/>
            <w:tcMar>
              <w:top w:w="80" w:type="dxa"/>
              <w:start w:w="90" w:type="dxa"/>
              <w:bottom w:w="80" w:type="dxa"/>
              <w:end w:w="90" w:type="dxa"/>
            </w:tcMar>
            <w:vAlign w:val="center"/>
          </w:tcPr>
          <w:p>
            <w:pPr>
              <w:jc w:val="left"/>
            </w:pPr>
            <w:r>
              <w:rPr>
                <w:rFonts w:ascii="Calibri" w:hAnsi="Calibri"/>
                <w:sz w:val="17"/>
              </w:rPr>
              <w:t>Lagged fixed-rate share</w:t>
            </w:r>
          </w:p>
        </w:tc>
        <w:tc>
          <w:tcPr>
            <w:tcW w:type="dxa" w:w="2412"/>
            <w:shd w:fill="EAF1F7"/>
            <w:tcMar>
              <w:top w:w="80" w:type="dxa"/>
              <w:start w:w="90" w:type="dxa"/>
              <w:bottom w:w="80" w:type="dxa"/>
              <w:end w:w="90" w:type="dxa"/>
            </w:tcMar>
            <w:vAlign w:val="center"/>
          </w:tcPr>
          <w:p>
            <w:pPr>
              <w:jc w:val="center"/>
            </w:pPr>
            <w:r>
              <w:rPr>
                <w:rFonts w:ascii="Calibri" w:hAnsi="Calibri"/>
                <w:sz w:val="17"/>
              </w:rPr>
              <w:t>-0.010405</w:t>
            </w:r>
          </w:p>
        </w:tc>
        <w:tc>
          <w:tcPr>
            <w:tcW w:type="dxa" w:w="2412"/>
            <w:shd w:fill="EAF1F7"/>
            <w:tcMar>
              <w:top w:w="80" w:type="dxa"/>
              <w:start w:w="90" w:type="dxa"/>
              <w:bottom w:w="80" w:type="dxa"/>
              <w:end w:w="90" w:type="dxa"/>
            </w:tcMar>
            <w:vAlign w:val="center"/>
          </w:tcPr>
          <w:p>
            <w:pPr>
              <w:jc w:val="center"/>
            </w:pPr>
            <w:r>
              <w:rPr>
                <w:rFonts w:ascii="Calibri" w:hAnsi="Calibri"/>
                <w:sz w:val="17"/>
              </w:rPr>
              <w:t>0.454265</w:t>
            </w:r>
          </w:p>
        </w:tc>
        <w:tc>
          <w:tcPr>
            <w:tcW w:type="dxa" w:w="2412"/>
            <w:shd w:fill="EAF1F7"/>
            <w:tcMar>
              <w:top w:w="80" w:type="dxa"/>
              <w:start w:w="90" w:type="dxa"/>
              <w:bottom w:w="80" w:type="dxa"/>
              <w:end w:w="90" w:type="dxa"/>
            </w:tcMar>
            <w:vAlign w:val="center"/>
          </w:tcPr>
          <w:p>
            <w:pPr>
              <w:jc w:val="center"/>
            </w:pPr>
            <w:r>
              <w:rPr>
                <w:rFonts w:ascii="Calibri" w:hAnsi="Calibri"/>
                <w:sz w:val="17"/>
              </w:rPr>
              <w:t>Not significant</w:t>
            </w:r>
          </w:p>
        </w:tc>
      </w:tr>
      <w:tr>
        <w:tc>
          <w:tcPr>
            <w:tcW w:type="dxa" w:w="2412"/>
            <w:tcMar>
              <w:top w:w="80" w:type="dxa"/>
              <w:start w:w="90" w:type="dxa"/>
              <w:bottom w:w="80" w:type="dxa"/>
              <w:end w:w="90" w:type="dxa"/>
            </w:tcMar>
            <w:vAlign w:val="center"/>
          </w:tcPr>
          <w:p>
            <w:pPr>
              <w:jc w:val="left"/>
            </w:pPr>
            <w:r>
              <w:rPr>
                <w:rFonts w:ascii="Calibri" w:hAnsi="Calibri"/>
                <w:sz w:val="17"/>
              </w:rPr>
              <w:t>Lagged LTV &gt; 90% share</w:t>
            </w:r>
          </w:p>
        </w:tc>
        <w:tc>
          <w:tcPr>
            <w:tcW w:type="dxa" w:w="2412"/>
            <w:tcMar>
              <w:top w:w="80" w:type="dxa"/>
              <w:start w:w="90" w:type="dxa"/>
              <w:bottom w:w="80" w:type="dxa"/>
              <w:end w:w="90" w:type="dxa"/>
            </w:tcMar>
            <w:vAlign w:val="center"/>
          </w:tcPr>
          <w:p>
            <w:pPr>
              <w:jc w:val="center"/>
            </w:pPr>
            <w:r>
              <w:rPr>
                <w:rFonts w:ascii="Calibri" w:hAnsi="Calibri"/>
                <w:sz w:val="17"/>
              </w:rPr>
              <w:t>0.250428</w:t>
            </w:r>
          </w:p>
        </w:tc>
        <w:tc>
          <w:tcPr>
            <w:tcW w:type="dxa" w:w="2412"/>
            <w:tcMar>
              <w:top w:w="80" w:type="dxa"/>
              <w:start w:w="90" w:type="dxa"/>
              <w:bottom w:w="80" w:type="dxa"/>
              <w:end w:w="90" w:type="dxa"/>
            </w:tcMar>
            <w:vAlign w:val="center"/>
          </w:tcPr>
          <w:p>
            <w:pPr>
              <w:jc w:val="center"/>
            </w:pPr>
            <w:r>
              <w:rPr>
                <w:rFonts w:ascii="Calibri" w:hAnsi="Calibri"/>
                <w:sz w:val="17"/>
              </w:rPr>
              <w:t>0.036529</w:t>
            </w:r>
          </w:p>
        </w:tc>
        <w:tc>
          <w:tcPr>
            <w:tcW w:type="dxa" w:w="2412"/>
            <w:tcMar>
              <w:top w:w="80" w:type="dxa"/>
              <w:start w:w="90" w:type="dxa"/>
              <w:bottom w:w="80" w:type="dxa"/>
              <w:end w:w="90" w:type="dxa"/>
            </w:tcMar>
            <w:vAlign w:val="center"/>
          </w:tcPr>
          <w:p>
            <w:pPr>
              <w:jc w:val="center"/>
            </w:pPr>
            <w:r>
              <w:rPr>
                <w:rFonts w:ascii="Calibri" w:hAnsi="Calibri"/>
                <w:sz w:val="17"/>
              </w:rPr>
              <w:t>Positive and significant</w:t>
            </w:r>
          </w:p>
        </w:tc>
      </w:tr>
      <w:tr>
        <w:tc>
          <w:tcPr>
            <w:tcW w:type="dxa" w:w="2412"/>
            <w:shd w:fill="EAF1F7"/>
            <w:tcMar>
              <w:top w:w="80" w:type="dxa"/>
              <w:start w:w="90" w:type="dxa"/>
              <w:bottom w:w="80" w:type="dxa"/>
              <w:end w:w="90" w:type="dxa"/>
            </w:tcMar>
            <w:vAlign w:val="center"/>
          </w:tcPr>
          <w:p>
            <w:pPr>
              <w:jc w:val="left"/>
            </w:pPr>
            <w:r>
              <w:rPr>
                <w:rFonts w:ascii="Calibri" w:hAnsi="Calibri"/>
                <w:sz w:val="17"/>
              </w:rPr>
              <w:t>Lagged gross advances</w:t>
            </w:r>
          </w:p>
        </w:tc>
        <w:tc>
          <w:tcPr>
            <w:tcW w:type="dxa" w:w="2412"/>
            <w:shd w:fill="EAF1F7"/>
            <w:tcMar>
              <w:top w:w="80" w:type="dxa"/>
              <w:start w:w="90" w:type="dxa"/>
              <w:bottom w:w="80" w:type="dxa"/>
              <w:end w:w="90" w:type="dxa"/>
            </w:tcMar>
            <w:vAlign w:val="center"/>
          </w:tcPr>
          <w:p>
            <w:pPr>
              <w:jc w:val="center"/>
            </w:pPr>
            <w:r>
              <w:rPr>
                <w:rFonts w:ascii="Calibri" w:hAnsi="Calibri"/>
                <w:sz w:val="17"/>
              </w:rPr>
              <w:t>0.000006</w:t>
            </w:r>
          </w:p>
        </w:tc>
        <w:tc>
          <w:tcPr>
            <w:tcW w:type="dxa" w:w="2412"/>
            <w:shd w:fill="EAF1F7"/>
            <w:tcMar>
              <w:top w:w="80" w:type="dxa"/>
              <w:start w:w="90" w:type="dxa"/>
              <w:bottom w:w="80" w:type="dxa"/>
              <w:end w:w="90" w:type="dxa"/>
            </w:tcMar>
            <w:vAlign w:val="center"/>
          </w:tcPr>
          <w:p>
            <w:pPr>
              <w:jc w:val="center"/>
            </w:pPr>
            <w:r>
              <w:rPr>
                <w:rFonts w:ascii="Calibri" w:hAnsi="Calibri"/>
                <w:sz w:val="17"/>
              </w:rPr>
              <w:t>0.639571</w:t>
            </w:r>
          </w:p>
        </w:tc>
        <w:tc>
          <w:tcPr>
            <w:tcW w:type="dxa" w:w="2412"/>
            <w:shd w:fill="EAF1F7"/>
            <w:tcMar>
              <w:top w:w="80" w:type="dxa"/>
              <w:start w:w="90" w:type="dxa"/>
              <w:bottom w:w="80" w:type="dxa"/>
              <w:end w:w="90" w:type="dxa"/>
            </w:tcMar>
            <w:vAlign w:val="center"/>
          </w:tcPr>
          <w:p>
            <w:pPr>
              <w:jc w:val="center"/>
            </w:pPr>
            <w:r>
              <w:rPr>
                <w:rFonts w:ascii="Calibri" w:hAnsi="Calibri"/>
                <w:sz w:val="17"/>
              </w:rPr>
              <w:t>Not significant</w:t>
            </w:r>
          </w:p>
        </w:tc>
      </w:tr>
    </w:tbl>
    <w:p>
      <w:r>
        <w:t>Model 2 fit statistics: R² = 0.7902; adjusted R² = 0.7640; AIC = 69.4209; BIC = 83.4722; observations = 55.</w:t>
      </w:r>
    </w:p>
    <w:p>
      <w:pPr>
        <w:pStyle w:val="Heading1"/>
        <w:keepNext/>
      </w:pPr>
      <w:r>
        <w:t>7. Forecasting extension in R</w:t>
      </w:r>
    </w:p>
    <w:p>
      <w:r>
        <w:t>The forecasting extension reserves the last eight quarters as a test set and estimates univariate ARIMA baselines. The serious-arrears forecast selected ARIMA(1,2,1) and produced weaker out-of-sample performance: RMSE 0.3227, MAE 0.2887, MAPE 30.02%, and Theil’s U 4.0803. That result establishes a useful baseline but suggests that serious arrears are not especially well explained by their own past values alone.</w:t>
      </w:r>
    </w:p>
    <w:p>
      <w:r>
        <w:t>By contrast, the new-possessions forecast selected ARIMA(0,2,1)(1,0,1)[4] and performed better out of sample: RMSE 440.2543, MAE 363.6301, MAPE 18.93%, and Theil’s U 1.5499. This suggests that possession activity may contain a stronger univariate time-series structure than serious arrears over the same window.</w:t>
      </w:r>
    </w:p>
    <w:p>
      <w:pPr>
        <w:pStyle w:val="Heading2"/>
        <w:keepNext/>
      </w:pPr>
      <w:r>
        <w:t>Table 6. Forecasting baseline performance from R</w:t>
      </w:r>
    </w:p>
    <w:tbl>
      <w:tblPr>
        <w:tblStyle w:val="TableGrid"/>
        <w:tblW w:type="auto" w:w="0"/>
        <w:jc w:val="center"/>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378"/>
        <w:gridCol w:w="1378"/>
        <w:gridCol w:w="1378"/>
        <w:gridCol w:w="1378"/>
        <w:gridCol w:w="1378"/>
        <w:gridCol w:w="1378"/>
        <w:gridCol w:w="1378"/>
      </w:tblGrid>
      <w:tr>
        <w:trPr>
          <w:tblHeader w:val="true"/>
        </w:trPr>
        <w:tc>
          <w:tcPr>
            <w:tcW w:type="dxa" w:w="1378"/>
            <w:shd w:fill="1F4E78"/>
            <w:tcMar>
              <w:top w:w="80" w:type="dxa"/>
              <w:start w:w="90" w:type="dxa"/>
              <w:bottom w:w="80" w:type="dxa"/>
              <w:end w:w="90" w:type="dxa"/>
            </w:tcMar>
            <w:vAlign w:val="center"/>
          </w:tcPr>
          <w:p>
            <w:pPr>
              <w:jc w:val="center"/>
            </w:pPr>
            <w:r>
              <w:rPr>
                <w:rFonts w:ascii="Calibri" w:hAnsi="Calibri"/>
                <w:b/>
                <w:color w:val="FFFFFF"/>
                <w:sz w:val="16"/>
              </w:rPr>
              <w:t>Series</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6"/>
              </w:rPr>
              <w:t>Model</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6"/>
              </w:rPr>
              <w:t>RMSE</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6"/>
              </w:rPr>
              <w:t>MAE</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6"/>
              </w:rPr>
              <w:t>MAPE</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6"/>
              </w:rPr>
              <w:t>Theil’s U</w:t>
            </w:r>
          </w:p>
        </w:tc>
        <w:tc>
          <w:tcPr>
            <w:tcW w:type="dxa" w:w="1378"/>
            <w:shd w:fill="1F4E78"/>
            <w:tcMar>
              <w:top w:w="80" w:type="dxa"/>
              <w:start w:w="90" w:type="dxa"/>
              <w:bottom w:w="80" w:type="dxa"/>
              <w:end w:w="90" w:type="dxa"/>
            </w:tcMar>
            <w:vAlign w:val="center"/>
          </w:tcPr>
          <w:p>
            <w:pPr>
              <w:jc w:val="center"/>
            </w:pPr>
            <w:r>
              <w:rPr>
                <w:rFonts w:ascii="Calibri" w:hAnsi="Calibri"/>
                <w:b/>
                <w:color w:val="FFFFFF"/>
                <w:sz w:val="16"/>
              </w:rPr>
              <w:t>Comment</w:t>
            </w:r>
          </w:p>
        </w:tc>
      </w:tr>
      <w:tr>
        <w:tc>
          <w:tcPr>
            <w:tcW w:type="dxa" w:w="1378"/>
            <w:tcMar>
              <w:top w:w="80" w:type="dxa"/>
              <w:start w:w="90" w:type="dxa"/>
              <w:bottom w:w="80" w:type="dxa"/>
              <w:end w:w="90" w:type="dxa"/>
            </w:tcMar>
            <w:vAlign w:val="center"/>
          </w:tcPr>
          <w:p>
            <w:pPr>
              <w:jc w:val="left"/>
            </w:pPr>
            <w:r>
              <w:rPr>
                <w:rFonts w:ascii="Calibri" w:hAnsi="Calibri"/>
                <w:sz w:val="16"/>
              </w:rPr>
              <w:t>Serious arrears rate</w:t>
            </w:r>
          </w:p>
        </w:tc>
        <w:tc>
          <w:tcPr>
            <w:tcW w:type="dxa" w:w="1378"/>
            <w:tcMar>
              <w:top w:w="80" w:type="dxa"/>
              <w:start w:w="90" w:type="dxa"/>
              <w:bottom w:w="80" w:type="dxa"/>
              <w:end w:w="90" w:type="dxa"/>
            </w:tcMar>
            <w:vAlign w:val="center"/>
          </w:tcPr>
          <w:p>
            <w:pPr>
              <w:jc w:val="center"/>
            </w:pPr>
            <w:r>
              <w:rPr>
                <w:rFonts w:ascii="Calibri" w:hAnsi="Calibri"/>
                <w:sz w:val="16"/>
              </w:rPr>
              <w:t>ARIMA(1,2,1)</w:t>
            </w:r>
          </w:p>
        </w:tc>
        <w:tc>
          <w:tcPr>
            <w:tcW w:type="dxa" w:w="1378"/>
            <w:tcMar>
              <w:top w:w="80" w:type="dxa"/>
              <w:start w:w="90" w:type="dxa"/>
              <w:bottom w:w="80" w:type="dxa"/>
              <w:end w:w="90" w:type="dxa"/>
            </w:tcMar>
            <w:vAlign w:val="center"/>
          </w:tcPr>
          <w:p>
            <w:pPr>
              <w:jc w:val="center"/>
            </w:pPr>
            <w:r>
              <w:rPr>
                <w:rFonts w:ascii="Calibri" w:hAnsi="Calibri"/>
                <w:sz w:val="16"/>
              </w:rPr>
              <w:t>0.3227</w:t>
            </w:r>
          </w:p>
        </w:tc>
        <w:tc>
          <w:tcPr>
            <w:tcW w:type="dxa" w:w="1378"/>
            <w:tcMar>
              <w:top w:w="80" w:type="dxa"/>
              <w:start w:w="90" w:type="dxa"/>
              <w:bottom w:w="80" w:type="dxa"/>
              <w:end w:w="90" w:type="dxa"/>
            </w:tcMar>
            <w:vAlign w:val="center"/>
          </w:tcPr>
          <w:p>
            <w:pPr>
              <w:jc w:val="center"/>
            </w:pPr>
            <w:r>
              <w:rPr>
                <w:rFonts w:ascii="Calibri" w:hAnsi="Calibri"/>
                <w:sz w:val="16"/>
              </w:rPr>
              <w:t>0.2887</w:t>
            </w:r>
          </w:p>
        </w:tc>
        <w:tc>
          <w:tcPr>
            <w:tcW w:type="dxa" w:w="1378"/>
            <w:tcMar>
              <w:top w:w="80" w:type="dxa"/>
              <w:start w:w="90" w:type="dxa"/>
              <w:bottom w:w="80" w:type="dxa"/>
              <w:end w:w="90" w:type="dxa"/>
            </w:tcMar>
            <w:vAlign w:val="center"/>
          </w:tcPr>
          <w:p>
            <w:pPr>
              <w:jc w:val="center"/>
            </w:pPr>
            <w:r>
              <w:rPr>
                <w:rFonts w:ascii="Calibri" w:hAnsi="Calibri"/>
                <w:sz w:val="16"/>
              </w:rPr>
              <w:t>30.02%</w:t>
            </w:r>
          </w:p>
        </w:tc>
        <w:tc>
          <w:tcPr>
            <w:tcW w:type="dxa" w:w="1378"/>
            <w:tcMar>
              <w:top w:w="80" w:type="dxa"/>
              <w:start w:w="90" w:type="dxa"/>
              <w:bottom w:w="80" w:type="dxa"/>
              <w:end w:w="90" w:type="dxa"/>
            </w:tcMar>
            <w:vAlign w:val="center"/>
          </w:tcPr>
          <w:p>
            <w:pPr>
              <w:jc w:val="center"/>
            </w:pPr>
            <w:r>
              <w:rPr>
                <w:rFonts w:ascii="Calibri" w:hAnsi="Calibri"/>
                <w:sz w:val="16"/>
              </w:rPr>
              <w:t>4.0803</w:t>
            </w:r>
          </w:p>
        </w:tc>
        <w:tc>
          <w:tcPr>
            <w:tcW w:type="dxa" w:w="1378"/>
            <w:tcMar>
              <w:top w:w="80" w:type="dxa"/>
              <w:start w:w="90" w:type="dxa"/>
              <w:bottom w:w="80" w:type="dxa"/>
              <w:end w:w="90" w:type="dxa"/>
            </w:tcMar>
            <w:vAlign w:val="center"/>
          </w:tcPr>
          <w:p>
            <w:pPr>
              <w:jc w:val="center"/>
            </w:pPr>
            <w:r>
              <w:rPr>
                <w:rFonts w:ascii="Calibri" w:hAnsi="Calibri"/>
                <w:sz w:val="16"/>
              </w:rPr>
              <w:t>Weak baseline; underpredicts late-sample rise</w:t>
            </w:r>
          </w:p>
        </w:tc>
      </w:tr>
      <w:tr>
        <w:tc>
          <w:tcPr>
            <w:tcW w:type="dxa" w:w="1378"/>
            <w:shd w:fill="EAF1F7"/>
            <w:tcMar>
              <w:top w:w="80" w:type="dxa"/>
              <w:start w:w="90" w:type="dxa"/>
              <w:bottom w:w="80" w:type="dxa"/>
              <w:end w:w="90" w:type="dxa"/>
            </w:tcMar>
            <w:vAlign w:val="center"/>
          </w:tcPr>
          <w:p>
            <w:pPr>
              <w:jc w:val="left"/>
            </w:pPr>
            <w:r>
              <w:rPr>
                <w:rFonts w:ascii="Calibri" w:hAnsi="Calibri"/>
                <w:sz w:val="16"/>
              </w:rPr>
              <w:t>New possessions</w:t>
            </w:r>
          </w:p>
        </w:tc>
        <w:tc>
          <w:tcPr>
            <w:tcW w:type="dxa" w:w="1378"/>
            <w:shd w:fill="EAF1F7"/>
            <w:tcMar>
              <w:top w:w="80" w:type="dxa"/>
              <w:start w:w="90" w:type="dxa"/>
              <w:bottom w:w="80" w:type="dxa"/>
              <w:end w:w="90" w:type="dxa"/>
            </w:tcMar>
            <w:vAlign w:val="center"/>
          </w:tcPr>
          <w:p>
            <w:pPr>
              <w:jc w:val="center"/>
            </w:pPr>
            <w:r>
              <w:rPr>
                <w:rFonts w:ascii="Calibri" w:hAnsi="Calibri"/>
                <w:sz w:val="16"/>
              </w:rPr>
              <w:t>ARIMA(0,2,1)(1,0,1)[4]</w:t>
            </w:r>
          </w:p>
        </w:tc>
        <w:tc>
          <w:tcPr>
            <w:tcW w:type="dxa" w:w="1378"/>
            <w:shd w:fill="EAF1F7"/>
            <w:tcMar>
              <w:top w:w="80" w:type="dxa"/>
              <w:start w:w="90" w:type="dxa"/>
              <w:bottom w:w="80" w:type="dxa"/>
              <w:end w:w="90" w:type="dxa"/>
            </w:tcMar>
            <w:vAlign w:val="center"/>
          </w:tcPr>
          <w:p>
            <w:pPr>
              <w:jc w:val="center"/>
            </w:pPr>
            <w:r>
              <w:rPr>
                <w:rFonts w:ascii="Calibri" w:hAnsi="Calibri"/>
                <w:sz w:val="16"/>
              </w:rPr>
              <w:t>440.2543</w:t>
            </w:r>
          </w:p>
        </w:tc>
        <w:tc>
          <w:tcPr>
            <w:tcW w:type="dxa" w:w="1378"/>
            <w:shd w:fill="EAF1F7"/>
            <w:tcMar>
              <w:top w:w="80" w:type="dxa"/>
              <w:start w:w="90" w:type="dxa"/>
              <w:bottom w:w="80" w:type="dxa"/>
              <w:end w:w="90" w:type="dxa"/>
            </w:tcMar>
            <w:vAlign w:val="center"/>
          </w:tcPr>
          <w:p>
            <w:pPr>
              <w:jc w:val="center"/>
            </w:pPr>
            <w:r>
              <w:rPr>
                <w:rFonts w:ascii="Calibri" w:hAnsi="Calibri"/>
                <w:sz w:val="16"/>
              </w:rPr>
              <w:t>363.6301</w:t>
            </w:r>
          </w:p>
        </w:tc>
        <w:tc>
          <w:tcPr>
            <w:tcW w:type="dxa" w:w="1378"/>
            <w:shd w:fill="EAF1F7"/>
            <w:tcMar>
              <w:top w:w="80" w:type="dxa"/>
              <w:start w:w="90" w:type="dxa"/>
              <w:bottom w:w="80" w:type="dxa"/>
              <w:end w:w="90" w:type="dxa"/>
            </w:tcMar>
            <w:vAlign w:val="center"/>
          </w:tcPr>
          <w:p>
            <w:pPr>
              <w:jc w:val="center"/>
            </w:pPr>
            <w:r>
              <w:rPr>
                <w:rFonts w:ascii="Calibri" w:hAnsi="Calibri"/>
                <w:sz w:val="16"/>
              </w:rPr>
              <w:t>18.93%</w:t>
            </w:r>
          </w:p>
        </w:tc>
        <w:tc>
          <w:tcPr>
            <w:tcW w:type="dxa" w:w="1378"/>
            <w:shd w:fill="EAF1F7"/>
            <w:tcMar>
              <w:top w:w="80" w:type="dxa"/>
              <w:start w:w="90" w:type="dxa"/>
              <w:bottom w:w="80" w:type="dxa"/>
              <w:end w:w="90" w:type="dxa"/>
            </w:tcMar>
            <w:vAlign w:val="center"/>
          </w:tcPr>
          <w:p>
            <w:pPr>
              <w:jc w:val="center"/>
            </w:pPr>
            <w:r>
              <w:rPr>
                <w:rFonts w:ascii="Calibri" w:hAnsi="Calibri"/>
                <w:sz w:val="16"/>
              </w:rPr>
              <w:t>1.5499</w:t>
            </w:r>
          </w:p>
        </w:tc>
        <w:tc>
          <w:tcPr>
            <w:tcW w:type="dxa" w:w="1378"/>
            <w:shd w:fill="EAF1F7"/>
            <w:tcMar>
              <w:top w:w="80" w:type="dxa"/>
              <w:start w:w="90" w:type="dxa"/>
              <w:bottom w:w="80" w:type="dxa"/>
              <w:end w:w="90" w:type="dxa"/>
            </w:tcMar>
            <w:vAlign w:val="center"/>
          </w:tcPr>
          <w:p>
            <w:pPr>
              <w:jc w:val="center"/>
            </w:pPr>
            <w:r>
              <w:rPr>
                <w:rFonts w:ascii="Calibri" w:hAnsi="Calibri"/>
                <w:sz w:val="16"/>
              </w:rPr>
              <w:t>Better univariate forecastability than arrears</w:t>
            </w:r>
          </w:p>
        </w:tc>
      </w:tr>
    </w:tbl>
    <w:p>
      <w:pPr>
        <w:pStyle w:val="Heading1"/>
        <w:keepNext/>
      </w:pPr>
      <w:r>
        <w:t>8. Discussion</w:t>
      </w:r>
    </w:p>
    <w:p>
      <w:r>
        <w:t>Taken together, the results support a sequential interpretation of UK mortgage stress. Mortgage pricing, product structure, and aggregate market activity are associated with serious arrears, while serious arrears themselves are strongly associated with later possessions. Fixed-rate penetration appears especially important in understanding why mortgage stress moderated so sharply after the early 2010s, even though higher-risk leverage structures remain relevant for downstream possession outcomes.</w:t>
      </w:r>
    </w:p>
    <w:p>
      <w:r>
        <w:t>The paper’s most important contribution is therefore not a single coefficient but an integrated empirical narrative: broader mortgage-market conditions appear to shape arrears risk, and arrears risk in turn helps explain enforcement-stage outcomes. That sequence is useful both analytically and for portfolio presentation because it connects descriptive, inferential, and predictive layers in one coherent workflow.</w:t>
      </w:r>
    </w:p>
    <w:p>
      <w:pPr>
        <w:pStyle w:val="Heading1"/>
        <w:keepNext/>
      </w:pPr>
      <w:r>
        <w:t>9. Limitations</w:t>
      </w:r>
    </w:p>
    <w:p>
      <w:r>
        <w:t>The analysis remains associational rather than causal. The sample is quarterly and comparatively short, and several explanatory variables share common trends over time. Aggregate possessions are also shaped by institutional factors such as lender forbearance, court processes, and policy interventions that are not explicitly modeled here. The negative coefficient on lagged LTV &gt; 90% share in Model 1 should therefore be interpreted with care rather than as a simple protective effect.</w:t>
      </w:r>
    </w:p>
    <w:p>
      <w:pPr>
        <w:pStyle w:val="Heading1"/>
        <w:keepNext/>
      </w:pPr>
      <w:r>
        <w:t>10. Conclusion</w:t>
      </w:r>
    </w:p>
    <w:p>
      <w:r>
        <w:t>This study shows that UK mortgage risk is best understood as a staged process rather than as an isolated arrears statistic. Using a 56-quarter panel with no missing values, the paper finds that lagged interest-rate conditions, fixed-rate penetration, and lending activity help explain serious arrears, while lagged arrears themselves are strongly associated with later possessions. The R forecasting extension adds a useful predictive layer and shows that new possessions are more forecastable than serious arrears in a simple univariate setting. As a portfolio artifact, the project demonstrates end-to-end empirical work across data engineering, statistical analysis, econometric modeling, and forecasting.</w:t>
      </w:r>
    </w:p>
    <w:p>
      <w:pPr>
        <w:pStyle w:val="Heading1"/>
        <w:keepNext/>
      </w:pPr>
      <w:r>
        <w:t>Data sources used in the project</w:t>
      </w:r>
    </w:p>
    <w:p>
      <w:r>
        <w:t>Bank of England Mortgage Lenders and Administrators Statistics (MLAR); FCA mortgage lending and mortgage product sales data; Office for National Statistics UK House Price Index; and UK Finance arrears and possessions updates. This draft intentionally omits raw URLs and should be treated as a polished working draft rather than a journal-formatted final submission.</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