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after="360" w:before="2400" w:line="240" w:lineRule="auto"/>
        <w:jc w:val="center"/>
        <w:keepNext/>
      </w:pPr>
      <w:r>
        <w:rPr>
          <w:rFonts w:ascii="Times New Roman" w:hAnsi="Times New Roman" w:eastAsia="Times New Roman" w:cs="Times New Roman"/>
          <w:b/>
          <w:color w:val="000000"/>
          <w:sz w:val="48"/>
        </w:rPr>
        <w:t>Fuel Poverty Risk in County Durham</w:t>
      </w:r>
    </w:p>
    <w:p>
      <w:pPr>
        <w:pageBreakBefore w:val="0"/>
        <w:spacing w:after="0" w:before="0" w:line="240" w:lineRule="auto"/>
        <w:jc w:val="center"/>
        <w:keepNext/>
      </w:pPr>
      <w:r/>
      <w:r>
        <w:rPr>
          <w:rFonts w:ascii="Times New Roman" w:hAnsi="Times New Roman" w:eastAsia="Times New Roman"/>
          <w:sz w:val="26"/>
        </w:rPr>
        <w:t>Analytical report with tables, Word equation formatting, and colour graphs</w:t>
      </w:r>
    </w:p>
    <w:tbl>
      <w:tblPr>
        <w:tblStyle w:val="TableGrid"/>
        <w:tblW w:type="auto" w:w="0"/>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73"/>
        <w:gridCol w:w="4873"/>
      </w:tblGrid>
      <w:tr>
        <w:tc>
          <w:tcPr>
            <w:tcW w:type="dxa" w:w="4608"/>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24"/>
              </w:rPr>
            </w:r>
            <w:r>
              <w:rPr>
                <w:rFonts w:ascii="Times New Roman" w:hAnsi="Times New Roman" w:eastAsia="Times New Roman" w:cs="Times New Roman"/>
                <w:b/>
                <w:color w:val="000000"/>
                <w:sz w:val="24"/>
              </w:rPr>
              <w:t>Item</w:t>
            </w:r>
          </w:p>
        </w:tc>
        <w:tc>
          <w:tcPr>
            <w:tcW w:type="dxa" w:w="5472"/>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24"/>
              </w:rPr>
            </w:r>
            <w:r>
              <w:rPr>
                <w:rFonts w:ascii="Times New Roman" w:hAnsi="Times New Roman" w:eastAsia="Times New Roman" w:cs="Times New Roman"/>
                <w:b/>
                <w:color w:val="000000"/>
                <w:sz w:val="24"/>
              </w:rPr>
              <w:t>Value</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Local authority</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County Durham</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Code</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E06000047</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Report basis</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Outputs produced from the Python workflow completed in this conversation</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Scope</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EPC-led postcode screening; local-authority fuel poverty, energy, gas, and IMD context</w:t>
            </w:r>
          </w:p>
        </w:tc>
      </w:tr>
    </w:tbl>
    <w:p>
      <w:pPr>
        <w:pageBreakBefore w:val="0"/>
        <w:spacing w:before="0" w:after="0" w:line="240" w:lineRule="auto"/>
        <w:jc w:val="left"/>
      </w:pPr>
    </w:p>
    <w:p>
      <w:pPr>
        <w:pageBreakBefore/>
        <w:spacing w:after="200" w:before="0" w:line="240" w:lineRule="auto"/>
        <w:jc w:val="left"/>
        <w:keepNext/>
        <w:keepLines/>
      </w:pPr>
      <w:r>
        <w:rPr>
          <w:rFonts w:ascii="Times New Roman" w:hAnsi="Times New Roman" w:eastAsia="Times New Roman" w:cs="Times New Roman"/>
          <w:b/>
          <w:color w:val="000000"/>
          <w:sz w:val="40"/>
        </w:rPr>
        <w:t>1. Purpose and scope</w:t>
      </w:r>
    </w:p>
    <w:p>
      <w:pPr>
        <w:pageBreakBefore w:val="0"/>
        <w:spacing w:after="160" w:before="0" w:line="276" w:lineRule="auto"/>
        <w:jc w:val="both"/>
        <w:keepNext/>
      </w:pPr>
      <w:r>
        <w:rPr>
          <w:rFonts w:ascii="Times New Roman" w:hAnsi="Times New Roman" w:eastAsia="Times New Roman" w:cs="Times New Roman"/>
          <w:b w:val="0"/>
          <w:color w:val="000000"/>
          <w:sz w:val="28"/>
        </w:rPr>
        <w:t>This document summarises the County Durham postcode screening model built from EPC data. The final ranking is not a direct postcode-level measure of observed fuel poverty; it is an EPC-led risk proxy designed to highlight areas where low EPC ratings, weak current efficiency, and remaining upgrade potential are concentrated.</w:t>
      </w:r>
    </w:p>
    <w:p>
      <w:pPr>
        <w:pageBreakBefore/>
        <w:spacing w:after="200" w:before="0" w:line="240" w:lineRule="auto"/>
        <w:jc w:val="left"/>
        <w:keepNext/>
        <w:keepLines/>
      </w:pPr>
      <w:r>
        <w:rPr>
          <w:rFonts w:ascii="Times New Roman" w:hAnsi="Times New Roman" w:eastAsia="Times New Roman" w:cs="Times New Roman"/>
          <w:b/>
          <w:color w:val="000000"/>
          <w:sz w:val="40"/>
        </w:rPr>
        <w:t>2. Workflow and retained dataset</w:t>
      </w:r>
    </w:p>
    <w:tbl>
      <w:tblPr>
        <w:tblStyle w:val="TableGrid"/>
        <w:tblW w:type="auto" w:w="0"/>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73"/>
        <w:gridCol w:w="4873"/>
      </w:tblGrid>
      <w:tr>
        <w:tc>
          <w:tcPr>
            <w:tcW w:type="dxa" w:w="4608"/>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24"/>
              </w:rPr>
            </w:r>
            <w:r>
              <w:rPr>
                <w:rFonts w:ascii="Times New Roman" w:hAnsi="Times New Roman" w:eastAsia="Times New Roman" w:cs="Times New Roman"/>
                <w:b/>
                <w:color w:val="000000"/>
                <w:sz w:val="24"/>
              </w:rPr>
              <w:t>Workflow checkpoint</w:t>
            </w:r>
          </w:p>
        </w:tc>
        <w:tc>
          <w:tcPr>
            <w:tcW w:type="dxa" w:w="5472"/>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24"/>
              </w:rPr>
            </w:r>
            <w:r>
              <w:rPr>
                <w:rFonts w:ascii="Times New Roman" w:hAnsi="Times New Roman" w:eastAsia="Times New Roman" w:cs="Times New Roman"/>
                <w:b/>
                <w:color w:val="000000"/>
                <w:sz w:val="24"/>
              </w:rPr>
              <w:t>Result</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Full EPC rows pulled</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299,445</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Unique latest property records retained</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233,972</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Low-rating properties (bands E, F, or G)</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28,921</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Low-efficiency properties (current efficiency &lt; 55)</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28,921</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Implausible improvement-gap rows isolated</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30</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Filtered postcodes in final ranking (minimum 20 properties)</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4,429</w:t>
            </w:r>
          </w:p>
        </w:tc>
      </w:tr>
    </w:tbl>
    <w:p>
      <w:pPr>
        <w:pageBreakBefore w:val="0"/>
        <w:spacing w:before="0" w:after="0" w:line="240" w:lineRule="auto"/>
        <w:jc w:val="left"/>
      </w:pPr>
    </w:p>
    <w:p>
      <w:pPr>
        <w:pageBreakBefore w:val="0"/>
        <w:spacing w:after="160" w:before="0" w:line="276" w:lineRule="auto"/>
        <w:jc w:val="both"/>
        <w:keepNext/>
      </w:pPr>
      <w:r>
        <w:rPr>
          <w:rFonts w:ascii="Times New Roman" w:hAnsi="Times New Roman" w:eastAsia="Times New Roman" w:cs="Times New Roman"/>
          <w:b w:val="0"/>
          <w:color w:val="000000"/>
          <w:sz w:val="28"/>
        </w:rPr>
        <w:t>The county field in the cleaned EPC extract was entirely missing and was dropped. Postcodes with fewer than 20 retained properties were excluded to reduce instability in very small groups.</w:t>
      </w:r>
    </w:p>
    <w:p>
      <w:pPr>
        <w:pageBreakBefore/>
        <w:spacing w:after="200" w:before="0" w:line="240" w:lineRule="auto"/>
        <w:jc w:val="left"/>
        <w:keepNext/>
        <w:keepLines/>
      </w:pPr>
      <w:r>
        <w:rPr>
          <w:rFonts w:ascii="Times New Roman" w:hAnsi="Times New Roman" w:eastAsia="Times New Roman" w:cs="Times New Roman"/>
          <w:b/>
          <w:color w:val="000000"/>
          <w:sz w:val="40"/>
        </w:rPr>
        <w:t>3. County Durham summary results</w:t>
      </w:r>
    </w:p>
    <w:tbl>
      <w:tblPr>
        <w:tblStyle w:val="TableGrid"/>
        <w:tblW w:type="auto" w:w="0"/>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73"/>
        <w:gridCol w:w="4873"/>
      </w:tblGrid>
      <w:tr>
        <w:tc>
          <w:tcPr>
            <w:tcW w:type="dxa" w:w="4608"/>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24"/>
              </w:rPr>
            </w:r>
            <w:r>
              <w:rPr>
                <w:rFonts w:ascii="Times New Roman" w:hAnsi="Times New Roman" w:eastAsia="Times New Roman" w:cs="Times New Roman"/>
                <w:b/>
                <w:color w:val="000000"/>
                <w:sz w:val="24"/>
              </w:rPr>
              <w:t>Indicator</w:t>
            </w:r>
          </w:p>
        </w:tc>
        <w:tc>
          <w:tcPr>
            <w:tcW w:type="dxa" w:w="5472"/>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24"/>
              </w:rPr>
            </w:r>
            <w:r>
              <w:rPr>
                <w:rFonts w:ascii="Times New Roman" w:hAnsi="Times New Roman" w:eastAsia="Times New Roman" w:cs="Times New Roman"/>
                <w:b/>
                <w:color w:val="000000"/>
                <w:sz w:val="24"/>
              </w:rPr>
              <w:t>Value</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Mean postcode risk score</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0.128685</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Median postcode risk score</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0.096423</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Highest-risk postcode</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DH1 5HG</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Lowest-risk postcode</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DL14 8FT</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Mean postcode current efficiency</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67.561627</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Mean postcode potential efficiency</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82.523686</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Mean postcode improvement gap</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14.890493</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Property-level low-rating share</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0.123609</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Property-level low-efficiency share</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0.123609</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Latest-property average current efficiency</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66.644915</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Latest-property average potential efficiency</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82.178684</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Latest-property average cleaned improvement gap</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15.494665</w:t>
            </w:r>
          </w:p>
        </w:tc>
      </w:tr>
    </w:tbl>
    <w:p>
      <w:pPr>
        <w:pageBreakBefore w:val="0"/>
        <w:spacing w:before="0" w:after="0" w:line="240" w:lineRule="auto"/>
        <w:jc w:val="left"/>
      </w:pPr>
    </w:p>
    <w:tbl>
      <w:tblPr>
        <w:tblStyle w:val="TableGrid"/>
        <w:tblW w:type="auto" w:w="0"/>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73"/>
        <w:gridCol w:w="4873"/>
      </w:tblGrid>
      <w:tr>
        <w:tc>
          <w:tcPr>
            <w:tcW w:type="dxa" w:w="4608"/>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24"/>
              </w:rPr>
            </w:r>
            <w:r>
              <w:rPr>
                <w:rFonts w:ascii="Times New Roman" w:hAnsi="Times New Roman" w:eastAsia="Times New Roman" w:cs="Times New Roman"/>
                <w:b/>
                <w:color w:val="000000"/>
                <w:sz w:val="24"/>
              </w:rPr>
              <w:t>Risk band</w:t>
            </w:r>
          </w:p>
        </w:tc>
        <w:tc>
          <w:tcPr>
            <w:tcW w:type="dxa" w:w="5472"/>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24"/>
              </w:rPr>
            </w:r>
            <w:r>
              <w:rPr>
                <w:rFonts w:ascii="Times New Roman" w:hAnsi="Times New Roman" w:eastAsia="Times New Roman" w:cs="Times New Roman"/>
                <w:b/>
                <w:color w:val="000000"/>
                <w:sz w:val="24"/>
              </w:rPr>
              <w:t>Postcode count</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Very Low</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886</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Low</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886</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Medium</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885</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High</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886</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Very High</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886</w:t>
            </w:r>
          </w:p>
        </w:tc>
      </w:tr>
    </w:tbl>
    <w:p>
      <w:pPr>
        <w:pageBreakBefore w:val="0"/>
        <w:spacing w:before="0" w:after="0" w:line="240" w:lineRule="auto"/>
        <w:jc w:val="left"/>
      </w:pPr>
    </w:p>
    <w:p>
      <w:pPr>
        <w:pageBreakBefore w:val="0"/>
        <w:spacing w:after="160" w:before="0" w:line="276" w:lineRule="auto"/>
        <w:jc w:val="both"/>
        <w:keepNext/>
      </w:pPr>
      <w:r>
        <w:rPr>
          <w:rFonts w:ascii="Times New Roman" w:hAnsi="Times New Roman" w:eastAsia="Times New Roman" w:cs="Times New Roman"/>
          <w:b w:val="0"/>
          <w:color w:val="000000"/>
          <w:sz w:val="28"/>
        </w:rPr>
        <w:t>The near-equal band counts are expected because risk bands were produced with five-quantile splitting. They are therefore relative within County Durham rather than absolute national thresholds.</w:t>
      </w:r>
    </w:p>
    <w:p>
      <w:pPr>
        <w:pageBreakBefore/>
        <w:spacing w:after="200" w:before="0" w:line="240" w:lineRule="auto"/>
        <w:jc w:val="left"/>
        <w:keepNext/>
        <w:keepLines/>
      </w:pPr>
      <w:r>
        <w:rPr>
          <w:rFonts w:ascii="Times New Roman" w:hAnsi="Times New Roman" w:eastAsia="Times New Roman" w:cs="Times New Roman"/>
          <w:b/>
          <w:color w:val="000000"/>
          <w:sz w:val="40"/>
        </w:rPr>
        <w:t>4. Highest-risk postcode examples</w:t>
      </w:r>
    </w:p>
    <w:tbl>
      <w:tblPr>
        <w:tblStyle w:val="TableGrid"/>
        <w:tblW w:type="auto" w:w="0"/>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24"/>
        <w:gridCol w:w="1624"/>
        <w:gridCol w:w="1624"/>
        <w:gridCol w:w="1624"/>
        <w:gridCol w:w="1624"/>
        <w:gridCol w:w="1624"/>
      </w:tblGrid>
      <w:tr>
        <w:tc>
          <w:tcPr>
            <w:tcW w:type="dxa" w:w="1728"/>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22"/>
              </w:rPr>
            </w:r>
            <w:r>
              <w:rPr>
                <w:rFonts w:ascii="Times New Roman" w:hAnsi="Times New Roman" w:eastAsia="Times New Roman" w:cs="Times New Roman"/>
                <w:b/>
                <w:color w:val="000000"/>
                <w:sz w:val="22"/>
              </w:rPr>
              <w:t>Postcode</w:t>
            </w:r>
          </w:p>
        </w:tc>
        <w:tc>
          <w:tcPr>
            <w:tcW w:type="dxa" w:w="1008"/>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22"/>
              </w:rPr>
            </w:r>
            <w:r>
              <w:rPr>
                <w:rFonts w:ascii="Times New Roman" w:hAnsi="Times New Roman" w:eastAsia="Times New Roman" w:cs="Times New Roman"/>
                <w:b/>
                <w:color w:val="000000"/>
                <w:sz w:val="22"/>
              </w:rPr>
              <w:t>Props</w:t>
            </w:r>
          </w:p>
        </w:tc>
        <w:tc>
          <w:tcPr>
            <w:tcW w:type="dxa" w:w="1440"/>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22"/>
              </w:rPr>
            </w:r>
            <w:r>
              <w:rPr>
                <w:rFonts w:ascii="Times New Roman" w:hAnsi="Times New Roman" w:eastAsia="Times New Roman" w:cs="Times New Roman"/>
                <w:b/>
                <w:color w:val="000000"/>
                <w:sz w:val="22"/>
              </w:rPr>
              <w:t>Risk score</w:t>
            </w:r>
          </w:p>
        </w:tc>
        <w:tc>
          <w:tcPr>
            <w:tcW w:type="dxa" w:w="1440"/>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22"/>
              </w:rPr>
            </w:r>
            <w:r>
              <w:rPr>
                <w:rFonts w:ascii="Times New Roman" w:hAnsi="Times New Roman" w:eastAsia="Times New Roman" w:cs="Times New Roman"/>
                <w:b/>
                <w:color w:val="000000"/>
                <w:sz w:val="22"/>
              </w:rPr>
              <w:t>Low-rating share</w:t>
            </w:r>
          </w:p>
        </w:tc>
        <w:tc>
          <w:tcPr>
            <w:tcW w:type="dxa" w:w="1440"/>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22"/>
              </w:rPr>
            </w:r>
            <w:r>
              <w:rPr>
                <w:rFonts w:ascii="Times New Roman" w:hAnsi="Times New Roman" w:eastAsia="Times New Roman" w:cs="Times New Roman"/>
                <w:b/>
                <w:color w:val="000000"/>
                <w:sz w:val="22"/>
              </w:rPr>
              <w:t>Avg current eff.</w:t>
            </w:r>
          </w:p>
        </w:tc>
        <w:tc>
          <w:tcPr>
            <w:tcW w:type="dxa" w:w="1584"/>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22"/>
              </w:rPr>
            </w:r>
            <w:r>
              <w:rPr>
                <w:rFonts w:ascii="Times New Roman" w:hAnsi="Times New Roman" w:eastAsia="Times New Roman" w:cs="Times New Roman"/>
                <w:b/>
                <w:color w:val="000000"/>
                <w:sz w:val="22"/>
              </w:rPr>
              <w:t>Avg gap</w:t>
            </w:r>
          </w:p>
        </w:tc>
      </w:tr>
      <w:tr>
        <w:tc>
          <w:tcPr>
            <w:tcW w:type="dxa" w:w="172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2"/>
              </w:rPr>
            </w:r>
            <w:r>
              <w:rPr>
                <w:rFonts w:ascii="Times New Roman" w:hAnsi="Times New Roman" w:eastAsia="Times New Roman" w:cs="Times New Roman"/>
                <w:b w:val="0"/>
                <w:color w:val="000000"/>
                <w:sz w:val="22"/>
              </w:rPr>
              <w:t>DH1 5HG</w:t>
            </w:r>
          </w:p>
        </w:tc>
        <w:tc>
          <w:tcPr>
            <w:tcW w:type="dxa" w:w="1008"/>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45</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0.815462</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0.955556</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37.756</w:t>
            </w:r>
          </w:p>
        </w:tc>
        <w:tc>
          <w:tcPr>
            <w:tcW w:type="dxa" w:w="1584"/>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15.178</w:t>
            </w:r>
          </w:p>
        </w:tc>
      </w:tr>
      <w:tr>
        <w:tc>
          <w:tcPr>
            <w:tcW w:type="dxa" w:w="172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2"/>
              </w:rPr>
            </w:r>
            <w:r>
              <w:rPr>
                <w:rFonts w:ascii="Times New Roman" w:hAnsi="Times New Roman" w:eastAsia="Times New Roman" w:cs="Times New Roman"/>
                <w:b w:val="0"/>
                <w:color w:val="000000"/>
                <w:sz w:val="22"/>
              </w:rPr>
              <w:t>DL13 5AA</w:t>
            </w:r>
          </w:p>
        </w:tc>
        <w:tc>
          <w:tcPr>
            <w:tcW w:type="dxa" w:w="1008"/>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22</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0.746677</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0.772727</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39.136</w:t>
            </w:r>
          </w:p>
        </w:tc>
        <w:tc>
          <w:tcPr>
            <w:tcW w:type="dxa" w:w="1584"/>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38.227</w:t>
            </w:r>
          </w:p>
        </w:tc>
      </w:tr>
      <w:tr>
        <w:tc>
          <w:tcPr>
            <w:tcW w:type="dxa" w:w="172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2"/>
              </w:rPr>
            </w:r>
            <w:r>
              <w:rPr>
                <w:rFonts w:ascii="Times New Roman" w:hAnsi="Times New Roman" w:eastAsia="Times New Roman" w:cs="Times New Roman"/>
                <w:b w:val="0"/>
                <w:color w:val="000000"/>
                <w:sz w:val="22"/>
              </w:rPr>
              <w:t>DL15 8AT</w:t>
            </w:r>
          </w:p>
        </w:tc>
        <w:tc>
          <w:tcPr>
            <w:tcW w:type="dxa" w:w="1008"/>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40</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0.744958</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0.800000</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42.700</w:t>
            </w:r>
          </w:p>
        </w:tc>
        <w:tc>
          <w:tcPr>
            <w:tcW w:type="dxa" w:w="1584"/>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31.225</w:t>
            </w:r>
          </w:p>
        </w:tc>
      </w:tr>
      <w:tr>
        <w:tc>
          <w:tcPr>
            <w:tcW w:type="dxa" w:w="172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2"/>
              </w:rPr>
            </w:r>
            <w:r>
              <w:rPr>
                <w:rFonts w:ascii="Times New Roman" w:hAnsi="Times New Roman" w:eastAsia="Times New Roman" w:cs="Times New Roman"/>
                <w:b w:val="0"/>
                <w:color w:val="000000"/>
                <w:sz w:val="22"/>
              </w:rPr>
              <w:t>DL15 8AS</w:t>
            </w:r>
          </w:p>
        </w:tc>
        <w:tc>
          <w:tcPr>
            <w:tcW w:type="dxa" w:w="1008"/>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22</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0.733995</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0.772727</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46.500</w:t>
            </w:r>
          </w:p>
        </w:tc>
        <w:tc>
          <w:tcPr>
            <w:tcW w:type="dxa" w:w="1584"/>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34.455</w:t>
            </w:r>
          </w:p>
        </w:tc>
      </w:tr>
      <w:tr>
        <w:tc>
          <w:tcPr>
            <w:tcW w:type="dxa" w:w="172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2"/>
              </w:rPr>
            </w:r>
            <w:r>
              <w:rPr>
                <w:rFonts w:ascii="Times New Roman" w:hAnsi="Times New Roman" w:eastAsia="Times New Roman" w:cs="Times New Roman"/>
                <w:b w:val="0"/>
                <w:color w:val="000000"/>
                <w:sz w:val="22"/>
              </w:rPr>
              <w:t>TS27 4SL</w:t>
            </w:r>
          </w:p>
        </w:tc>
        <w:tc>
          <w:tcPr>
            <w:tcW w:type="dxa" w:w="1008"/>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29</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0.733584</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0.793103</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46.690</w:t>
            </w:r>
          </w:p>
        </w:tc>
        <w:tc>
          <w:tcPr>
            <w:tcW w:type="dxa" w:w="1584"/>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29.483</w:t>
            </w:r>
          </w:p>
        </w:tc>
      </w:tr>
      <w:tr>
        <w:tc>
          <w:tcPr>
            <w:tcW w:type="dxa" w:w="172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2"/>
              </w:rPr>
            </w:r>
            <w:r>
              <w:rPr>
                <w:rFonts w:ascii="Times New Roman" w:hAnsi="Times New Roman" w:eastAsia="Times New Roman" w:cs="Times New Roman"/>
                <w:b w:val="0"/>
                <w:color w:val="000000"/>
                <w:sz w:val="22"/>
              </w:rPr>
              <w:t>DH7 9QR</w:t>
            </w:r>
          </w:p>
        </w:tc>
        <w:tc>
          <w:tcPr>
            <w:tcW w:type="dxa" w:w="1008"/>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22</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0.731398</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0.772727</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43.000</w:t>
            </w:r>
          </w:p>
        </w:tc>
        <w:tc>
          <w:tcPr>
            <w:tcW w:type="dxa" w:w="1584"/>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33.682</w:t>
            </w:r>
          </w:p>
        </w:tc>
      </w:tr>
      <w:tr>
        <w:tc>
          <w:tcPr>
            <w:tcW w:type="dxa" w:w="172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2"/>
              </w:rPr>
            </w:r>
            <w:r>
              <w:rPr>
                <w:rFonts w:ascii="Times New Roman" w:hAnsi="Times New Roman" w:eastAsia="Times New Roman" w:cs="Times New Roman"/>
                <w:b w:val="0"/>
                <w:color w:val="000000"/>
                <w:sz w:val="22"/>
              </w:rPr>
              <w:t>DL13 5LR</w:t>
            </w:r>
          </w:p>
        </w:tc>
        <w:tc>
          <w:tcPr>
            <w:tcW w:type="dxa" w:w="1008"/>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25</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0.694588</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0.720000</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41.920</w:t>
            </w:r>
          </w:p>
        </w:tc>
        <w:tc>
          <w:tcPr>
            <w:tcW w:type="dxa" w:w="1584"/>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35.280</w:t>
            </w:r>
          </w:p>
        </w:tc>
      </w:tr>
      <w:tr>
        <w:tc>
          <w:tcPr>
            <w:tcW w:type="dxa" w:w="172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2"/>
              </w:rPr>
            </w:r>
            <w:r>
              <w:rPr>
                <w:rFonts w:ascii="Times New Roman" w:hAnsi="Times New Roman" w:eastAsia="Times New Roman" w:cs="Times New Roman"/>
                <w:b w:val="0"/>
                <w:color w:val="000000"/>
                <w:sz w:val="22"/>
              </w:rPr>
              <w:t>DL13 1QJ</w:t>
            </w:r>
          </w:p>
        </w:tc>
        <w:tc>
          <w:tcPr>
            <w:tcW w:type="dxa" w:w="1008"/>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33</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0.694169</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0.727273</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43.788</w:t>
            </w:r>
          </w:p>
        </w:tc>
        <w:tc>
          <w:tcPr>
            <w:tcW w:type="dxa" w:w="1584"/>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33.424</w:t>
            </w:r>
          </w:p>
        </w:tc>
      </w:tr>
      <w:tr>
        <w:tc>
          <w:tcPr>
            <w:tcW w:type="dxa" w:w="172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2"/>
              </w:rPr>
            </w:r>
            <w:r>
              <w:rPr>
                <w:rFonts w:ascii="Times New Roman" w:hAnsi="Times New Roman" w:eastAsia="Times New Roman" w:cs="Times New Roman"/>
                <w:b w:val="0"/>
                <w:color w:val="000000"/>
                <w:sz w:val="22"/>
              </w:rPr>
              <w:t>DL12 0QW</w:t>
            </w:r>
          </w:p>
        </w:tc>
        <w:tc>
          <w:tcPr>
            <w:tcW w:type="dxa" w:w="1008"/>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37</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0.688531</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0.702703</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40.649</w:t>
            </w:r>
          </w:p>
        </w:tc>
        <w:tc>
          <w:tcPr>
            <w:tcW w:type="dxa" w:w="1584"/>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37.595</w:t>
            </w:r>
          </w:p>
        </w:tc>
      </w:tr>
      <w:tr>
        <w:tc>
          <w:tcPr>
            <w:tcW w:type="dxa" w:w="172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2"/>
              </w:rPr>
            </w:r>
            <w:r>
              <w:rPr>
                <w:rFonts w:ascii="Times New Roman" w:hAnsi="Times New Roman" w:eastAsia="Times New Roman" w:cs="Times New Roman"/>
                <w:b w:val="0"/>
                <w:color w:val="000000"/>
                <w:sz w:val="22"/>
              </w:rPr>
              <w:t>DH7 9DF</w:t>
            </w:r>
          </w:p>
        </w:tc>
        <w:tc>
          <w:tcPr>
            <w:tcW w:type="dxa" w:w="1008"/>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24</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0.688515</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0.750000</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46.125</w:t>
            </w:r>
          </w:p>
        </w:tc>
        <w:tc>
          <w:tcPr>
            <w:tcW w:type="dxa" w:w="1584"/>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26.333</w:t>
            </w:r>
          </w:p>
        </w:tc>
      </w:tr>
    </w:tbl>
    <w:p>
      <w:pPr>
        <w:pageBreakBefore w:val="0"/>
        <w:spacing w:before="0" w:after="0" w:line="240" w:lineRule="auto"/>
        <w:jc w:val="left"/>
      </w:pPr>
    </w:p>
    <w:p>
      <w:pPr>
        <w:pageBreakBefore w:val="0"/>
        <w:spacing w:before="0" w:after="0" w:line="240" w:lineRule="auto"/>
        <w:jc w:val="left"/>
      </w:pPr>
      <w:r>
        <w:br w:type="page"/>
      </w:r>
    </w:p>
    <w:p>
      <w:pPr>
        <w:pageBreakBefore/>
        <w:spacing w:after="200" w:before="0" w:line="240" w:lineRule="auto"/>
        <w:jc w:val="left"/>
        <w:keepNext/>
        <w:keepLines/>
      </w:pPr>
      <w:r>
        <w:rPr>
          <w:rFonts w:ascii="Times New Roman" w:hAnsi="Times New Roman" w:eastAsia="Times New Roman" w:cs="Times New Roman"/>
          <w:b/>
          <w:color w:val="000000"/>
          <w:sz w:val="40"/>
        </w:rPr>
        <w:t>5. Lowest-risk postcode examples</w:t>
      </w:r>
    </w:p>
    <w:tbl>
      <w:tblPr>
        <w:tblStyle w:val="TableGrid"/>
        <w:tblW w:type="auto" w:w="0"/>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49"/>
        <w:gridCol w:w="1949"/>
        <w:gridCol w:w="1949"/>
        <w:gridCol w:w="1949"/>
        <w:gridCol w:w="1949"/>
      </w:tblGrid>
      <w:tr>
        <w:tc>
          <w:tcPr>
            <w:tcW w:type="dxa" w:w="2016"/>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22"/>
              </w:rPr>
            </w:r>
            <w:r>
              <w:rPr>
                <w:rFonts w:ascii="Times New Roman" w:hAnsi="Times New Roman" w:eastAsia="Times New Roman" w:cs="Times New Roman"/>
                <w:b/>
                <w:color w:val="000000"/>
                <w:sz w:val="22"/>
              </w:rPr>
              <w:t>Postcode</w:t>
            </w:r>
          </w:p>
        </w:tc>
        <w:tc>
          <w:tcPr>
            <w:tcW w:type="dxa" w:w="1008"/>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22"/>
              </w:rPr>
            </w:r>
            <w:r>
              <w:rPr>
                <w:rFonts w:ascii="Times New Roman" w:hAnsi="Times New Roman" w:eastAsia="Times New Roman" w:cs="Times New Roman"/>
                <w:b/>
                <w:color w:val="000000"/>
                <w:sz w:val="22"/>
              </w:rPr>
              <w:t>Props</w:t>
            </w:r>
          </w:p>
        </w:tc>
        <w:tc>
          <w:tcPr>
            <w:tcW w:type="dxa" w:w="1440"/>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22"/>
              </w:rPr>
            </w:r>
            <w:r>
              <w:rPr>
                <w:rFonts w:ascii="Times New Roman" w:hAnsi="Times New Roman" w:eastAsia="Times New Roman" w:cs="Times New Roman"/>
                <w:b/>
                <w:color w:val="000000"/>
                <w:sz w:val="22"/>
              </w:rPr>
              <w:t>Risk score</w:t>
            </w:r>
          </w:p>
        </w:tc>
        <w:tc>
          <w:tcPr>
            <w:tcW w:type="dxa" w:w="2016"/>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22"/>
              </w:rPr>
            </w:r>
            <w:r>
              <w:rPr>
                <w:rFonts w:ascii="Times New Roman" w:hAnsi="Times New Roman" w:eastAsia="Times New Roman" w:cs="Times New Roman"/>
                <w:b/>
                <w:color w:val="000000"/>
                <w:sz w:val="22"/>
              </w:rPr>
              <w:t>Avg current eff.</w:t>
            </w:r>
          </w:p>
        </w:tc>
        <w:tc>
          <w:tcPr>
            <w:tcW w:type="dxa" w:w="1872"/>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22"/>
              </w:rPr>
            </w:r>
            <w:r>
              <w:rPr>
                <w:rFonts w:ascii="Times New Roman" w:hAnsi="Times New Roman" w:eastAsia="Times New Roman" w:cs="Times New Roman"/>
                <w:b/>
                <w:color w:val="000000"/>
                <w:sz w:val="22"/>
              </w:rPr>
              <w:t>Avg gap</w:t>
            </w:r>
          </w:p>
        </w:tc>
      </w:tr>
      <w:tr>
        <w:tc>
          <w:tcPr>
            <w:tcW w:type="dxa" w:w="2016"/>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2"/>
              </w:rPr>
            </w:r>
            <w:r>
              <w:rPr>
                <w:rFonts w:ascii="Times New Roman" w:hAnsi="Times New Roman" w:eastAsia="Times New Roman" w:cs="Times New Roman"/>
                <w:b w:val="0"/>
                <w:color w:val="000000"/>
                <w:sz w:val="22"/>
              </w:rPr>
              <w:t>DL14 8FT</w:t>
            </w:r>
          </w:p>
        </w:tc>
        <w:tc>
          <w:tcPr>
            <w:tcW w:type="dxa" w:w="1008"/>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49</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0.000000</w:t>
            </w:r>
          </w:p>
        </w:tc>
        <w:tc>
          <w:tcPr>
            <w:tcW w:type="dxa" w:w="2016"/>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95.224</w:t>
            </w:r>
          </w:p>
        </w:tc>
        <w:tc>
          <w:tcPr>
            <w:tcW w:type="dxa" w:w="18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0.000</w:t>
            </w:r>
          </w:p>
        </w:tc>
      </w:tr>
      <w:tr>
        <w:tc>
          <w:tcPr>
            <w:tcW w:type="dxa" w:w="2016"/>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2"/>
              </w:rPr>
            </w:r>
            <w:r>
              <w:rPr>
                <w:rFonts w:ascii="Times New Roman" w:hAnsi="Times New Roman" w:eastAsia="Times New Roman" w:cs="Times New Roman"/>
                <w:b w:val="0"/>
                <w:color w:val="000000"/>
                <w:sz w:val="22"/>
              </w:rPr>
              <w:t>DH1 2FL</w:t>
            </w:r>
          </w:p>
        </w:tc>
        <w:tc>
          <w:tcPr>
            <w:tcW w:type="dxa" w:w="1008"/>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20</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0.000000</w:t>
            </w:r>
          </w:p>
        </w:tc>
        <w:tc>
          <w:tcPr>
            <w:tcW w:type="dxa" w:w="2016"/>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90.400</w:t>
            </w:r>
          </w:p>
        </w:tc>
        <w:tc>
          <w:tcPr>
            <w:tcW w:type="dxa" w:w="18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0.000</w:t>
            </w:r>
          </w:p>
        </w:tc>
      </w:tr>
      <w:tr>
        <w:tc>
          <w:tcPr>
            <w:tcW w:type="dxa" w:w="2016"/>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2"/>
              </w:rPr>
            </w:r>
            <w:r>
              <w:rPr>
                <w:rFonts w:ascii="Times New Roman" w:hAnsi="Times New Roman" w:eastAsia="Times New Roman" w:cs="Times New Roman"/>
                <w:b w:val="0"/>
                <w:color w:val="000000"/>
                <w:sz w:val="22"/>
              </w:rPr>
              <w:t>DL5 5DE</w:t>
            </w:r>
          </w:p>
        </w:tc>
        <w:tc>
          <w:tcPr>
            <w:tcW w:type="dxa" w:w="1008"/>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23</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0.000000</w:t>
            </w:r>
          </w:p>
        </w:tc>
        <w:tc>
          <w:tcPr>
            <w:tcW w:type="dxa" w:w="2016"/>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94.043</w:t>
            </w:r>
          </w:p>
        </w:tc>
        <w:tc>
          <w:tcPr>
            <w:tcW w:type="dxa" w:w="18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0.000</w:t>
            </w:r>
          </w:p>
        </w:tc>
      </w:tr>
      <w:tr>
        <w:tc>
          <w:tcPr>
            <w:tcW w:type="dxa" w:w="2016"/>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2"/>
              </w:rPr>
            </w:r>
            <w:r>
              <w:rPr>
                <w:rFonts w:ascii="Times New Roman" w:hAnsi="Times New Roman" w:eastAsia="Times New Roman" w:cs="Times New Roman"/>
                <w:b w:val="0"/>
                <w:color w:val="000000"/>
                <w:sz w:val="22"/>
              </w:rPr>
              <w:t>SR7 9AU</w:t>
            </w:r>
          </w:p>
        </w:tc>
        <w:tc>
          <w:tcPr>
            <w:tcW w:type="dxa" w:w="1008"/>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49</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0.000000</w:t>
            </w:r>
          </w:p>
        </w:tc>
        <w:tc>
          <w:tcPr>
            <w:tcW w:type="dxa" w:w="2016"/>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94.531</w:t>
            </w:r>
          </w:p>
        </w:tc>
        <w:tc>
          <w:tcPr>
            <w:tcW w:type="dxa" w:w="18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0.000</w:t>
            </w:r>
          </w:p>
        </w:tc>
      </w:tr>
      <w:tr>
        <w:tc>
          <w:tcPr>
            <w:tcW w:type="dxa" w:w="2016"/>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2"/>
              </w:rPr>
            </w:r>
            <w:r>
              <w:rPr>
                <w:rFonts w:ascii="Times New Roman" w:hAnsi="Times New Roman" w:eastAsia="Times New Roman" w:cs="Times New Roman"/>
                <w:b w:val="0"/>
                <w:color w:val="000000"/>
                <w:sz w:val="22"/>
              </w:rPr>
              <w:t>DH7 8EJ</w:t>
            </w:r>
          </w:p>
        </w:tc>
        <w:tc>
          <w:tcPr>
            <w:tcW w:type="dxa" w:w="1008"/>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32</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0.000000</w:t>
            </w:r>
          </w:p>
        </w:tc>
        <w:tc>
          <w:tcPr>
            <w:tcW w:type="dxa" w:w="2016"/>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83.938</w:t>
            </w:r>
          </w:p>
        </w:tc>
        <w:tc>
          <w:tcPr>
            <w:tcW w:type="dxa" w:w="18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0.000</w:t>
            </w:r>
          </w:p>
        </w:tc>
      </w:tr>
      <w:tr>
        <w:tc>
          <w:tcPr>
            <w:tcW w:type="dxa" w:w="2016"/>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2"/>
              </w:rPr>
            </w:r>
            <w:r>
              <w:rPr>
                <w:rFonts w:ascii="Times New Roman" w:hAnsi="Times New Roman" w:eastAsia="Times New Roman" w:cs="Times New Roman"/>
                <w:b w:val="0"/>
                <w:color w:val="000000"/>
                <w:sz w:val="22"/>
              </w:rPr>
              <w:t>DH1 5TN</w:t>
            </w:r>
          </w:p>
        </w:tc>
        <w:tc>
          <w:tcPr>
            <w:tcW w:type="dxa" w:w="1008"/>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36</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0.000000</w:t>
            </w:r>
          </w:p>
        </w:tc>
        <w:tc>
          <w:tcPr>
            <w:tcW w:type="dxa" w:w="2016"/>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84.028</w:t>
            </w:r>
          </w:p>
        </w:tc>
        <w:tc>
          <w:tcPr>
            <w:tcW w:type="dxa" w:w="18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0.000</w:t>
            </w:r>
          </w:p>
        </w:tc>
      </w:tr>
      <w:tr>
        <w:tc>
          <w:tcPr>
            <w:tcW w:type="dxa" w:w="2016"/>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2"/>
              </w:rPr>
            </w:r>
            <w:r>
              <w:rPr>
                <w:rFonts w:ascii="Times New Roman" w:hAnsi="Times New Roman" w:eastAsia="Times New Roman" w:cs="Times New Roman"/>
                <w:b w:val="0"/>
                <w:color w:val="000000"/>
                <w:sz w:val="22"/>
              </w:rPr>
              <w:t>TS21 1GS</w:t>
            </w:r>
          </w:p>
        </w:tc>
        <w:tc>
          <w:tcPr>
            <w:tcW w:type="dxa" w:w="1008"/>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23</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0.000000</w:t>
            </w:r>
          </w:p>
        </w:tc>
        <w:tc>
          <w:tcPr>
            <w:tcW w:type="dxa" w:w="2016"/>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90.826</w:t>
            </w:r>
          </w:p>
        </w:tc>
        <w:tc>
          <w:tcPr>
            <w:tcW w:type="dxa" w:w="18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0.000</w:t>
            </w:r>
          </w:p>
        </w:tc>
      </w:tr>
      <w:tr>
        <w:tc>
          <w:tcPr>
            <w:tcW w:type="dxa" w:w="2016"/>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2"/>
              </w:rPr>
            </w:r>
            <w:r>
              <w:rPr>
                <w:rFonts w:ascii="Times New Roman" w:hAnsi="Times New Roman" w:eastAsia="Times New Roman" w:cs="Times New Roman"/>
                <w:b w:val="0"/>
                <w:color w:val="000000"/>
                <w:sz w:val="22"/>
              </w:rPr>
              <w:t>TS21 1GN</w:t>
            </w:r>
          </w:p>
        </w:tc>
        <w:tc>
          <w:tcPr>
            <w:tcW w:type="dxa" w:w="1008"/>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31</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0.000000</w:t>
            </w:r>
          </w:p>
        </w:tc>
        <w:tc>
          <w:tcPr>
            <w:tcW w:type="dxa" w:w="2016"/>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90.419</w:t>
            </w:r>
          </w:p>
        </w:tc>
        <w:tc>
          <w:tcPr>
            <w:tcW w:type="dxa" w:w="18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0.000</w:t>
            </w:r>
          </w:p>
        </w:tc>
      </w:tr>
      <w:tr>
        <w:tc>
          <w:tcPr>
            <w:tcW w:type="dxa" w:w="2016"/>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2"/>
              </w:rPr>
            </w:r>
            <w:r>
              <w:rPr>
                <w:rFonts w:ascii="Times New Roman" w:hAnsi="Times New Roman" w:eastAsia="Times New Roman" w:cs="Times New Roman"/>
                <w:b w:val="0"/>
                <w:color w:val="000000"/>
                <w:sz w:val="22"/>
              </w:rPr>
              <w:t>DH2 2AA</w:t>
            </w:r>
          </w:p>
        </w:tc>
        <w:tc>
          <w:tcPr>
            <w:tcW w:type="dxa" w:w="1008"/>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36</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0.000000</w:t>
            </w:r>
          </w:p>
        </w:tc>
        <w:tc>
          <w:tcPr>
            <w:tcW w:type="dxa" w:w="2016"/>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90.972</w:t>
            </w:r>
          </w:p>
        </w:tc>
        <w:tc>
          <w:tcPr>
            <w:tcW w:type="dxa" w:w="18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0.000</w:t>
            </w:r>
          </w:p>
        </w:tc>
      </w:tr>
      <w:tr>
        <w:tc>
          <w:tcPr>
            <w:tcW w:type="dxa" w:w="2016"/>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2"/>
              </w:rPr>
            </w:r>
            <w:r>
              <w:rPr>
                <w:rFonts w:ascii="Times New Roman" w:hAnsi="Times New Roman" w:eastAsia="Times New Roman" w:cs="Times New Roman"/>
                <w:b w:val="0"/>
                <w:color w:val="000000"/>
                <w:sz w:val="22"/>
              </w:rPr>
              <w:t>SR8 5AS</w:t>
            </w:r>
          </w:p>
        </w:tc>
        <w:tc>
          <w:tcPr>
            <w:tcW w:type="dxa" w:w="1008"/>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71</w:t>
            </w:r>
          </w:p>
        </w:tc>
        <w:tc>
          <w:tcPr>
            <w:tcW w:type="dxa" w:w="1440"/>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0.000000</w:t>
            </w:r>
          </w:p>
        </w:tc>
        <w:tc>
          <w:tcPr>
            <w:tcW w:type="dxa" w:w="2016"/>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85.155</w:t>
            </w:r>
          </w:p>
        </w:tc>
        <w:tc>
          <w:tcPr>
            <w:tcW w:type="dxa" w:w="18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2"/>
              </w:rPr>
            </w:r>
            <w:r>
              <w:rPr>
                <w:rFonts w:ascii="Times New Roman" w:hAnsi="Times New Roman" w:eastAsia="Times New Roman" w:cs="Times New Roman"/>
                <w:b w:val="0"/>
                <w:color w:val="000000"/>
                <w:sz w:val="22"/>
              </w:rPr>
              <w:t>0.000</w:t>
            </w:r>
          </w:p>
        </w:tc>
      </w:tr>
    </w:tbl>
    <w:p>
      <w:pPr>
        <w:pageBreakBefore w:val="0"/>
        <w:spacing w:before="0" w:after="0" w:line="240" w:lineRule="auto"/>
        <w:jc w:val="left"/>
      </w:pPr>
    </w:p>
    <w:p>
      <w:pPr>
        <w:pageBreakBefore/>
        <w:spacing w:after="200" w:before="0" w:line="240" w:lineRule="auto"/>
        <w:jc w:val="left"/>
        <w:keepNext/>
        <w:keepLines/>
      </w:pPr>
      <w:r>
        <w:rPr>
          <w:rFonts w:ascii="Times New Roman" w:hAnsi="Times New Roman" w:eastAsia="Times New Roman" w:cs="Times New Roman"/>
          <w:b/>
          <w:color w:val="000000"/>
          <w:sz w:val="40"/>
        </w:rPr>
        <w:t>6. Contextual local-authority indicators joined to the master table</w:t>
      </w:r>
    </w:p>
    <w:tbl>
      <w:tblPr>
        <w:tblStyle w:val="TableGrid"/>
        <w:tblW w:type="auto" w:w="0"/>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73"/>
        <w:gridCol w:w="4873"/>
      </w:tblGrid>
      <w:tr>
        <w:tc>
          <w:tcPr>
            <w:tcW w:type="dxa" w:w="4608"/>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24"/>
              </w:rPr>
            </w:r>
            <w:r>
              <w:rPr>
                <w:rFonts w:ascii="Times New Roman" w:hAnsi="Times New Roman" w:eastAsia="Times New Roman" w:cs="Times New Roman"/>
                <w:b/>
                <w:color w:val="000000"/>
                <w:sz w:val="24"/>
              </w:rPr>
              <w:t>Context variable</w:t>
            </w:r>
          </w:p>
        </w:tc>
        <w:tc>
          <w:tcPr>
            <w:tcW w:type="dxa" w:w="5472"/>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24"/>
              </w:rPr>
            </w:r>
            <w:r>
              <w:rPr>
                <w:rFonts w:ascii="Times New Roman" w:hAnsi="Times New Roman" w:eastAsia="Times New Roman" w:cs="Times New Roman"/>
                <w:b/>
                <w:color w:val="000000"/>
                <w:sz w:val="24"/>
              </w:rPr>
              <w:t>Value</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Fuel poverty proportion, County Durham (2023)</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11.4%</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Fuel-poor households / total households</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27,698 / 242,909</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Electricity domestic standard meters (thousands)</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241.822</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Electricity domestic E7 meters (thousands)</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6.735</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Electricity all domestic meters (thousands)</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248.557</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Electricity all non-domestic meters (thousands)</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15.990</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Gas domestic meters (thousands)</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234.967</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Gas non-domestic meters (thousands)</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1.839</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Gas all meters (thousands)</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236.806</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Gas domestic consumption (GWh)</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2,745.080</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IMD average rank</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21,488.54</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IMD average score</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28.808</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Share of LSOAs in most deprived 10% nationally</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0.1697</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IMD25 extent</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0.3602</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IMD25 rank of extent</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46</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IMD25 local concentration</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32,636.06</w:t>
            </w:r>
          </w:p>
        </w:tc>
      </w:tr>
    </w:tbl>
    <w:p>
      <w:pPr>
        <w:pageBreakBefore w:val="0"/>
        <w:spacing w:before="0" w:after="0" w:line="240" w:lineRule="auto"/>
        <w:jc w:val="left"/>
      </w:pPr>
    </w:p>
    <w:p>
      <w:pPr>
        <w:pageBreakBefore w:val="0"/>
        <w:spacing w:after="160" w:before="0" w:line="276" w:lineRule="auto"/>
        <w:jc w:val="both"/>
        <w:keepNext/>
      </w:pPr>
      <w:r>
        <w:rPr>
          <w:rFonts w:ascii="Times New Roman" w:hAnsi="Times New Roman" w:eastAsia="Times New Roman" w:cs="Times New Roman"/>
          <w:b w:val="0"/>
          <w:color w:val="000000"/>
          <w:sz w:val="28"/>
        </w:rPr>
        <w:t>These joined variables do not differentiate postcodes inside County Durham in the current workflow because they are constant at local-authority level. They provide context for interpretation rather than direct postcode variation.</w:t>
      </w:r>
    </w:p>
    <w:p>
      <w:pPr>
        <w:pageBreakBefore/>
        <w:spacing w:after="200" w:before="0" w:line="240" w:lineRule="auto"/>
        <w:jc w:val="left"/>
        <w:keepNext/>
        <w:keepLines/>
      </w:pPr>
      <w:r>
        <w:rPr>
          <w:rFonts w:ascii="Times New Roman" w:hAnsi="Times New Roman" w:eastAsia="Times New Roman" w:cs="Times New Roman"/>
          <w:b/>
          <w:color w:val="000000"/>
          <w:sz w:val="40"/>
        </w:rPr>
        <w:t>7. Statistical notation</w:t>
      </w:r>
    </w:p>
    <w:tbl>
      <w:tblPr>
        <w:tblStyle w:val="TableGrid"/>
        <w:tblW w:type="auto" w:w="0"/>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73"/>
        <w:gridCol w:w="4873"/>
      </w:tblGrid>
      <w:tr>
        <w:tc>
          <w:tcPr>
            <w:tcW w:type="dxa" w:w="4608"/>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24"/>
              </w:rPr>
            </w:r>
            <w:r>
              <w:rPr>
                <w:rFonts w:ascii="Times New Roman" w:hAnsi="Times New Roman" w:eastAsia="Times New Roman" w:cs="Times New Roman"/>
                <w:b/>
                <w:color w:val="000000"/>
                <w:sz w:val="24"/>
              </w:rPr>
              <w:t>Symbol</w:t>
            </w:r>
          </w:p>
        </w:tc>
        <w:tc>
          <w:tcPr>
            <w:tcW w:type="dxa" w:w="5472"/>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24"/>
              </w:rPr>
            </w:r>
            <w:r>
              <w:rPr>
                <w:rFonts w:ascii="Times New Roman" w:hAnsi="Times New Roman" w:eastAsia="Times New Roman" w:cs="Times New Roman"/>
                <w:b/>
                <w:color w:val="000000"/>
                <w:sz w:val="24"/>
              </w:rPr>
              <w:t>Meaning</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i</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Property index</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j</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Postcode index</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n_j</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Number of retained properties in postcode j</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L_i</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Low-rating indicator for property i</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E_i</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Low-efficiency indicator for property i</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CE_i</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Current energy efficiency for property i</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PE_i</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Potential energy efficiency for property i</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G_clean,i</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Cleaned improvement gap for property i</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SLR_j</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Share of low-rated properties in postcode j</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SLE_j</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Share of low-efficiency properties in postcode j</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ACE_j</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Average current efficiency in postcode j</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APE_j</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Average potential efficiency in postcode j</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AIG_j</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Average cleaned improvement gap in postcode j</w:t>
            </w:r>
          </w:p>
        </w:tc>
      </w:tr>
      <w:tr>
        <w:tc>
          <w:tcPr>
            <w:tcW w:type="dxa" w:w="4608"/>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24"/>
              </w:rPr>
            </w:r>
            <w:r>
              <w:rPr>
                <w:rFonts w:ascii="Times New Roman" w:hAnsi="Times New Roman" w:eastAsia="Times New Roman" w:cs="Times New Roman"/>
                <w:b w:val="0"/>
                <w:color w:val="000000"/>
                <w:sz w:val="24"/>
              </w:rPr>
              <w:t>RS_j</w:t>
            </w:r>
          </w:p>
        </w:tc>
        <w:tc>
          <w:tcPr>
            <w:tcW w:type="dxa" w:w="5472"/>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24"/>
              </w:rPr>
            </w:r>
            <w:r>
              <w:rPr>
                <w:rFonts w:ascii="Times New Roman" w:hAnsi="Times New Roman" w:eastAsia="Times New Roman" w:cs="Times New Roman"/>
                <w:b w:val="0"/>
                <w:color w:val="000000"/>
                <w:sz w:val="24"/>
              </w:rPr>
              <w:t>Final postcode risk score</w:t>
            </w:r>
          </w:p>
        </w:tc>
      </w:tr>
    </w:tbl>
    <w:p>
      <w:pPr>
        <w:pageBreakBefore w:val="0"/>
        <w:spacing w:before="0" w:after="0" w:line="240" w:lineRule="auto"/>
        <w:jc w:val="left"/>
      </w:pPr>
    </w:p>
    <w:p>
      <w:pPr>
        <w:pageBreakBefore/>
        <w:spacing w:after="200" w:before="0" w:line="240" w:lineRule="auto"/>
        <w:jc w:val="left"/>
        <w:keepNext/>
        <w:keepLines/>
      </w:pPr>
      <w:r>
        <w:rPr>
          <w:rFonts w:ascii="Times New Roman" w:hAnsi="Times New Roman" w:eastAsia="Times New Roman" w:cs="Times New Roman"/>
          <w:b/>
          <w:color w:val="000000"/>
          <w:sz w:val="40"/>
        </w:rPr>
        <w:t>8. Statistical formulas used</w:t>
      </w:r>
    </w:p>
    <w:p>
      <w:pPr>
        <w:pageBreakBefore w:val="0"/>
        <w:spacing w:after="160" w:before="0" w:line="276" w:lineRule="auto"/>
        <w:jc w:val="both"/>
        <w:keepNext/>
      </w:pPr>
      <w:r>
        <w:rPr>
          <w:rFonts w:ascii="Times New Roman" w:hAnsi="Times New Roman" w:eastAsia="Times New Roman" w:cs="Times New Roman"/>
          <w:b w:val="0"/>
          <w:color w:val="000000"/>
          <w:sz w:val="28"/>
        </w:rPr>
        <w:t>The formulas below are shown in Word equation format and match the variables used in the County Durham pipeline.</w:t>
      </w:r>
    </w:p>
    <w:p>
      <w:pPr>
        <w:pageBreakBefore w:val="0"/>
        <w:spacing w:after="80" w:before="160" w:line="240" w:lineRule="auto"/>
        <w:jc w:val="left"/>
        <w:keepNext/>
        <w:keepLines/>
      </w:pPr>
      <w:r>
        <w:rPr>
          <w:rFonts w:ascii="Times New Roman" w:hAnsi="Times New Roman" w:eastAsia="Times New Roman" w:cs="Times New Roman"/>
          <w:b/>
          <w:color w:val="000000"/>
          <w:sz w:val="32"/>
        </w:rPr>
        <w:t>Low-rating indicator</w:t>
      </w:r>
    </w:p>
    <w:p>
      <w:pPr>
        <w:pageBreakBefore w:val="0"/>
        <w:spacing w:after="0" w:before="0" w:line="240" w:lineRule="auto"/>
        <w:jc w:val="left"/>
      </w:pPr>
      <m:oMathPara>
        <m:oMath>
          <m:r>
            <m:rPr>
              <m:ctrlPr>
                <w:rPr>
                  <w:rFonts w:ascii="Cambria Math" w:hAnsi="Cambria Math" w:eastAsia="Cambria Math" w:cs="Cambria Math"/>
                  <w:sz w:val="28"/>
                  <w:szCs w:val="28"/>
                </w:rPr>
              </m:ctrlPr>
            </m:rPr>
            <m:t>Lᵢ = { 1, if EPC bandᵢ ∈ {E, F, G}; 0, otherwise }</m:t>
          </m:r>
        </m:oMath>
      </m:oMathPara>
    </w:p>
    <w:p>
      <w:pPr>
        <w:pageBreakBefore w:val="0"/>
        <w:spacing w:after="80" w:before="160" w:line="240" w:lineRule="auto"/>
        <w:jc w:val="left"/>
        <w:keepNext/>
        <w:keepLines/>
      </w:pPr>
      <w:r>
        <w:rPr>
          <w:rFonts w:ascii="Times New Roman" w:hAnsi="Times New Roman" w:eastAsia="Times New Roman" w:cs="Times New Roman"/>
          <w:b/>
          <w:color w:val="000000"/>
          <w:sz w:val="32"/>
        </w:rPr>
        <w:t>Low-efficiency indicator</w:t>
      </w:r>
    </w:p>
    <w:p>
      <w:pPr>
        <w:pageBreakBefore w:val="0"/>
        <w:spacing w:after="0" w:before="0" w:line="240" w:lineRule="auto"/>
        <w:jc w:val="left"/>
      </w:pPr>
      <m:oMathPara>
        <m:oMath>
          <m:r>
            <m:rPr>
              <m:ctrlPr>
                <w:rPr>
                  <w:rFonts w:ascii="Cambria Math" w:hAnsi="Cambria Math" w:eastAsia="Cambria Math" w:cs="Cambria Math"/>
                  <w:sz w:val="28"/>
                  <w:szCs w:val="28"/>
                </w:rPr>
              </m:ctrlPr>
            </m:rPr>
            <m:t>Eᵢ = { 1, if CEᵢ &lt; 55; 0, otherwise }</m:t>
          </m:r>
        </m:oMath>
      </m:oMathPara>
    </w:p>
    <w:p>
      <w:pPr>
        <w:pageBreakBefore w:val="0"/>
        <w:spacing w:after="80" w:before="160" w:line="240" w:lineRule="auto"/>
        <w:jc w:val="left"/>
        <w:keepNext/>
        <w:keepLines/>
      </w:pPr>
      <w:r>
        <w:rPr>
          <w:rFonts w:ascii="Times New Roman" w:hAnsi="Times New Roman" w:eastAsia="Times New Roman" w:cs="Times New Roman"/>
          <w:b/>
          <w:color w:val="000000"/>
          <w:sz w:val="32"/>
        </w:rPr>
        <w:t>Raw improvement gap</w:t>
      </w:r>
    </w:p>
    <w:p>
      <w:pPr>
        <w:pageBreakBefore w:val="0"/>
        <w:spacing w:after="0" w:before="0" w:line="240" w:lineRule="auto"/>
        <w:jc w:val="left"/>
      </w:pPr>
      <m:oMathPara>
        <m:oMath>
          <m:r>
            <m:rPr>
              <m:ctrlPr>
                <w:rPr>
                  <w:rFonts w:ascii="Cambria Math" w:hAnsi="Cambria Math" w:eastAsia="Cambria Math" w:cs="Cambria Math"/>
                  <w:sz w:val="28"/>
                  <w:szCs w:val="28"/>
                </w:rPr>
              </m:ctrlPr>
            </m:rPr>
            <m:t>Gᵢ = PEᵢ − CEᵢ</m:t>
          </m:r>
        </m:oMath>
      </m:oMathPara>
    </w:p>
    <w:p>
      <w:pPr>
        <w:pageBreakBefore w:val="0"/>
        <w:spacing w:after="80" w:before="160" w:line="240" w:lineRule="auto"/>
        <w:jc w:val="left"/>
        <w:keepNext/>
        <w:keepLines/>
      </w:pPr>
      <w:r>
        <w:rPr>
          <w:rFonts w:ascii="Times New Roman" w:hAnsi="Times New Roman" w:eastAsia="Times New Roman" w:cs="Times New Roman"/>
          <w:b/>
          <w:color w:val="000000"/>
          <w:sz w:val="32"/>
        </w:rPr>
        <w:t>Cleaned improvement gap</w:t>
      </w:r>
    </w:p>
    <w:p>
      <w:pPr>
        <w:pageBreakBefore w:val="0"/>
        <w:spacing w:after="0" w:before="0" w:line="240" w:lineRule="auto"/>
        <w:jc w:val="left"/>
      </w:pPr>
      <m:oMathPara>
        <m:oMath>
          <m:r>
            <m:rPr>
              <m:ctrlPr>
                <w:rPr>
                  <w:rFonts w:ascii="Cambria Math" w:hAnsi="Cambria Math" w:eastAsia="Cambria Math" w:cs="Cambria Math"/>
                  <w:sz w:val="28"/>
                  <w:szCs w:val="28"/>
                </w:rPr>
              </m:ctrlPr>
            </m:rPr>
            <m:t>Gᶜˡᵉᵃⁿᵢ = { Gᵢ, if 0 ≤ Gᵢ ≤ 100; missing, otherwise }</m:t>
          </m:r>
        </m:oMath>
      </m:oMathPara>
    </w:p>
    <w:p>
      <w:pPr>
        <w:pageBreakBefore w:val="0"/>
        <w:spacing w:after="80" w:before="160" w:line="240" w:lineRule="auto"/>
        <w:jc w:val="left"/>
        <w:keepNext/>
        <w:keepLines/>
      </w:pPr>
      <w:r>
        <w:rPr>
          <w:rFonts w:ascii="Times New Roman" w:hAnsi="Times New Roman" w:eastAsia="Times New Roman" w:cs="Times New Roman"/>
          <w:b/>
          <w:color w:val="000000"/>
          <w:sz w:val="32"/>
        </w:rPr>
        <w:t>Property count per postcode</w:t>
      </w:r>
    </w:p>
    <w:p>
      <w:pPr>
        <w:pageBreakBefore w:val="0"/>
        <w:spacing w:after="0" w:before="0" w:line="240" w:lineRule="auto"/>
        <w:jc w:val="left"/>
      </w:pPr>
      <m:oMathPara>
        <m:oMath>
          <m:r>
            <m:rPr>
              <m:ctrlPr>
                <w:rPr>
                  <w:rFonts w:ascii="Cambria Math" w:hAnsi="Cambria Math" w:eastAsia="Cambria Math" w:cs="Cambria Math"/>
                  <w:sz w:val="28"/>
                  <w:szCs w:val="28"/>
                </w:rPr>
              </m:ctrlPr>
            </m:rPr>
            <m:t>nⱼ = ∑ᵢ∈ⱼ 1</m:t>
          </m:r>
        </m:oMath>
      </m:oMathPara>
    </w:p>
    <w:p>
      <w:pPr>
        <w:pageBreakBefore w:val="0"/>
        <w:spacing w:after="80" w:before="160" w:line="240" w:lineRule="auto"/>
        <w:jc w:val="left"/>
        <w:keepNext/>
        <w:keepLines/>
      </w:pPr>
      <w:r>
        <w:rPr>
          <w:rFonts w:ascii="Times New Roman" w:hAnsi="Times New Roman" w:eastAsia="Times New Roman" w:cs="Times New Roman"/>
          <w:b/>
          <w:color w:val="000000"/>
          <w:sz w:val="32"/>
        </w:rPr>
        <w:t>Share of low-rated properties</w:t>
      </w:r>
    </w:p>
    <w:p>
      <w:pPr>
        <w:pageBreakBefore w:val="0"/>
        <w:spacing w:after="0" w:before="0" w:line="240" w:lineRule="auto"/>
        <w:jc w:val="left"/>
      </w:pPr>
      <m:oMathPara>
        <m:oMath>
          <m:r>
            <m:rPr>
              <m:ctrlPr>
                <w:rPr>
                  <w:rFonts w:ascii="Cambria Math" w:hAnsi="Cambria Math" w:eastAsia="Cambria Math" w:cs="Cambria Math"/>
                  <w:sz w:val="28"/>
                  <w:szCs w:val="28"/>
                </w:rPr>
              </m:ctrlPr>
            </m:rPr>
            <m:t>SLRⱼ = (1 / nⱼ) ∑ᵢ∈ⱼ Lᵢ</m:t>
          </m:r>
        </m:oMath>
      </m:oMathPara>
    </w:p>
    <w:p>
      <w:pPr>
        <w:pageBreakBefore w:val="0"/>
        <w:spacing w:after="80" w:before="160" w:line="240" w:lineRule="auto"/>
        <w:jc w:val="left"/>
        <w:keepNext/>
        <w:keepLines/>
      </w:pPr>
      <w:r>
        <w:rPr>
          <w:rFonts w:ascii="Times New Roman" w:hAnsi="Times New Roman" w:eastAsia="Times New Roman" w:cs="Times New Roman"/>
          <w:b/>
          <w:color w:val="000000"/>
          <w:sz w:val="32"/>
        </w:rPr>
        <w:t>Share of low-efficiency properties</w:t>
      </w:r>
    </w:p>
    <w:p>
      <w:pPr>
        <w:pageBreakBefore w:val="0"/>
        <w:spacing w:after="0" w:before="0" w:line="240" w:lineRule="auto"/>
        <w:jc w:val="left"/>
      </w:pPr>
      <m:oMathPara>
        <m:oMath>
          <m:r>
            <m:rPr>
              <m:ctrlPr>
                <w:rPr>
                  <w:rFonts w:ascii="Cambria Math" w:hAnsi="Cambria Math" w:eastAsia="Cambria Math" w:cs="Cambria Math"/>
                  <w:sz w:val="28"/>
                  <w:szCs w:val="28"/>
                </w:rPr>
              </m:ctrlPr>
            </m:rPr>
            <m:t>SLEⱼ = (1 / nⱼ) ∑ᵢ∈ⱼ Eᵢ</m:t>
          </m:r>
        </m:oMath>
      </m:oMathPara>
    </w:p>
    <w:p>
      <w:pPr>
        <w:pageBreakBefore w:val="0"/>
        <w:spacing w:after="80" w:before="160" w:line="240" w:lineRule="auto"/>
        <w:jc w:val="left"/>
        <w:keepNext/>
        <w:keepLines/>
      </w:pPr>
      <w:r>
        <w:rPr>
          <w:rFonts w:ascii="Times New Roman" w:hAnsi="Times New Roman" w:eastAsia="Times New Roman" w:cs="Times New Roman"/>
          <w:b/>
          <w:color w:val="000000"/>
          <w:sz w:val="32"/>
        </w:rPr>
        <w:t>Average current efficiency</w:t>
      </w:r>
    </w:p>
    <w:p>
      <w:pPr>
        <w:pageBreakBefore w:val="0"/>
        <w:spacing w:after="0" w:before="0" w:line="240" w:lineRule="auto"/>
        <w:jc w:val="left"/>
      </w:pPr>
      <m:oMathPara>
        <m:oMath>
          <m:r>
            <m:rPr>
              <m:ctrlPr>
                <w:rPr>
                  <w:rFonts w:ascii="Cambria Math" w:hAnsi="Cambria Math" w:eastAsia="Cambria Math" w:cs="Cambria Math"/>
                  <w:sz w:val="28"/>
                  <w:szCs w:val="28"/>
                </w:rPr>
              </m:ctrlPr>
            </m:rPr>
            <m:t>ACEⱼ = (1 / nⱼ) ∑ᵢ∈ⱼ CEᵢ</m:t>
          </m:r>
        </m:oMath>
      </m:oMathPara>
    </w:p>
    <w:p>
      <w:pPr>
        <w:pageBreakBefore w:val="0"/>
        <w:spacing w:after="80" w:before="160" w:line="240" w:lineRule="auto"/>
        <w:jc w:val="left"/>
        <w:keepNext/>
        <w:keepLines/>
      </w:pPr>
      <w:r>
        <w:rPr>
          <w:rFonts w:ascii="Times New Roman" w:hAnsi="Times New Roman" w:eastAsia="Times New Roman" w:cs="Times New Roman"/>
          <w:b/>
          <w:color w:val="000000"/>
          <w:sz w:val="32"/>
        </w:rPr>
        <w:t>Average potential efficiency</w:t>
      </w:r>
    </w:p>
    <w:p>
      <w:pPr>
        <w:pageBreakBefore w:val="0"/>
        <w:spacing w:after="0" w:before="0" w:line="240" w:lineRule="auto"/>
        <w:jc w:val="left"/>
      </w:pPr>
      <m:oMathPara>
        <m:oMath>
          <m:r>
            <m:rPr>
              <m:ctrlPr>
                <w:rPr>
                  <w:rFonts w:ascii="Cambria Math" w:hAnsi="Cambria Math" w:eastAsia="Cambria Math" w:cs="Cambria Math"/>
                  <w:sz w:val="28"/>
                  <w:szCs w:val="28"/>
                </w:rPr>
              </m:ctrlPr>
            </m:rPr>
            <m:t>APEⱼ = (1 / nⱼ) ∑ᵢ∈ⱼ PEᵢ</m:t>
          </m:r>
        </m:oMath>
      </m:oMathPara>
    </w:p>
    <w:p>
      <w:pPr>
        <w:pageBreakBefore w:val="0"/>
        <w:spacing w:after="80" w:before="160" w:line="240" w:lineRule="auto"/>
        <w:jc w:val="left"/>
        <w:keepNext/>
        <w:keepLines/>
      </w:pPr>
      <w:r>
        <w:rPr>
          <w:rFonts w:ascii="Times New Roman" w:hAnsi="Times New Roman" w:eastAsia="Times New Roman" w:cs="Times New Roman"/>
          <w:b/>
          <w:color w:val="000000"/>
          <w:sz w:val="32"/>
        </w:rPr>
        <w:t>Average cleaned improvement gap</w:t>
      </w:r>
    </w:p>
    <w:p>
      <w:pPr>
        <w:pageBreakBefore w:val="0"/>
        <w:spacing w:after="0" w:before="0" w:line="240" w:lineRule="auto"/>
        <w:jc w:val="left"/>
      </w:pPr>
      <m:oMathPara>
        <m:oMath>
          <m:r>
            <m:rPr>
              <m:ctrlPr>
                <w:rPr>
                  <w:rFonts w:ascii="Cambria Math" w:hAnsi="Cambria Math" w:eastAsia="Cambria Math" w:cs="Cambria Math"/>
                  <w:sz w:val="28"/>
                  <w:szCs w:val="28"/>
                </w:rPr>
              </m:ctrlPr>
            </m:rPr>
            <m:t>AIGⱼ = mean(Gᶜˡᵉᵃⁿᵢ)</m:t>
          </m:r>
        </m:oMath>
      </m:oMathPara>
    </w:p>
    <w:p>
      <w:pPr>
        <w:pageBreakBefore w:val="0"/>
        <w:spacing w:after="80" w:before="160" w:line="240" w:lineRule="auto"/>
        <w:jc w:val="left"/>
        <w:keepNext/>
        <w:keepLines/>
      </w:pPr>
      <w:r>
        <w:rPr>
          <w:rFonts w:ascii="Times New Roman" w:hAnsi="Times New Roman" w:eastAsia="Times New Roman" w:cs="Times New Roman"/>
          <w:b/>
          <w:color w:val="000000"/>
          <w:sz w:val="32"/>
        </w:rPr>
        <w:t>Final postcode risk score</w:t>
      </w:r>
    </w:p>
    <w:p>
      <w:pPr>
        <w:pageBreakBefore w:val="0"/>
        <w:spacing w:after="0" w:before="0" w:line="240" w:lineRule="auto"/>
        <w:jc w:val="left"/>
      </w:pPr>
      <m:oMathPara>
        <m:oMath>
          <m:r>
            <m:rPr>
              <m:ctrlPr>
                <w:rPr>
                  <w:rFonts w:ascii="Cambria Math" w:hAnsi="Cambria Math" w:eastAsia="Cambria Math" w:cs="Cambria Math"/>
                  <w:sz w:val="28"/>
                  <w:szCs w:val="28"/>
                </w:rPr>
              </m:ctrlPr>
            </m:rPr>
            <m:t>RSⱼ = 0.4·SLRⱼ + 0.4·SLEⱼ + 0.2·(AIGⱼ / max(AIG))</m:t>
          </m:r>
        </m:oMath>
      </m:oMathPara>
    </w:p>
    <w:p>
      <w:pPr>
        <w:pageBreakBefore w:val="0"/>
        <w:spacing w:after="80" w:before="160" w:line="240" w:lineRule="auto"/>
        <w:jc w:val="left"/>
        <w:keepNext/>
        <w:keepLines/>
      </w:pPr>
      <w:r>
        <w:rPr>
          <w:rFonts w:ascii="Times New Roman" w:hAnsi="Times New Roman" w:eastAsia="Times New Roman" w:cs="Times New Roman"/>
          <w:b/>
          <w:color w:val="000000"/>
          <w:sz w:val="32"/>
        </w:rPr>
        <w:t>Arithmetic mean</w:t>
      </w:r>
    </w:p>
    <w:p>
      <w:pPr>
        <w:pageBreakBefore w:val="0"/>
        <w:spacing w:after="0" w:before="0" w:line="240" w:lineRule="auto"/>
        <w:jc w:val="left"/>
      </w:pPr>
      <m:oMathPara>
        <m:oMath>
          <m:r>
            <m:rPr>
              <m:ctrlPr>
                <w:rPr>
                  <w:rFonts w:ascii="Cambria Math" w:hAnsi="Cambria Math" w:eastAsia="Cambria Math" w:cs="Cambria Math"/>
                  <w:sz w:val="28"/>
                  <w:szCs w:val="28"/>
                </w:rPr>
              </m:ctrlPr>
            </m:rPr>
            <m:t>x̄ = (1 / n) ∑ xᵢ</m:t>
          </m:r>
        </m:oMath>
      </m:oMathPara>
    </w:p>
    <w:p>
      <w:pPr>
        <w:pageBreakBefore w:val="0"/>
        <w:spacing w:after="80" w:before="160" w:line="240" w:lineRule="auto"/>
        <w:jc w:val="left"/>
        <w:keepNext/>
        <w:keepLines/>
      </w:pPr>
      <w:r>
        <w:rPr>
          <w:rFonts w:ascii="Times New Roman" w:hAnsi="Times New Roman" w:eastAsia="Times New Roman" w:cs="Times New Roman"/>
          <w:b/>
          <w:color w:val="000000"/>
          <w:sz w:val="32"/>
        </w:rPr>
        <w:t>Median for odd n</w:t>
      </w:r>
    </w:p>
    <w:p>
      <w:pPr>
        <w:pageBreakBefore w:val="0"/>
        <w:spacing w:after="0" w:before="0" w:line="240" w:lineRule="auto"/>
        <w:jc w:val="left"/>
      </w:pPr>
      <m:oMathPara>
        <m:oMath>
          <m:r>
            <m:rPr>
              <m:ctrlPr>
                <w:rPr>
                  <w:rFonts w:ascii="Cambria Math" w:hAnsi="Cambria Math" w:eastAsia="Cambria Math" w:cs="Cambria Math"/>
                  <w:sz w:val="28"/>
                  <w:szCs w:val="28"/>
                </w:rPr>
              </m:ctrlPr>
            </m:rPr>
            <m:t>median(x) = x₍₍ₙ ₊ ₁₎ / ₂₎</m:t>
          </m:r>
        </m:oMath>
      </m:oMathPara>
    </w:p>
    <w:p>
      <w:pPr>
        <w:pageBreakBefore w:val="0"/>
        <w:spacing w:after="80" w:before="160" w:line="240" w:lineRule="auto"/>
        <w:jc w:val="left"/>
        <w:keepNext/>
        <w:keepLines/>
      </w:pPr>
      <w:r>
        <w:rPr>
          <w:rFonts w:ascii="Times New Roman" w:hAnsi="Times New Roman" w:eastAsia="Times New Roman" w:cs="Times New Roman"/>
          <w:b/>
          <w:color w:val="000000"/>
          <w:sz w:val="32"/>
        </w:rPr>
        <w:t>Median for even n</w:t>
      </w:r>
    </w:p>
    <w:p>
      <w:pPr>
        <w:pageBreakBefore w:val="0"/>
        <w:spacing w:after="0" w:before="0" w:line="240" w:lineRule="auto"/>
        <w:jc w:val="left"/>
      </w:pPr>
      <m:oMathPara>
        <m:oMath>
          <m:r>
            <m:rPr>
              <m:ctrlPr>
                <w:rPr>
                  <w:rFonts w:ascii="Cambria Math" w:hAnsi="Cambria Math" w:eastAsia="Cambria Math" w:cs="Cambria Math"/>
                  <w:sz w:val="28"/>
                  <w:szCs w:val="28"/>
                </w:rPr>
              </m:ctrlPr>
            </m:rPr>
            <m:t>median(x) = (xₙ/₂ + x₍ₙ/₂ ₊ ₁₎) / 2</m:t>
          </m:r>
        </m:oMath>
      </m:oMathPara>
    </w:p>
    <w:p>
      <w:pPr>
        <w:pageBreakBefore w:val="0"/>
        <w:spacing w:after="80" w:before="160" w:line="240" w:lineRule="auto"/>
        <w:jc w:val="left"/>
        <w:keepNext/>
        <w:keepLines/>
      </w:pPr>
      <w:r>
        <w:rPr>
          <w:rFonts w:ascii="Times New Roman" w:hAnsi="Times New Roman" w:eastAsia="Times New Roman" w:cs="Times New Roman"/>
          <w:b/>
          <w:color w:val="000000"/>
          <w:sz w:val="32"/>
        </w:rPr>
        <w:t>Sample standard deviation</w:t>
      </w:r>
    </w:p>
    <w:p>
      <w:pPr>
        <w:pageBreakBefore w:val="0"/>
        <w:spacing w:after="0" w:before="0" w:line="240" w:lineRule="auto"/>
        <w:jc w:val="left"/>
      </w:pPr>
      <m:oMathPara>
        <m:oMath>
          <m:r>
            <m:rPr>
              <m:ctrlPr>
                <w:rPr>
                  <w:rFonts w:ascii="Cambria Math" w:hAnsi="Cambria Math" w:eastAsia="Cambria Math" w:cs="Cambria Math"/>
                  <w:sz w:val="28"/>
                  <w:szCs w:val="28"/>
                </w:rPr>
              </m:ctrlPr>
            </m:rPr>
            <m:t>s = √[(1 / (n − 1)) ∑ (xᵢ − x̄)²]</m:t>
          </m:r>
        </m:oMath>
      </m:oMathPara>
    </w:p>
    <w:p>
      <w:pPr>
        <w:pageBreakBefore w:val="0"/>
        <w:spacing w:after="80" w:before="160" w:line="240" w:lineRule="auto"/>
        <w:jc w:val="left"/>
        <w:keepNext/>
        <w:keepLines/>
      </w:pPr>
      <w:r>
        <w:rPr>
          <w:rFonts w:ascii="Times New Roman" w:hAnsi="Times New Roman" w:eastAsia="Times New Roman" w:cs="Times New Roman"/>
          <w:b/>
          <w:color w:val="000000"/>
          <w:sz w:val="32"/>
        </w:rPr>
        <w:t>Proportion</w:t>
      </w:r>
    </w:p>
    <w:p>
      <w:pPr>
        <w:pageBreakBefore w:val="0"/>
        <w:spacing w:after="0" w:before="0" w:line="240" w:lineRule="auto"/>
        <w:jc w:val="left"/>
      </w:pPr>
      <m:oMathPara>
        <m:oMath>
          <m:r>
            <m:rPr>
              <m:ctrlPr>
                <w:rPr>
                  <w:rFonts w:ascii="Cambria Math" w:hAnsi="Cambria Math" w:eastAsia="Cambria Math" w:cs="Cambria Math"/>
                  <w:sz w:val="28"/>
                  <w:szCs w:val="28"/>
                </w:rPr>
              </m:ctrlPr>
            </m:rPr>
            <m:t>p = k / n</m:t>
          </m:r>
        </m:oMath>
      </m:oMathPara>
    </w:p>
    <w:p>
      <w:pPr>
        <w:pageBreakBefore/>
        <w:spacing w:after="200" w:before="0" w:line="240" w:lineRule="auto"/>
        <w:jc w:val="left"/>
        <w:keepNext/>
        <w:keepLines/>
      </w:pPr>
      <w:r>
        <w:rPr>
          <w:rFonts w:ascii="Times New Roman" w:hAnsi="Times New Roman" w:eastAsia="Times New Roman" w:cs="Times New Roman"/>
          <w:b/>
          <w:color w:val="000000"/>
          <w:sz w:val="40"/>
        </w:rPr>
        <w:t>9. Descriptive statistics for the final postcode table</w:t>
      </w:r>
    </w:p>
    <w:tbl>
      <w:tblPr>
        <w:tblStyle w:val="TableGrid"/>
        <w:tblW w:type="auto" w:w="0"/>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18"/>
        <w:gridCol w:w="1218"/>
        <w:gridCol w:w="1218"/>
        <w:gridCol w:w="1218"/>
        <w:gridCol w:w="1218"/>
        <w:gridCol w:w="1218"/>
        <w:gridCol w:w="1218"/>
        <w:gridCol w:w="1218"/>
      </w:tblGrid>
      <w:tr>
        <w:tc>
          <w:tcPr>
            <w:tcW w:type="dxa" w:w="2520"/>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18"/>
              </w:rPr>
            </w:r>
            <w:r>
              <w:rPr>
                <w:rFonts w:ascii="Times New Roman" w:hAnsi="Times New Roman" w:eastAsia="Times New Roman" w:cs="Times New Roman"/>
                <w:b/>
                <w:color w:val="000000"/>
                <w:sz w:val="18"/>
              </w:rPr>
              <w:t>Metric</w:t>
            </w:r>
          </w:p>
        </w:tc>
        <w:tc>
          <w:tcPr>
            <w:tcW w:type="dxa" w:w="979"/>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18"/>
              </w:rPr>
            </w:r>
            <w:r>
              <w:rPr>
                <w:rFonts w:ascii="Times New Roman" w:hAnsi="Times New Roman" w:eastAsia="Times New Roman" w:cs="Times New Roman"/>
                <w:b/>
                <w:color w:val="000000"/>
                <w:sz w:val="18"/>
              </w:rPr>
              <w:t>Count</w:t>
            </w:r>
          </w:p>
        </w:tc>
        <w:tc>
          <w:tcPr>
            <w:tcW w:type="dxa" w:w="979"/>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18"/>
              </w:rPr>
            </w:r>
            <w:r>
              <w:rPr>
                <w:rFonts w:ascii="Times New Roman" w:hAnsi="Times New Roman" w:eastAsia="Times New Roman" w:cs="Times New Roman"/>
                <w:b/>
                <w:color w:val="000000"/>
                <w:sz w:val="18"/>
              </w:rPr>
              <w:t>Mean</w:t>
            </w:r>
          </w:p>
        </w:tc>
        <w:tc>
          <w:tcPr>
            <w:tcW w:type="dxa" w:w="979"/>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18"/>
              </w:rPr>
            </w:r>
            <w:r>
              <w:rPr>
                <w:rFonts w:ascii="Times New Roman" w:hAnsi="Times New Roman" w:eastAsia="Times New Roman" w:cs="Times New Roman"/>
                <w:b/>
                <w:color w:val="000000"/>
                <w:sz w:val="18"/>
              </w:rPr>
              <w:t>Std</w:t>
            </w:r>
          </w:p>
        </w:tc>
        <w:tc>
          <w:tcPr>
            <w:tcW w:type="dxa" w:w="979"/>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18"/>
              </w:rPr>
            </w:r>
            <w:r>
              <w:rPr>
                <w:rFonts w:ascii="Times New Roman" w:hAnsi="Times New Roman" w:eastAsia="Times New Roman" w:cs="Times New Roman"/>
                <w:b/>
                <w:color w:val="000000"/>
                <w:sz w:val="18"/>
              </w:rPr>
              <w:t>Min</w:t>
            </w:r>
          </w:p>
        </w:tc>
        <w:tc>
          <w:tcPr>
            <w:tcW w:type="dxa" w:w="979"/>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18"/>
              </w:rPr>
            </w:r>
            <w:r>
              <w:rPr>
                <w:rFonts w:ascii="Times New Roman" w:hAnsi="Times New Roman" w:eastAsia="Times New Roman" w:cs="Times New Roman"/>
                <w:b/>
                <w:color w:val="000000"/>
                <w:sz w:val="18"/>
              </w:rPr>
              <w:t>Median</w:t>
            </w:r>
          </w:p>
        </w:tc>
        <w:tc>
          <w:tcPr>
            <w:tcW w:type="dxa" w:w="979"/>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18"/>
              </w:rPr>
            </w:r>
            <w:r>
              <w:rPr>
                <w:rFonts w:ascii="Times New Roman" w:hAnsi="Times New Roman" w:eastAsia="Times New Roman" w:cs="Times New Roman"/>
                <w:b/>
                <w:color w:val="000000"/>
                <w:sz w:val="18"/>
              </w:rPr>
              <w:t>75%</w:t>
            </w:r>
          </w:p>
        </w:tc>
        <w:tc>
          <w:tcPr>
            <w:tcW w:type="dxa" w:w="979"/>
            <w:vAlign w:val="center"/>
            <w:tcMar>
              <w:top w:w="90" w:type="dxa"/>
              <w:start w:w="110" w:type="dxa"/>
              <w:bottom w:w="90" w:type="dxa"/>
              <w:end w:w="110" w:type="dxa"/>
            </w:tcMar>
          </w:tcPr>
          <w:p>
            <w:pPr>
              <w:spacing w:before="0" w:after="40" w:line="240" w:lineRule="auto"/>
              <w:jc w:val="center"/>
              <w:keepNext/>
            </w:pPr>
            <w:r>
              <w:rPr>
                <w:rFonts w:ascii="Times New Roman" w:hAnsi="Times New Roman" w:eastAsia="Times New Roman" w:cs="Times New Roman"/>
                <w:b/>
                <w:sz w:val="18"/>
              </w:rPr>
            </w:r>
            <w:r>
              <w:rPr>
                <w:rFonts w:ascii="Times New Roman" w:hAnsi="Times New Roman" w:eastAsia="Times New Roman" w:cs="Times New Roman"/>
                <w:b/>
                <w:color w:val="000000"/>
                <w:sz w:val="18"/>
              </w:rPr>
              <w:t>Max</w:t>
            </w:r>
          </w:p>
        </w:tc>
      </w:tr>
      <w:tr>
        <w:tc>
          <w:tcPr>
            <w:tcW w:type="dxa" w:w="2520"/>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18"/>
              </w:rPr>
            </w:r>
            <w:r>
              <w:rPr>
                <w:rFonts w:ascii="Times New Roman" w:hAnsi="Times New Roman" w:eastAsia="Times New Roman" w:cs="Times New Roman"/>
                <w:b w:val="0"/>
                <w:color w:val="000000"/>
                <w:sz w:val="18"/>
              </w:rPr>
              <w:t>properties</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4429</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35.550237</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15.441428</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20.000000</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31.000000</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42.000000</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145.000000</w:t>
            </w:r>
          </w:p>
        </w:tc>
      </w:tr>
      <w:tr>
        <w:tc>
          <w:tcPr>
            <w:tcW w:type="dxa" w:w="2520"/>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18"/>
              </w:rPr>
            </w:r>
            <w:r>
              <w:rPr>
                <w:rFonts w:ascii="Times New Roman" w:hAnsi="Times New Roman" w:eastAsia="Times New Roman" w:cs="Times New Roman"/>
                <w:b w:val="0"/>
                <w:color w:val="000000"/>
                <w:sz w:val="18"/>
              </w:rPr>
              <w:t>share_low_rating</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4429</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0.098291</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0.120228</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0.000000</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0.054545</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0.150000</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0.955556</w:t>
            </w:r>
          </w:p>
        </w:tc>
      </w:tr>
      <w:tr>
        <w:tc>
          <w:tcPr>
            <w:tcW w:type="dxa" w:w="2520"/>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18"/>
              </w:rPr>
            </w:r>
            <w:r>
              <w:rPr>
                <w:rFonts w:ascii="Times New Roman" w:hAnsi="Times New Roman" w:eastAsia="Times New Roman" w:cs="Times New Roman"/>
                <w:b w:val="0"/>
                <w:color w:val="000000"/>
                <w:sz w:val="18"/>
              </w:rPr>
              <w:t>share_low_efficiency</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4429</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0.098291</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0.120228</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0.000000</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0.054545</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0.150000</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0.955556</w:t>
            </w:r>
          </w:p>
        </w:tc>
      </w:tr>
      <w:tr>
        <w:tc>
          <w:tcPr>
            <w:tcW w:type="dxa" w:w="2520"/>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18"/>
              </w:rPr>
            </w:r>
            <w:r>
              <w:rPr>
                <w:rFonts w:ascii="Times New Roman" w:hAnsi="Times New Roman" w:eastAsia="Times New Roman" w:cs="Times New Roman"/>
                <w:b w:val="0"/>
                <w:color w:val="000000"/>
                <w:sz w:val="18"/>
              </w:rPr>
              <w:t>avg_current_efficiency</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4429</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67.561627</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7.382067</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37.755556</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66.366667</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70.193548</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102.086957</w:t>
            </w:r>
          </w:p>
        </w:tc>
      </w:tr>
      <w:tr>
        <w:tc>
          <w:tcPr>
            <w:tcW w:type="dxa" w:w="2520"/>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18"/>
              </w:rPr>
            </w:r>
            <w:r>
              <w:rPr>
                <w:rFonts w:ascii="Times New Roman" w:hAnsi="Times New Roman" w:eastAsia="Times New Roman" w:cs="Times New Roman"/>
                <w:b w:val="0"/>
                <w:color w:val="000000"/>
                <w:sz w:val="18"/>
              </w:rPr>
              <w:t>avg_potential_efficiency</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4429</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82.523686</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6.634291</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52.933333</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81.838710</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83.981818</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392.961538</w:t>
            </w:r>
          </w:p>
        </w:tc>
      </w:tr>
      <w:tr>
        <w:tc>
          <w:tcPr>
            <w:tcW w:type="dxa" w:w="2520"/>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18"/>
              </w:rPr>
            </w:r>
            <w:r>
              <w:rPr>
                <w:rFonts w:ascii="Times New Roman" w:hAnsi="Times New Roman" w:eastAsia="Times New Roman" w:cs="Times New Roman"/>
                <w:b w:val="0"/>
                <w:color w:val="000000"/>
                <w:sz w:val="18"/>
              </w:rPr>
              <w:t>avg_improvement_gap</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4429</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14.890493</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5.378499</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0.000000</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15.432432</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18.071429</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59.500000</w:t>
            </w:r>
          </w:p>
        </w:tc>
      </w:tr>
      <w:tr>
        <w:tc>
          <w:tcPr>
            <w:tcW w:type="dxa" w:w="2520"/>
            <w:vAlign w:val="center"/>
            <w:tcMar>
              <w:top w:w="90" w:type="dxa"/>
              <w:start w:w="110" w:type="dxa"/>
              <w:bottom w:w="90" w:type="dxa"/>
              <w:end w:w="110" w:type="dxa"/>
            </w:tcMar>
          </w:tcPr>
          <w:p>
            <w:pPr>
              <w:spacing w:before="0" w:after="40" w:line="240" w:lineRule="auto"/>
              <w:jc w:val="left"/>
            </w:pPr>
            <w:r>
              <w:rPr>
                <w:rFonts w:ascii="Times New Roman" w:hAnsi="Times New Roman" w:eastAsia="Times New Roman" w:cs="Times New Roman"/>
                <w:sz w:val="18"/>
              </w:rPr>
            </w:r>
            <w:r>
              <w:rPr>
                <w:rFonts w:ascii="Times New Roman" w:hAnsi="Times New Roman" w:eastAsia="Times New Roman" w:cs="Times New Roman"/>
                <w:b w:val="0"/>
                <w:color w:val="000000"/>
                <w:sz w:val="18"/>
              </w:rPr>
              <w:t>risk_score</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4429</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0.128685</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0.108697</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0.000000</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0.096423</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0.181176</w:t>
            </w:r>
          </w:p>
        </w:tc>
        <w:tc>
          <w:tcPr>
            <w:tcW w:type="dxa" w:w="979"/>
            <w:vAlign w:val="center"/>
            <w:tcMar>
              <w:top w:w="90" w:type="dxa"/>
              <w:start w:w="110" w:type="dxa"/>
              <w:bottom w:w="90" w:type="dxa"/>
              <w:end w:w="110" w:type="dxa"/>
            </w:tcMar>
          </w:tcPr>
          <w:p>
            <w:pPr>
              <w:spacing w:before="0" w:after="40" w:line="240" w:lineRule="auto"/>
              <w:jc w:val="center"/>
            </w:pPr>
            <w:r>
              <w:rPr>
                <w:rFonts w:ascii="Times New Roman" w:hAnsi="Times New Roman" w:eastAsia="Times New Roman" w:cs="Times New Roman"/>
                <w:sz w:val="18"/>
              </w:rPr>
            </w:r>
            <w:r>
              <w:rPr>
                <w:rFonts w:ascii="Times New Roman" w:hAnsi="Times New Roman" w:eastAsia="Times New Roman" w:cs="Times New Roman"/>
                <w:b w:val="0"/>
                <w:color w:val="000000"/>
                <w:sz w:val="18"/>
              </w:rPr>
              <w:t>0.815462</w:t>
            </w:r>
          </w:p>
        </w:tc>
      </w:tr>
    </w:tbl>
    <w:p>
      <w:pPr>
        <w:pageBreakBefore w:val="0"/>
        <w:spacing w:before="0" w:after="0" w:line="240" w:lineRule="auto"/>
        <w:jc w:val="left"/>
      </w:pPr>
    </w:p>
    <w:p>
      <w:pPr>
        <w:pageBreakBefore/>
        <w:spacing w:after="200" w:before="0" w:line="240" w:lineRule="auto"/>
        <w:jc w:val="left"/>
        <w:keepNext/>
        <w:keepLines/>
      </w:pPr>
      <w:r>
        <w:rPr>
          <w:rFonts w:ascii="Times New Roman" w:hAnsi="Times New Roman" w:eastAsia="Times New Roman" w:cs="Times New Roman"/>
          <w:b/>
          <w:color w:val="000000"/>
          <w:sz w:val="40"/>
        </w:rPr>
        <w:t>10. Interpretation and limitations</w:t>
      </w:r>
    </w:p>
    <w:p>
      <w:pPr>
        <w:pageBreakBefore w:val="0"/>
        <w:spacing w:after="160" w:before="0" w:line="276" w:lineRule="auto"/>
        <w:jc w:val="both"/>
        <w:keepNext/>
      </w:pPr>
      <w:r>
        <w:rPr>
          <w:rFonts w:ascii="Times New Roman" w:hAnsi="Times New Roman" w:eastAsia="Times New Roman" w:cs="Times New Roman"/>
          <w:b w:val="0"/>
          <w:color w:val="000000"/>
          <w:sz w:val="28"/>
        </w:rPr>
        <w:t>The strongest screening signal comes from postcodes where EPC bands E, F, and G dominate and where current efficiency averages are materially below the County Durham postcode mean. The model also increases the score where the cleaned improvement gap is large, because those postcodes appear to contain stock with substantial modelled retrofit headroom.</w:t>
      </w:r>
    </w:p>
    <w:p>
      <w:pPr>
        <w:pageBreakBefore w:val="0"/>
        <w:spacing w:after="160" w:before="0" w:line="276" w:lineRule="auto"/>
        <w:jc w:val="both"/>
      </w:pPr>
      <w:r>
        <w:rPr>
          <w:rFonts w:ascii="Times New Roman" w:hAnsi="Times New Roman" w:eastAsia="Times New Roman" w:cs="Times New Roman"/>
          <w:b w:val="0"/>
          <w:color w:val="000000"/>
          <w:sz w:val="28"/>
        </w:rPr>
        <w:t>This remains a screening model rather than a causal model of fuel poverty. Fuel poverty, electricity, gas, and IMD indicators were only joined at local-authority level in this workflow, so postcode differentiation comes from the EPC-derived features rather than from those contextual tables. The risk bands are quantile-based and therefore relative within County Durham.</w:t>
      </w:r>
    </w:p>
    <w:p>
      <w:pPr>
        <w:pageBreakBefore/>
        <w:spacing w:after="240" w:before="0"/>
        <w:jc w:val="left"/>
      </w:pPr>
      <w:r>
        <w:rPr>
          <w:rFonts w:ascii="Times New Roman" w:hAnsi="Times New Roman" w:eastAsia="Times New Roman"/>
          <w:b/>
          <w:color w:val="000000"/>
          <w:sz w:val="40"/>
        </w:rPr>
        <w:t>11. Colour graphs</w:t>
      </w:r>
    </w:p>
    <w:p>
      <w:pPr>
        <w:jc w:val="both"/>
      </w:pPr>
      <w:r>
        <w:rPr>
          <w:rFonts w:ascii="Times New Roman" w:hAnsi="Times New Roman" w:eastAsia="Times New Roman"/>
          <w:b w:val="0"/>
          <w:color w:val="000000"/>
          <w:sz w:val="28"/>
        </w:rPr>
        <w:t>The graphs below use colour for visual separation only. All values come directly from the final County Durham postcode table and the summary tables already reported above.</w:t>
      </w:r>
    </w:p>
    <w:p>
      <w:pPr>
        <w:jc w:val="center"/>
      </w:pPr>
      <w:r>
        <w:drawing>
          <wp:inline xmlns:a="http://schemas.openxmlformats.org/drawingml/2006/main" xmlns:pic="http://schemas.openxmlformats.org/drawingml/2006/picture">
            <wp:extent cx="5943600" cy="3481110"/>
            <wp:docPr id="1" name="Picture 1"/>
            <wp:cNvGraphicFramePr>
              <a:graphicFrameLocks noChangeAspect="1"/>
            </wp:cNvGraphicFramePr>
            <a:graphic>
              <a:graphicData uri="http://schemas.openxmlformats.org/drawingml/2006/picture">
                <pic:pic>
                  <pic:nvPicPr>
                    <pic:cNvPr id="0" name="chart_risk_band_counts.png"/>
                    <pic:cNvPicPr/>
                  </pic:nvPicPr>
                  <pic:blipFill>
                    <a:blip r:embed="rId10"/>
                    <a:stretch>
                      <a:fillRect/>
                    </a:stretch>
                  </pic:blipFill>
                  <pic:spPr>
                    <a:xfrm>
                      <a:off x="0" y="0"/>
                      <a:ext cx="5943600" cy="3481110"/>
                    </a:xfrm>
                    <a:prstGeom prst="rect"/>
                  </pic:spPr>
                </pic:pic>
              </a:graphicData>
            </a:graphic>
          </wp:inline>
        </w:drawing>
      </w:r>
    </w:p>
    <w:p>
      <w:pPr>
        <w:spacing w:after="240"/>
        <w:jc w:val="center"/>
      </w:pPr>
      <w:r>
        <w:rPr>
          <w:rFonts w:ascii="Times New Roman" w:hAnsi="Times New Roman" w:eastAsia="Times New Roman"/>
          <w:i/>
          <w:color w:val="000000"/>
          <w:sz w:val="24"/>
        </w:rPr>
        <w:t>Figure 1. Postcode counts by risk band. The near-equal counts reflect five-quantile banding within County Durham.</w:t>
      </w:r>
    </w:p>
    <w:p>
      <w:pPr>
        <w:jc w:val="center"/>
      </w:pPr>
      <w:r>
        <w:drawing>
          <wp:inline xmlns:a="http://schemas.openxmlformats.org/drawingml/2006/main" xmlns:pic="http://schemas.openxmlformats.org/drawingml/2006/picture">
            <wp:extent cx="5943600" cy="4061296"/>
            <wp:docPr id="2" name="Picture 2"/>
            <wp:cNvGraphicFramePr>
              <a:graphicFrameLocks noChangeAspect="1"/>
            </wp:cNvGraphicFramePr>
            <a:graphic>
              <a:graphicData uri="http://schemas.openxmlformats.org/drawingml/2006/picture">
                <pic:pic>
                  <pic:nvPicPr>
                    <pic:cNvPr id="0" name="chart_top10_risk_scores.png"/>
                    <pic:cNvPicPr/>
                  </pic:nvPicPr>
                  <pic:blipFill>
                    <a:blip r:embed="rId11"/>
                    <a:stretch>
                      <a:fillRect/>
                    </a:stretch>
                  </pic:blipFill>
                  <pic:spPr>
                    <a:xfrm>
                      <a:off x="0" y="0"/>
                      <a:ext cx="5943600" cy="4061296"/>
                    </a:xfrm>
                    <a:prstGeom prst="rect"/>
                  </pic:spPr>
                </pic:pic>
              </a:graphicData>
            </a:graphic>
          </wp:inline>
        </w:drawing>
      </w:r>
    </w:p>
    <w:p>
      <w:pPr>
        <w:spacing w:after="240"/>
        <w:jc w:val="center"/>
      </w:pPr>
      <w:r>
        <w:rPr>
          <w:rFonts w:ascii="Times New Roman" w:hAnsi="Times New Roman" w:eastAsia="Times New Roman"/>
          <w:i/>
          <w:color w:val="000000"/>
          <w:sz w:val="24"/>
        </w:rPr>
        <w:t>Figure 2. Top 10 highest-risk postcodes by composite risk score. DH1 5HG remains the highest-ranked postcode in the final table.</w:t>
      </w:r>
    </w:p>
    <w:p>
      <w:pPr>
        <w:jc w:val="center"/>
      </w:pPr>
      <w:r>
        <w:drawing>
          <wp:inline xmlns:a="http://schemas.openxmlformats.org/drawingml/2006/main" xmlns:pic="http://schemas.openxmlformats.org/drawingml/2006/picture">
            <wp:extent cx="5943600" cy="3830320"/>
            <wp:docPr id="3" name="Picture 3"/>
            <wp:cNvGraphicFramePr>
              <a:graphicFrameLocks noChangeAspect="1"/>
            </wp:cNvGraphicFramePr>
            <a:graphic>
              <a:graphicData uri="http://schemas.openxmlformats.org/drawingml/2006/picture">
                <pic:pic>
                  <pic:nvPicPr>
                    <pic:cNvPr id="0" name="chart_top10_efficiency_gap.png"/>
                    <pic:cNvPicPr/>
                  </pic:nvPicPr>
                  <pic:blipFill>
                    <a:blip r:embed="rId12"/>
                    <a:stretch>
                      <a:fillRect/>
                    </a:stretch>
                  </pic:blipFill>
                  <pic:spPr>
                    <a:xfrm>
                      <a:off x="0" y="0"/>
                      <a:ext cx="5943600" cy="3830320"/>
                    </a:xfrm>
                    <a:prstGeom prst="rect"/>
                  </pic:spPr>
                </pic:pic>
              </a:graphicData>
            </a:graphic>
          </wp:inline>
        </w:drawing>
      </w:r>
    </w:p>
    <w:p>
      <w:pPr>
        <w:spacing w:after="240"/>
        <w:jc w:val="center"/>
      </w:pPr>
      <w:r>
        <w:rPr>
          <w:rFonts w:ascii="Times New Roman" w:hAnsi="Times New Roman" w:eastAsia="Times New Roman"/>
          <w:i/>
          <w:color w:val="000000"/>
          <w:sz w:val="24"/>
        </w:rPr>
        <w:t>Figure 3. Current efficiency and improvement-gap values for the 10 highest-risk postcodes. Low current efficiency and a large improvement gap often appear together in higher-risk areas.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