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961042">
      <w:pPr>
        <w:rPr>
          <w:rFonts w:hint="default" w:eastAsiaTheme="minorEastAsia"/>
          <w:b/>
          <w:bCs/>
          <w:lang w:val="en-US" w:eastAsia="zh-CN"/>
        </w:rPr>
      </w:pPr>
      <w:r>
        <w:rPr>
          <w:rFonts w:hint="default" w:eastAsiaTheme="minorEastAsia"/>
          <w:b/>
          <w:bCs/>
          <w:lang w:val="en-US" w:eastAsia="zh-CN"/>
        </w:rPr>
        <w:t>Asset Tokenisation Design: Vacation Property Model</w:t>
      </w:r>
    </w:p>
    <w:p w14:paraId="4B56C323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GitHub Link</w:t>
      </w:r>
    </w:p>
    <w:p w14:paraId="57E3A63C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Introduction (150-200)</w:t>
      </w:r>
    </w:p>
    <w:p w14:paraId="3F51AF8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你选的资产（度假房产）</w:t>
      </w:r>
    </w:p>
    <w:p w14:paraId="00311D8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你要做什么（设计tokenisation方案）</w:t>
      </w:r>
    </w:p>
    <w:p w14:paraId="733AC55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核心思路（投资 + 使用权 +机制设计）</w:t>
      </w:r>
    </w:p>
    <w:p w14:paraId="0052722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asset → token → market → risk</w:t>
      </w:r>
    </w:p>
    <w:p w14:paraId="7732792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本研究以度假房产（vacation property）作为标的资产，设计一套基于区块链的资产代币化方案。该设计通过将资产权益映射为可交易代币，实现从“asset </w:t>
      </w:r>
      <w:r>
        <w:rPr>
          <w:rFonts w:hint="eastAsia"/>
          <w:lang w:val="en-US" w:eastAsia="zh-CN"/>
        </w:rPr>
        <w:t>-</w:t>
      </w:r>
      <w:r>
        <w:rPr>
          <w:rFonts w:hint="default"/>
          <w:lang w:val="en-US" w:eastAsia="zh-CN"/>
        </w:rPr>
        <w:t xml:space="preserve"> token </w:t>
      </w:r>
      <w:r>
        <w:rPr>
          <w:rFonts w:hint="eastAsia"/>
          <w:lang w:val="en-US" w:eastAsia="zh-CN"/>
        </w:rPr>
        <w:t>-</w:t>
      </w:r>
      <w:r>
        <w:rPr>
          <w:rFonts w:hint="default"/>
          <w:lang w:val="en-US" w:eastAsia="zh-CN"/>
        </w:rPr>
        <w:t xml:space="preserve"> market </w:t>
      </w:r>
      <w:r>
        <w:rPr>
          <w:rFonts w:hint="eastAsia"/>
          <w:lang w:val="en-US" w:eastAsia="zh-CN"/>
        </w:rPr>
        <w:t>-</w:t>
      </w:r>
      <w:r>
        <w:rPr>
          <w:rFonts w:hint="default"/>
          <w:lang w:val="en-US" w:eastAsia="zh-CN"/>
        </w:rPr>
        <w:t xml:space="preserve"> risk”的完整金融化逻辑。不同于传统房地产投资，本模型结合收益权与使用权，构建兼具投资与消费属性的混合结构，并通过智能合约与链上交易机制提升资产流动性与配置效率。</w:t>
      </w:r>
    </w:p>
    <w:p w14:paraId="65C9645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0F772C4D">
      <w:pPr>
        <w:numPr>
          <w:ilvl w:val="0"/>
          <w:numId w:val="1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Asset Description (720字以内 15%)</w:t>
      </w:r>
    </w:p>
    <w:p w14:paraId="5D802137">
      <w:pPr>
        <w:numPr>
          <w:ilvl w:val="1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Asset overview</w:t>
      </w:r>
    </w:p>
    <w:p w14:paraId="1722B5B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本研究选取的标的资产为度假房产 (vacation property)，通常位于旅游目的地，具备短期租赁与自住双重属性。该类资产属于典型的 real estate asset，具有高价值、低流动性以及高交易成本等特征，这些特征限制了中小投资者的参与（Gupta et al., 2020）。</w:t>
      </w:r>
    </w:p>
    <w:p w14:paraId="03CCF0B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相较于普通住宅，度假房产的需求呈现明显季节性，其价值不仅来源于资本增值，还来源于短期租赁现金流与使用价值。因此，该资产具备“投资 + 消费”的双重属性，为后续的tokenisation设计提供结构性基础。</w:t>
      </w:r>
    </w:p>
    <w:p w14:paraId="66C5BC0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4CD3363B">
      <w:pPr>
        <w:numPr>
          <w:ilvl w:val="1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Value Generation Mechanism</w:t>
      </w:r>
    </w:p>
    <w:p w14:paraId="40205A8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该</w:t>
      </w:r>
      <w:r>
        <w:rPr>
          <w:rFonts w:hint="eastAsia"/>
          <w:lang w:val="en-US" w:eastAsia="zh-CN"/>
        </w:rPr>
        <w:t>度假房产</w:t>
      </w:r>
      <w:r>
        <w:rPr>
          <w:rFonts w:hint="default"/>
          <w:lang w:val="en-US" w:eastAsia="zh-CN"/>
        </w:rPr>
        <w:t>的价值主要来源于三类经济机制。</w:t>
      </w:r>
    </w:p>
    <w:p w14:paraId="46F9061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首先是 rental income。短期租赁</w:t>
      </w:r>
      <w:r>
        <w:rPr>
          <w:rFonts w:hint="eastAsia"/>
          <w:lang w:val="en-US" w:eastAsia="zh-CN"/>
        </w:rPr>
        <w:t>构成该资产最主要的现金流来源</w:t>
      </w:r>
      <w:r>
        <w:rPr>
          <w:rFonts w:hint="default"/>
          <w:lang w:val="en-US" w:eastAsia="zh-CN"/>
        </w:rPr>
        <w:t>，</w:t>
      </w:r>
      <w:r>
        <w:rPr>
          <w:rFonts w:hint="eastAsia"/>
          <w:lang w:val="en-US" w:eastAsia="zh-CN"/>
        </w:rPr>
        <w:t>尽管其</w:t>
      </w:r>
      <w:r>
        <w:rPr>
          <w:rFonts w:hint="default"/>
          <w:lang w:val="en-US" w:eastAsia="zh-CN"/>
        </w:rPr>
        <w:t>收益潜力</w:t>
      </w:r>
      <w:r>
        <w:rPr>
          <w:rFonts w:hint="eastAsia"/>
          <w:lang w:val="en-US" w:eastAsia="zh-CN"/>
        </w:rPr>
        <w:t>较高</w:t>
      </w:r>
      <w:r>
        <w:rPr>
          <w:rFonts w:hint="default"/>
          <w:lang w:val="en-US" w:eastAsia="zh-CN"/>
        </w:rPr>
        <w:t>，但同时也伴随</w:t>
      </w:r>
      <w:r>
        <w:rPr>
          <w:rFonts w:hint="eastAsia"/>
          <w:lang w:val="en-US" w:eastAsia="zh-CN"/>
        </w:rPr>
        <w:t>着更强的</w:t>
      </w:r>
      <w:r>
        <w:rPr>
          <w:rFonts w:hint="default"/>
          <w:lang w:val="en-US" w:eastAsia="zh-CN"/>
        </w:rPr>
        <w:t>需求波动与</w:t>
      </w:r>
      <w:r>
        <w:rPr>
          <w:rFonts w:hint="eastAsia"/>
          <w:lang w:val="en-US" w:eastAsia="zh-CN"/>
        </w:rPr>
        <w:t>运营成本不确定性</w:t>
      </w:r>
      <w:r>
        <w:rPr>
          <w:rFonts w:hint="default"/>
          <w:lang w:val="en-US" w:eastAsia="zh-CN"/>
        </w:rPr>
        <w:t>（Kreppmeier et al., 2023）。</w:t>
      </w:r>
    </w:p>
    <w:p w14:paraId="167FCB0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其次是 capital appreciation。房产</w:t>
      </w:r>
      <w:r>
        <w:rPr>
          <w:rFonts w:hint="eastAsia"/>
          <w:lang w:val="en-US" w:eastAsia="zh-CN"/>
        </w:rPr>
        <w:t>价值</w:t>
      </w:r>
      <w:r>
        <w:rPr>
          <w:rFonts w:hint="default"/>
          <w:lang w:val="en-US" w:eastAsia="zh-CN"/>
        </w:rPr>
        <w:t>可能随区域发展</w:t>
      </w:r>
      <w:r>
        <w:rPr>
          <w:rFonts w:hint="eastAsia"/>
          <w:lang w:val="en-US" w:eastAsia="zh-CN"/>
        </w:rPr>
        <w:t>与</w:t>
      </w:r>
      <w:r>
        <w:rPr>
          <w:rFonts w:hint="default"/>
          <w:lang w:val="en-US" w:eastAsia="zh-CN"/>
        </w:rPr>
        <w:t>旅游需求</w:t>
      </w:r>
      <w:r>
        <w:rPr>
          <w:rFonts w:hint="eastAsia"/>
          <w:lang w:val="en-US" w:eastAsia="zh-CN"/>
        </w:rPr>
        <w:t>变化而波动</w:t>
      </w:r>
      <w:r>
        <w:rPr>
          <w:rFonts w:hint="default"/>
          <w:lang w:val="en-US" w:eastAsia="zh-CN"/>
        </w:rPr>
        <w:t>从而为投资者带来资本利得</w:t>
      </w:r>
      <w:r>
        <w:rPr>
          <w:rFonts w:hint="eastAsia"/>
          <w:lang w:val="en-US" w:eastAsia="zh-CN"/>
        </w:rPr>
        <w:t>，但该部分收益也具有不确定性</w:t>
      </w:r>
      <w:r>
        <w:rPr>
          <w:rFonts w:hint="default"/>
          <w:lang w:val="en-US" w:eastAsia="zh-CN"/>
        </w:rPr>
        <w:t>。</w:t>
      </w:r>
    </w:p>
    <w:p w14:paraId="45DB548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第三是 usage value。</w:t>
      </w:r>
      <w:r>
        <w:rPr>
          <w:rFonts w:hint="eastAsia"/>
          <w:lang w:val="en-US" w:eastAsia="zh-CN"/>
        </w:rPr>
        <w:t>该资产</w:t>
      </w:r>
      <w:r>
        <w:rPr>
          <w:rFonts w:hint="default"/>
          <w:lang w:val="en-US" w:eastAsia="zh-CN"/>
        </w:rPr>
        <w:t>提供直接</w:t>
      </w:r>
      <w:r>
        <w:rPr>
          <w:rFonts w:hint="eastAsia"/>
          <w:lang w:val="en-US" w:eastAsia="zh-CN"/>
        </w:rPr>
        <w:t>消费</w:t>
      </w:r>
      <w:r>
        <w:rPr>
          <w:rFonts w:hint="default"/>
          <w:lang w:val="en-US" w:eastAsia="zh-CN"/>
        </w:rPr>
        <w:t>价值，例如</w:t>
      </w:r>
      <w:r>
        <w:rPr>
          <w:rFonts w:hint="eastAsia"/>
          <w:lang w:val="en-US" w:eastAsia="zh-CN"/>
        </w:rPr>
        <w:t>度假体验。尽管该类</w:t>
      </w:r>
      <w:r>
        <w:rPr>
          <w:rFonts w:hint="default"/>
          <w:lang w:val="en-US" w:eastAsia="zh-CN"/>
        </w:rPr>
        <w:t>非现金流收益</w:t>
      </w:r>
      <w:r>
        <w:rPr>
          <w:rFonts w:hint="eastAsia"/>
          <w:lang w:val="en-US" w:eastAsia="zh-CN"/>
        </w:rPr>
        <w:t>难以量化，但在实际投资与消费决策中具有重要影响</w:t>
      </w:r>
      <w:r>
        <w:rPr>
          <w:rFonts w:hint="default"/>
          <w:lang w:val="en-US" w:eastAsia="zh-CN"/>
        </w:rPr>
        <w:t>（Izadin &amp; Yusof, 2024）</w:t>
      </w:r>
      <w:r>
        <w:rPr>
          <w:rFonts w:hint="eastAsia"/>
          <w:lang w:val="en-US" w:eastAsia="zh-CN"/>
        </w:rPr>
        <w:t>。</w:t>
      </w:r>
    </w:p>
    <w:p w14:paraId="4CA66672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25254BF8">
      <w:pPr>
        <w:numPr>
          <w:ilvl w:val="0"/>
          <w:numId w:val="1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Rationale for Tokenisation (720字以内 15%</w:t>
      </w:r>
    </w:p>
    <w:p w14:paraId="6FC81EA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2.1 Structural Limitations of Traditional Real Estate</w:t>
      </w:r>
    </w:p>
    <w:p w14:paraId="7088A4C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传统房地产市场存在一系列结构性问题，使得度假房产难以实现高效配置。</w:t>
      </w:r>
    </w:p>
    <w:p w14:paraId="35F3535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首先</w:t>
      </w:r>
      <w:r>
        <w:rPr>
          <w:rFonts w:hint="default"/>
          <w:lang w:val="en-US" w:eastAsia="zh-CN"/>
        </w:rPr>
        <w:t>是 high entry barrier。高额初始投资</w:t>
      </w:r>
      <w:r>
        <w:rPr>
          <w:rFonts w:hint="eastAsia"/>
          <w:lang w:val="en-US" w:eastAsia="zh-CN"/>
        </w:rPr>
        <w:t>要求使房地产投资集中于少数高净值人群，</w:t>
      </w:r>
      <w:r>
        <w:rPr>
          <w:rFonts w:hint="default"/>
          <w:lang w:val="en-US" w:eastAsia="zh-CN"/>
        </w:rPr>
        <w:t>从而限制了市场参与</w:t>
      </w:r>
      <w:r>
        <w:rPr>
          <w:rFonts w:hint="eastAsia"/>
          <w:lang w:val="en-US" w:eastAsia="zh-CN"/>
        </w:rPr>
        <w:t>度与</w:t>
      </w:r>
      <w:r>
        <w:rPr>
          <w:rFonts w:hint="default"/>
          <w:lang w:val="en-US" w:eastAsia="zh-CN"/>
        </w:rPr>
        <w:t>资本流动</w:t>
      </w:r>
      <w:r>
        <w:rPr>
          <w:rFonts w:hint="eastAsia"/>
          <w:lang w:val="en-US" w:eastAsia="zh-CN"/>
        </w:rPr>
        <w:t>性</w:t>
      </w:r>
      <w:r>
        <w:rPr>
          <w:rFonts w:hint="default"/>
          <w:lang w:val="en-US" w:eastAsia="zh-CN"/>
        </w:rPr>
        <w:t>（El Jaouhari et al., 2025）。</w:t>
      </w:r>
    </w:p>
    <w:p w14:paraId="5083311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其次</w:t>
      </w:r>
      <w:r>
        <w:rPr>
          <w:rFonts w:hint="default"/>
          <w:lang w:val="en-US" w:eastAsia="zh-CN"/>
        </w:rPr>
        <w:t>是 low liquidity，房地产交易</w:t>
      </w:r>
      <w:r>
        <w:rPr>
          <w:rFonts w:hint="eastAsia"/>
          <w:lang w:val="en-US" w:eastAsia="zh-CN"/>
        </w:rPr>
        <w:t>周期长且依赖中介与法律流程，</w:t>
      </w:r>
      <w:r>
        <w:rPr>
          <w:rFonts w:hint="default"/>
          <w:lang w:val="en-US" w:eastAsia="zh-CN"/>
        </w:rPr>
        <w:t>导致资产变现</w:t>
      </w:r>
      <w:r>
        <w:rPr>
          <w:rFonts w:hint="eastAsia"/>
          <w:lang w:val="en-US" w:eastAsia="zh-CN"/>
        </w:rPr>
        <w:t>效率较低</w:t>
      </w:r>
      <w:r>
        <w:rPr>
          <w:rFonts w:hint="default"/>
          <w:lang w:val="en-US" w:eastAsia="zh-CN"/>
        </w:rPr>
        <w:t>（Gupta et al., 2020）。</w:t>
      </w:r>
    </w:p>
    <w:p w14:paraId="6B1354C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此外，</w:t>
      </w:r>
      <w:r>
        <w:rPr>
          <w:rFonts w:hint="eastAsia"/>
          <w:lang w:val="en-US" w:eastAsia="zh-CN"/>
        </w:rPr>
        <w:t>资产</w:t>
      </w:r>
      <w:r>
        <w:rPr>
          <w:rFonts w:hint="default"/>
          <w:lang w:val="en-US" w:eastAsia="zh-CN"/>
        </w:rPr>
        <w:t>的 indivisibility 进一步</w:t>
      </w:r>
      <w:r>
        <w:rPr>
          <w:rFonts w:hint="eastAsia"/>
          <w:lang w:val="en-US" w:eastAsia="zh-CN"/>
        </w:rPr>
        <w:t>限制了</w:t>
      </w:r>
      <w:r>
        <w:rPr>
          <w:rFonts w:hint="default"/>
          <w:lang w:val="en-US" w:eastAsia="zh-CN"/>
        </w:rPr>
        <w:t>投资灵活性</w:t>
      </w:r>
      <w:r>
        <w:rPr>
          <w:rFonts w:hint="eastAsia"/>
          <w:lang w:val="en-US" w:eastAsia="zh-CN"/>
        </w:rPr>
        <w:t>与投资</w:t>
      </w:r>
      <w:r>
        <w:rPr>
          <w:rFonts w:hint="default"/>
          <w:lang w:val="en-US" w:eastAsia="zh-CN"/>
        </w:rPr>
        <w:t>组合多样化（Kreppmeier et al., 2023）。</w:t>
      </w:r>
    </w:p>
    <w:p w14:paraId="3C594B7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618966A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2.2 Tokenisation as a Solution</w:t>
      </w:r>
    </w:p>
    <w:p w14:paraId="1C791F2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Tokenisation 通过</w:t>
      </w:r>
      <w:r>
        <w:rPr>
          <w:rFonts w:hint="eastAsia"/>
          <w:lang w:val="en-US" w:eastAsia="zh-CN"/>
        </w:rPr>
        <w:t>将资产</w:t>
      </w:r>
      <w:r>
        <w:rPr>
          <w:rFonts w:hint="default"/>
          <w:lang w:val="en-US" w:eastAsia="zh-CN"/>
        </w:rPr>
        <w:t>权益拆分为可交易单位，实现 fractional ownership，</w:t>
      </w:r>
      <w:r>
        <w:rPr>
          <w:rFonts w:hint="eastAsia"/>
          <w:lang w:val="en-US" w:eastAsia="zh-CN"/>
        </w:rPr>
        <w:t>从而降低投资门槛并扩大市场参与范围</w:t>
      </w:r>
      <w:r>
        <w:rPr>
          <w:rFonts w:hint="default"/>
          <w:lang w:val="en-US" w:eastAsia="zh-CN"/>
        </w:rPr>
        <w:t>（Izadin &amp; Yusof, 2024）。</w:t>
      </w:r>
    </w:p>
    <w:p w14:paraId="48B1949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同时，</w:t>
      </w:r>
      <w:r>
        <w:rPr>
          <w:rFonts w:hint="eastAsia"/>
          <w:lang w:val="en-US" w:eastAsia="zh-CN"/>
        </w:rPr>
        <w:t>基于区块链的交易机制可缩短交易周期并降低交易成本，使房地产在一定程度上具备金融资产的流动性特征</w:t>
      </w:r>
      <w:r>
        <w:rPr>
          <w:rFonts w:hint="default"/>
          <w:lang w:val="en-US" w:eastAsia="zh-CN"/>
        </w:rPr>
        <w:t>（Avci &amp; Erzurumlu, 2023）。</w:t>
      </w:r>
    </w:p>
    <w:p w14:paraId="231A4A4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此外，区块链的透明性</w:t>
      </w:r>
      <w:r>
        <w:rPr>
          <w:rFonts w:hint="eastAsia"/>
          <w:lang w:val="en-US" w:eastAsia="zh-CN"/>
        </w:rPr>
        <w:t>与</w:t>
      </w:r>
      <w:r>
        <w:rPr>
          <w:rFonts w:hint="default"/>
          <w:lang w:val="en-US" w:eastAsia="zh-CN"/>
        </w:rPr>
        <w:t>不可篡改性</w:t>
      </w:r>
      <w:r>
        <w:rPr>
          <w:rFonts w:hint="eastAsia"/>
          <w:lang w:val="en-US" w:eastAsia="zh-CN"/>
        </w:rPr>
        <w:t>能够减少信息不对称并增强</w:t>
      </w:r>
      <w:r>
        <w:rPr>
          <w:rFonts w:hint="default"/>
          <w:lang w:val="en-US" w:eastAsia="zh-CN"/>
        </w:rPr>
        <w:t>市场信任，从而</w:t>
      </w:r>
      <w:r>
        <w:rPr>
          <w:rFonts w:hint="eastAsia"/>
          <w:lang w:val="en-US" w:eastAsia="zh-CN"/>
        </w:rPr>
        <w:t>提升整体</w:t>
      </w:r>
      <w:r>
        <w:rPr>
          <w:rFonts w:hint="default"/>
          <w:lang w:val="en-US" w:eastAsia="zh-CN"/>
        </w:rPr>
        <w:t>市场</w:t>
      </w:r>
      <w:r>
        <w:rPr>
          <w:rFonts w:hint="eastAsia"/>
          <w:lang w:val="en-US" w:eastAsia="zh-CN"/>
        </w:rPr>
        <w:t>运行</w:t>
      </w:r>
      <w:r>
        <w:rPr>
          <w:rFonts w:hint="default"/>
          <w:lang w:val="en-US" w:eastAsia="zh-CN"/>
        </w:rPr>
        <w:t>效率（Saari et al., 2022）。</w:t>
      </w:r>
    </w:p>
    <w:p w14:paraId="4962B14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4D2F0C9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2.3 Suitability of Vacation Property for Tokenisation</w:t>
      </w:r>
    </w:p>
    <w:p w14:paraId="1F6D3C7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度假房产</w:t>
      </w:r>
      <w:r>
        <w:rPr>
          <w:rFonts w:hint="eastAsia"/>
          <w:lang w:val="en-US" w:eastAsia="zh-CN"/>
        </w:rPr>
        <w:t>相较于</w:t>
      </w:r>
      <w:r>
        <w:rPr>
          <w:rFonts w:hint="default"/>
          <w:lang w:val="en-US" w:eastAsia="zh-CN"/>
        </w:rPr>
        <w:t>其他房地产类型，</w:t>
      </w:r>
      <w:r>
        <w:rPr>
          <w:rFonts w:hint="eastAsia"/>
          <w:lang w:val="en-US" w:eastAsia="zh-CN"/>
        </w:rPr>
        <w:t>在结构上</w:t>
      </w:r>
      <w:r>
        <w:rPr>
          <w:rFonts w:hint="default"/>
          <w:lang w:val="en-US" w:eastAsia="zh-CN"/>
        </w:rPr>
        <w:t>更适合进行 tokenisation。</w:t>
      </w:r>
    </w:p>
    <w:p w14:paraId="5E9EB14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其一，该</w:t>
      </w:r>
      <w:r>
        <w:rPr>
          <w:rFonts w:hint="eastAsia"/>
          <w:lang w:val="en-US" w:eastAsia="zh-CN"/>
        </w:rPr>
        <w:t>类</w:t>
      </w:r>
      <w:r>
        <w:rPr>
          <w:rFonts w:hint="default"/>
          <w:lang w:val="en-US" w:eastAsia="zh-CN"/>
        </w:rPr>
        <w:t>资产具有</w:t>
      </w:r>
      <w:r>
        <w:rPr>
          <w:rFonts w:hint="eastAsia"/>
          <w:lang w:val="en-US" w:eastAsia="zh-CN"/>
        </w:rPr>
        <w:t>显著的时间分布特征，使usage rights可以与具体时间段直接绑定，从而不仅实现资本份额的拆分，还可进一步形成可交易的时间权益。</w:t>
      </w:r>
    </w:p>
    <w:p w14:paraId="7968F22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其二，度假房产通常存在</w:t>
      </w:r>
      <w:r>
        <w:rPr>
          <w:rFonts w:hint="eastAsia"/>
          <w:lang w:val="en-US" w:eastAsia="zh-CN"/>
        </w:rPr>
        <w:t>较多</w:t>
      </w:r>
      <w:r>
        <w:rPr>
          <w:rFonts w:hint="default"/>
          <w:lang w:val="en-US" w:eastAsia="zh-CN"/>
        </w:rPr>
        <w:t>闲置时间</w:t>
      </w:r>
      <w:r>
        <w:rPr>
          <w:rFonts w:hint="eastAsia"/>
          <w:lang w:val="en-US" w:eastAsia="zh-CN"/>
        </w:rPr>
        <w:t>，通过</w:t>
      </w:r>
      <w:r>
        <w:rPr>
          <w:rFonts w:hint="default"/>
          <w:lang w:val="en-US" w:eastAsia="zh-CN"/>
        </w:rPr>
        <w:t>tokenisation</w:t>
      </w:r>
      <w:r>
        <w:rPr>
          <w:rFonts w:hint="eastAsia"/>
          <w:lang w:val="en-US" w:eastAsia="zh-CN"/>
        </w:rPr>
        <w:t>可将未利用的使用权重新配置，从而提高资产利用率并释放额外价值。</w:t>
      </w:r>
    </w:p>
    <w:p w14:paraId="3C3E4E1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其三，度假房产同时具备投资与消费属性，使其能够支持“收益权+使用权”的复合</w:t>
      </w:r>
      <w:r>
        <w:rPr>
          <w:rFonts w:hint="eastAsia"/>
          <w:lang w:val="en-US" w:eastAsia="zh-CN"/>
        </w:rPr>
        <w:t>结构</w:t>
      </w:r>
      <w:r>
        <w:rPr>
          <w:rFonts w:hint="default"/>
          <w:lang w:val="en-US" w:eastAsia="zh-CN"/>
        </w:rPr>
        <w:t>，并吸引不同类型的参与者。</w:t>
      </w:r>
      <w:r>
        <w:rPr>
          <w:rFonts w:hint="eastAsia"/>
          <w:lang w:val="en-US" w:eastAsia="zh-CN"/>
        </w:rPr>
        <w:t>这一特征有助于形成</w:t>
      </w:r>
      <w:r>
        <w:rPr>
          <w:rFonts w:hint="default"/>
          <w:lang w:val="en-US" w:eastAsia="zh-CN"/>
        </w:rPr>
        <w:t>双侧需求，从而</w:t>
      </w:r>
      <w:r>
        <w:rPr>
          <w:rFonts w:hint="eastAsia"/>
          <w:lang w:val="en-US" w:eastAsia="zh-CN"/>
        </w:rPr>
        <w:t>为</w:t>
      </w:r>
      <w:r>
        <w:rPr>
          <w:rFonts w:hint="default"/>
          <w:lang w:val="en-US" w:eastAsia="zh-CN"/>
        </w:rPr>
        <w:t xml:space="preserve"> tokenised asset </w:t>
      </w:r>
      <w:r>
        <w:rPr>
          <w:rFonts w:hint="eastAsia"/>
          <w:lang w:val="en-US" w:eastAsia="zh-CN"/>
        </w:rPr>
        <w:t>提供更稳定</w:t>
      </w:r>
      <w:r>
        <w:rPr>
          <w:rFonts w:hint="default"/>
          <w:lang w:val="en-US" w:eastAsia="zh-CN"/>
        </w:rPr>
        <w:t>的市场基础</w:t>
      </w:r>
      <w:r>
        <w:rPr>
          <w:rFonts w:hint="eastAsia"/>
          <w:lang w:val="en-US" w:eastAsia="zh-CN"/>
        </w:rPr>
        <w:t>。</w:t>
      </w:r>
    </w:p>
    <w:p w14:paraId="17F6BEF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23BA85E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2.4 Target Users and Market Positioning</w:t>
      </w:r>
    </w:p>
    <w:p w14:paraId="0CDE902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本设计的目标用户主要包括两类。</w:t>
      </w:r>
    </w:p>
    <w:p w14:paraId="1DD3D23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第一类是 investors，其</w:t>
      </w:r>
      <w:r>
        <w:rPr>
          <w:rFonts w:hint="eastAsia"/>
          <w:lang w:val="en-US" w:eastAsia="zh-CN"/>
        </w:rPr>
        <w:t>主要关注</w:t>
      </w:r>
      <w:r>
        <w:rPr>
          <w:rFonts w:hint="default"/>
          <w:lang w:val="en-US" w:eastAsia="zh-CN"/>
        </w:rPr>
        <w:t xml:space="preserve"> rental income 与资本增值</w:t>
      </w:r>
      <w:r>
        <w:rPr>
          <w:rFonts w:hint="eastAsia"/>
          <w:lang w:val="en-US" w:eastAsia="zh-CN"/>
        </w:rPr>
        <w:t>潜力</w:t>
      </w:r>
      <w:r>
        <w:rPr>
          <w:rFonts w:hint="default"/>
          <w:lang w:val="en-US" w:eastAsia="zh-CN"/>
        </w:rPr>
        <w:t>，</w:t>
      </w:r>
      <w:r>
        <w:rPr>
          <w:rFonts w:hint="eastAsia"/>
          <w:lang w:val="en-US" w:eastAsia="zh-CN"/>
        </w:rPr>
        <w:t>并</w:t>
      </w:r>
      <w:r>
        <w:rPr>
          <w:rFonts w:hint="default"/>
          <w:lang w:val="en-US" w:eastAsia="zh-CN"/>
        </w:rPr>
        <w:t>希望</w:t>
      </w:r>
      <w:r>
        <w:rPr>
          <w:rFonts w:hint="eastAsia"/>
          <w:lang w:val="en-US" w:eastAsia="zh-CN"/>
        </w:rPr>
        <w:t>以</w:t>
      </w:r>
      <w:r>
        <w:rPr>
          <w:rFonts w:hint="default"/>
          <w:lang w:val="en-US" w:eastAsia="zh-CN"/>
        </w:rPr>
        <w:t>较低门槛进入房地产市场</w:t>
      </w:r>
      <w:r>
        <w:rPr>
          <w:rFonts w:hint="eastAsia"/>
          <w:lang w:val="en-US" w:eastAsia="zh-CN"/>
        </w:rPr>
        <w:t>以获取相对</w:t>
      </w:r>
      <w:r>
        <w:rPr>
          <w:rFonts w:hint="default"/>
          <w:lang w:val="en-US" w:eastAsia="zh-CN"/>
        </w:rPr>
        <w:t>稳定</w:t>
      </w:r>
      <w:r>
        <w:rPr>
          <w:rFonts w:hint="eastAsia"/>
          <w:lang w:val="en-US" w:eastAsia="zh-CN"/>
        </w:rPr>
        <w:t>回报</w:t>
      </w:r>
      <w:r>
        <w:rPr>
          <w:rFonts w:hint="default"/>
          <w:lang w:val="en-US" w:eastAsia="zh-CN"/>
        </w:rPr>
        <w:t>。</w:t>
      </w:r>
    </w:p>
    <w:p w14:paraId="0363BCC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第二类是 user-consumers，其更</w:t>
      </w:r>
      <w:r>
        <w:rPr>
          <w:rFonts w:hint="eastAsia"/>
          <w:lang w:val="en-US" w:eastAsia="zh-CN"/>
        </w:rPr>
        <w:t>重视</w:t>
      </w:r>
      <w:r>
        <w:rPr>
          <w:rFonts w:hint="default"/>
          <w:lang w:val="en-US" w:eastAsia="zh-CN"/>
        </w:rPr>
        <w:t xml:space="preserve"> usage rights，通过持有代币</w:t>
      </w:r>
      <w:r>
        <w:rPr>
          <w:rFonts w:hint="eastAsia"/>
          <w:lang w:val="en-US" w:eastAsia="zh-CN"/>
        </w:rPr>
        <w:t>获取</w:t>
      </w:r>
      <w:r>
        <w:rPr>
          <w:rFonts w:hint="default"/>
          <w:lang w:val="en-US" w:eastAsia="zh-CN"/>
        </w:rPr>
        <w:t>度假居住机会</w:t>
      </w:r>
      <w:r>
        <w:rPr>
          <w:rFonts w:hint="eastAsia"/>
          <w:lang w:val="en-US" w:eastAsia="zh-CN"/>
        </w:rPr>
        <w:t>，从而实现</w:t>
      </w:r>
      <w:r>
        <w:rPr>
          <w:rFonts w:hint="default"/>
          <w:lang w:val="en-US" w:eastAsia="zh-CN"/>
        </w:rPr>
        <w:t>消费与投资</w:t>
      </w:r>
      <w:r>
        <w:rPr>
          <w:rFonts w:hint="eastAsia"/>
          <w:lang w:val="en-US" w:eastAsia="zh-CN"/>
        </w:rPr>
        <w:t>的</w:t>
      </w:r>
      <w:r>
        <w:rPr>
          <w:rFonts w:hint="default"/>
          <w:lang w:val="en-US" w:eastAsia="zh-CN"/>
        </w:rPr>
        <w:t>结合。</w:t>
      </w:r>
    </w:p>
    <w:p w14:paraId="1AA9D23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通过同时吸引</w:t>
      </w:r>
      <w:r>
        <w:rPr>
          <w:rFonts w:hint="eastAsia"/>
          <w:lang w:val="en-US" w:eastAsia="zh-CN"/>
        </w:rPr>
        <w:t>投资者与使用者</w:t>
      </w:r>
      <w:r>
        <w:rPr>
          <w:rFonts w:hint="default"/>
          <w:lang w:val="en-US" w:eastAsia="zh-CN"/>
        </w:rPr>
        <w:t>，</w:t>
      </w:r>
      <w:r>
        <w:rPr>
          <w:rFonts w:hint="eastAsia"/>
          <w:lang w:val="en-US" w:eastAsia="zh-CN"/>
        </w:rPr>
        <w:t>本设计</w:t>
      </w:r>
      <w:r>
        <w:rPr>
          <w:rFonts w:hint="default"/>
          <w:lang w:val="en-US" w:eastAsia="zh-CN"/>
        </w:rPr>
        <w:t>不仅</w:t>
      </w:r>
      <w:r>
        <w:rPr>
          <w:rFonts w:hint="eastAsia"/>
          <w:lang w:val="en-US" w:eastAsia="zh-CN"/>
        </w:rPr>
        <w:t>拓展</w:t>
      </w:r>
      <w:r>
        <w:rPr>
          <w:rFonts w:hint="default"/>
          <w:lang w:val="en-US" w:eastAsia="zh-CN"/>
        </w:rPr>
        <w:t>了市场参与者范围，</w:t>
      </w:r>
      <w:r>
        <w:rPr>
          <w:rFonts w:hint="eastAsia"/>
          <w:lang w:val="en-US" w:eastAsia="zh-CN"/>
        </w:rPr>
        <w:t>也在一定程度上</w:t>
      </w:r>
      <w:r>
        <w:rPr>
          <w:rFonts w:hint="default"/>
          <w:lang w:val="en-US" w:eastAsia="zh-CN"/>
        </w:rPr>
        <w:t>增强了资产需求基础与流动性潜力。</w:t>
      </w:r>
    </w:p>
    <w:p w14:paraId="15AC259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30F49A58">
      <w:pPr>
        <w:numPr>
          <w:ilvl w:val="0"/>
          <w:numId w:val="1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Token Structure and Design (1000字左右 20%</w:t>
      </w:r>
    </w:p>
    <w:p w14:paraId="54ACB9F5">
      <w:pPr>
        <w:numPr>
          <w:ilvl w:val="1"/>
          <w:numId w:val="1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Token Type Selection: Fungible Token</w:t>
      </w:r>
    </w:p>
    <w:p w14:paraId="17D5B6A9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本设计采用 Fungible Token (FT) 作为核心结构，其依据在于标的资产的可分割性和投资属性。度假房产作为高价值、低流动性资产，其收益主要源于rental income与capital appreciation，且可按比例分配，因此适合通过代币化实现fractional ownership，从而降低投资门槛并扩大投资者基础（El Jaouhari et al., 2025）。</w:t>
      </w:r>
    </w:p>
    <w:p w14:paraId="5159B6D2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相比之下，NFT更适合表示unique assets或单一使用权，但在份额拆分与流动性提升方面存在局限。因此，为支持标准化收益分配与连续交易，本设计选择FT。</w:t>
      </w:r>
    </w:p>
    <w:p w14:paraId="71C3D5C2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此外，在投资应用场景中，FT的可替代性使其更易与金融市场机制对接，从而提升二级市场交易性与价格发现效率（Madhavji, 2024）。因此，该选择在资产属性与市场功能上具有一致性。</w:t>
      </w:r>
    </w:p>
    <w:p w14:paraId="0CD65A61">
      <w:pPr>
        <w:numPr>
          <w:ilvl w:val="1"/>
          <w:numId w:val="1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Rights and Obligations Embedded in Tokens</w:t>
      </w:r>
    </w:p>
    <w:p w14:paraId="4ADAD2A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本模型采用hybrid economic structure，在每个 token 中嵌入收益权与可选使用权。</w:t>
      </w:r>
    </w:p>
    <w:p w14:paraId="58909B5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首先是 income rights。持有者按比例获得租金收益，并通过smart contracts 自动分配，从而提升效率与透明度（Gupta et al., 2020）。</w:t>
      </w:r>
    </w:p>
    <w:p w14:paraId="49946A7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第二是 optional usage rights。持有者可通过锁定 token 兑换特定时间段的使用权，使token同时具备投资与消费功能。</w:t>
      </w:r>
    </w:p>
    <w:p w14:paraId="6FC543F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与之同时，行使使用权意味着放弃对应期间的 rental income，这体现了资源配置中的机会成本。收益与使用权之间的转换规则由智能合约预设，以确保执行的确定性与透明性。</w:t>
      </w:r>
    </w:p>
    <w:p w14:paraId="0457419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总体而言，该设计通过将收益权与使用权嵌入token，实现房地产权益的模块化与链上执行（Avci &amp; Erzurumlu, 2023）。</w:t>
      </w:r>
    </w:p>
    <w:p w14:paraId="381C0E19">
      <w:pPr>
        <w:numPr>
          <w:ilvl w:val="1"/>
          <w:numId w:val="1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Dual-Layer Mechanism: Usage vs Yield Allocation</w:t>
      </w:r>
    </w:p>
    <w:p w14:paraId="424E944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为协调</w:t>
      </w:r>
      <w:r>
        <w:rPr>
          <w:rFonts w:hint="eastAsia"/>
          <w:lang w:val="en-US" w:eastAsia="zh-CN"/>
        </w:rPr>
        <w:t>收益</w:t>
      </w:r>
      <w:r>
        <w:rPr>
          <w:rFonts w:hint="default"/>
          <w:lang w:val="en-US" w:eastAsia="zh-CN"/>
        </w:rPr>
        <w:t>与</w:t>
      </w:r>
      <w:r>
        <w:rPr>
          <w:rFonts w:hint="eastAsia"/>
          <w:lang w:val="en-US" w:eastAsia="zh-CN"/>
        </w:rPr>
        <w:t>使用</w:t>
      </w:r>
      <w:r>
        <w:rPr>
          <w:rFonts w:hint="default"/>
          <w:lang w:val="en-US" w:eastAsia="zh-CN"/>
        </w:rPr>
        <w:t>之间的潜在冲突，本设计引入 dual-layer mechanism。</w:t>
      </w:r>
    </w:p>
    <w:p w14:paraId="79DDEC4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首先，</w:t>
      </w:r>
      <w:r>
        <w:rPr>
          <w:rFonts w:hint="default"/>
          <w:lang w:val="en-US" w:eastAsia="zh-CN"/>
        </w:rPr>
        <w:t xml:space="preserve"> allocation choice layer</w:t>
      </w:r>
      <w:r>
        <w:rPr>
          <w:rFonts w:hint="eastAsia"/>
          <w:lang w:val="en-US" w:eastAsia="zh-CN"/>
        </w:rPr>
        <w:t>允许持有者在每个周期决定</w:t>
      </w:r>
      <w:r>
        <w:rPr>
          <w:rFonts w:hint="default"/>
          <w:lang w:val="en-US" w:eastAsia="zh-CN"/>
        </w:rPr>
        <w:t>token</w:t>
      </w:r>
      <w:r>
        <w:rPr>
          <w:rFonts w:hint="eastAsia"/>
          <w:lang w:val="en-US" w:eastAsia="zh-CN"/>
        </w:rPr>
        <w:t>用于收益获取或使用权兑换，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从而赋予</w:t>
      </w:r>
      <w:r>
        <w:rPr>
          <w:rFonts w:hint="default"/>
          <w:lang w:val="en-US" w:eastAsia="zh-CN"/>
        </w:rPr>
        <w:t>持有者灵活决策权，</w:t>
      </w:r>
      <w:r>
        <w:rPr>
          <w:rFonts w:hint="eastAsia"/>
          <w:lang w:val="en-US" w:eastAsia="zh-CN"/>
        </w:rPr>
        <w:t>并提升</w:t>
      </w:r>
      <w:r>
        <w:rPr>
          <w:rFonts w:hint="default"/>
          <w:lang w:val="en-US" w:eastAsia="zh-CN"/>
        </w:rPr>
        <w:t>资产</w:t>
      </w:r>
      <w:r>
        <w:rPr>
          <w:rFonts w:hint="eastAsia"/>
          <w:lang w:val="en-US" w:eastAsia="zh-CN"/>
        </w:rPr>
        <w:t>使用的灵活性</w:t>
      </w:r>
      <w:r>
        <w:rPr>
          <w:rFonts w:hint="default"/>
          <w:lang w:val="en-US" w:eastAsia="zh-CN"/>
        </w:rPr>
        <w:t>。</w:t>
      </w:r>
    </w:p>
    <w:p w14:paraId="2C0C5DC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其次，</w:t>
      </w:r>
      <w:r>
        <w:rPr>
          <w:rFonts w:hint="default"/>
          <w:lang w:val="en-US" w:eastAsia="zh-CN"/>
        </w:rPr>
        <w:t xml:space="preserve"> dynamic pricing layer</w:t>
      </w:r>
      <w:r>
        <w:rPr>
          <w:rFonts w:hint="eastAsia"/>
          <w:lang w:val="en-US" w:eastAsia="zh-CN"/>
        </w:rPr>
        <w:t>根据时间与需求差异分配使用权。在</w:t>
      </w:r>
      <w:r>
        <w:rPr>
          <w:rFonts w:hint="default"/>
          <w:lang w:val="en-US" w:eastAsia="zh-CN"/>
        </w:rPr>
        <w:t>旺季</w:t>
      </w:r>
      <w:r>
        <w:rPr>
          <w:rFonts w:hint="eastAsia"/>
          <w:lang w:val="en-US" w:eastAsia="zh-CN"/>
        </w:rPr>
        <w:t>，使用成本更高，需要消耗的</w:t>
      </w:r>
      <w:r>
        <w:rPr>
          <w:rFonts w:hint="default"/>
          <w:lang w:val="en-US" w:eastAsia="zh-CN"/>
        </w:rPr>
        <w:t xml:space="preserve"> token 数更</w:t>
      </w:r>
      <w:r>
        <w:rPr>
          <w:rFonts w:hint="eastAsia"/>
          <w:lang w:val="en-US" w:eastAsia="zh-CN"/>
        </w:rPr>
        <w:t>多，在淡季则相对较低。</w:t>
      </w:r>
      <w:r>
        <w:rPr>
          <w:rFonts w:hint="default"/>
          <w:lang w:val="en-US" w:eastAsia="zh-CN"/>
        </w:rPr>
        <w:t>该机制通过价格信号引导资源配置，使使用权的分配更加市场化。</w:t>
      </w:r>
    </w:p>
    <w:p w14:paraId="142C6C4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该动态机制在保持token同质性的前提下，</w:t>
      </w:r>
      <w:r>
        <w:rPr>
          <w:rFonts w:hint="default"/>
          <w:lang w:val="en-US" w:eastAsia="zh-CN"/>
        </w:rPr>
        <w:t>实现稀缺</w:t>
      </w:r>
      <w:r>
        <w:rPr>
          <w:rFonts w:hint="eastAsia"/>
          <w:lang w:val="en-US" w:eastAsia="zh-CN"/>
        </w:rPr>
        <w:t>使用权的市场化</w:t>
      </w:r>
      <w:r>
        <w:rPr>
          <w:rFonts w:hint="default"/>
          <w:lang w:val="en-US" w:eastAsia="zh-CN"/>
        </w:rPr>
        <w:t>分配（Swinkels, 2023）</w:t>
      </w:r>
      <w:r>
        <w:rPr>
          <w:rFonts w:hint="eastAsia"/>
          <w:lang w:val="en-US" w:eastAsia="zh-CN"/>
        </w:rPr>
        <w:t>。</w:t>
      </w:r>
    </w:p>
    <w:p w14:paraId="016FBE7F">
      <w:pPr>
        <w:numPr>
          <w:ilvl w:val="1"/>
          <w:numId w:val="1"/>
        </w:numPr>
        <w:rPr>
          <w:rFonts w:hint="default"/>
          <w:b/>
          <w:bCs/>
          <w:color w:val="auto"/>
          <w:highlight w:val="none"/>
          <w:lang w:val="en-US" w:eastAsia="zh-CN"/>
        </w:rPr>
      </w:pPr>
      <w:r>
        <w:rPr>
          <w:rFonts w:hint="eastAsia"/>
          <w:b/>
          <w:bCs/>
          <w:color w:val="auto"/>
          <w:highlight w:val="none"/>
          <w:lang w:val="en-US" w:eastAsia="zh-CN"/>
        </w:rPr>
        <w:t>Supply Rules and Incentive Alignment</w:t>
      </w:r>
    </w:p>
    <w:p w14:paraId="759982E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本模型采用 fixed supply ，即 token 总量在初始发行后保持不变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每个 token 对应底层资产的固定比例权益，从而</w:t>
      </w:r>
      <w:r>
        <w:rPr>
          <w:rFonts w:hint="eastAsia"/>
          <w:lang w:val="en-US" w:eastAsia="zh-CN"/>
        </w:rPr>
        <w:t>维持</w:t>
      </w:r>
      <w:r>
        <w:rPr>
          <w:rFonts w:hint="default"/>
          <w:lang w:val="en-US" w:eastAsia="zh-CN"/>
        </w:rPr>
        <w:t>价值锚定的稳定性。</w:t>
      </w:r>
      <w:r>
        <w:rPr>
          <w:rFonts w:hint="eastAsia"/>
          <w:lang w:val="en-US" w:eastAsia="zh-CN"/>
        </w:rPr>
        <w:t>此外，</w:t>
      </w:r>
      <w:r>
        <w:rPr>
          <w:rFonts w:hint="default"/>
          <w:lang w:val="en-US" w:eastAsia="zh-CN"/>
        </w:rPr>
        <w:t>固定供给避免了通胀稀释，使 token 价值始终与资产表现直接挂钩</w:t>
      </w:r>
      <w:r>
        <w:rPr>
          <w:rFonts w:hint="eastAsia"/>
          <w:lang w:val="en-US" w:eastAsia="zh-CN"/>
        </w:rPr>
        <w:t>，同时</w:t>
      </w:r>
      <w:r>
        <w:rPr>
          <w:rFonts w:hint="default"/>
          <w:lang w:val="en-US" w:eastAsia="zh-CN"/>
        </w:rPr>
        <w:t>为市场定价提供清晰</w:t>
      </w:r>
      <w:r>
        <w:rPr>
          <w:rFonts w:hint="eastAsia"/>
          <w:lang w:val="en-US" w:eastAsia="zh-CN"/>
        </w:rPr>
        <w:t>基准</w:t>
      </w:r>
      <w:r>
        <w:rPr>
          <w:rFonts w:hint="default"/>
          <w:lang w:val="en-US" w:eastAsia="zh-CN"/>
        </w:rPr>
        <w:t>。</w:t>
      </w:r>
    </w:p>
    <w:p w14:paraId="2683C5E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在激励机制方面，收益</w:t>
      </w:r>
      <w:r>
        <w:rPr>
          <w:rFonts w:hint="eastAsia"/>
          <w:lang w:val="en-US" w:eastAsia="zh-CN"/>
        </w:rPr>
        <w:t>权</w:t>
      </w:r>
      <w:r>
        <w:rPr>
          <w:rFonts w:hint="default"/>
          <w:lang w:val="en-US" w:eastAsia="zh-CN"/>
        </w:rPr>
        <w:t>与使用权之间</w:t>
      </w:r>
      <w:r>
        <w:rPr>
          <w:rFonts w:hint="eastAsia"/>
          <w:lang w:val="en-US" w:eastAsia="zh-CN"/>
        </w:rPr>
        <w:t>形成</w:t>
      </w:r>
      <w:r>
        <w:rPr>
          <w:rFonts w:hint="default"/>
          <w:lang w:val="en-US" w:eastAsia="zh-CN"/>
        </w:rPr>
        <w:t>权衡</w:t>
      </w:r>
      <w:r>
        <w:rPr>
          <w:rFonts w:hint="eastAsia"/>
          <w:lang w:val="en-US" w:eastAsia="zh-CN"/>
        </w:rPr>
        <w:t>关系：</w:t>
      </w:r>
      <w:r>
        <w:rPr>
          <w:rFonts w:hint="default"/>
          <w:lang w:val="en-US" w:eastAsia="zh-CN"/>
        </w:rPr>
        <w:t>当更多</w:t>
      </w:r>
      <w:r>
        <w:rPr>
          <w:rFonts w:hint="eastAsia"/>
          <w:lang w:val="en-US" w:eastAsia="zh-CN"/>
        </w:rPr>
        <w:t>持有者行使使用权</w:t>
      </w:r>
      <w:r>
        <w:rPr>
          <w:rFonts w:hint="default"/>
          <w:lang w:val="en-US" w:eastAsia="zh-CN"/>
        </w:rPr>
        <w:t>时，剩余投资者的收益</w:t>
      </w:r>
      <w:r>
        <w:rPr>
          <w:rFonts w:hint="eastAsia"/>
          <w:lang w:val="en-US" w:eastAsia="zh-CN"/>
        </w:rPr>
        <w:t>提高，</w:t>
      </w:r>
      <w:r>
        <w:rPr>
          <w:rFonts w:hint="default"/>
          <w:lang w:val="en-US" w:eastAsia="zh-CN"/>
        </w:rPr>
        <w:t>反之亦然。</w:t>
      </w:r>
      <w:r>
        <w:rPr>
          <w:rFonts w:hint="eastAsia"/>
          <w:lang w:val="en-US" w:eastAsia="zh-CN"/>
        </w:rPr>
        <w:t>这一机制</w:t>
      </w:r>
      <w:r>
        <w:rPr>
          <w:rFonts w:hint="default"/>
          <w:lang w:val="en-US" w:eastAsia="zh-CN"/>
        </w:rPr>
        <w:t>有助于形成</w:t>
      </w:r>
      <w:r>
        <w:rPr>
          <w:rFonts w:hint="eastAsia"/>
          <w:lang w:val="en-US" w:eastAsia="zh-CN"/>
        </w:rPr>
        <w:t>动态</w:t>
      </w:r>
      <w:r>
        <w:rPr>
          <w:rFonts w:hint="default"/>
          <w:lang w:val="en-US" w:eastAsia="zh-CN"/>
        </w:rPr>
        <w:t>均衡</w:t>
      </w:r>
      <w:r>
        <w:rPr>
          <w:rFonts w:hint="eastAsia"/>
          <w:lang w:val="en-US" w:eastAsia="zh-CN"/>
        </w:rPr>
        <w:t>并提升资产</w:t>
      </w:r>
      <w:r>
        <w:rPr>
          <w:rFonts w:hint="default"/>
          <w:lang w:val="en-US" w:eastAsia="zh-CN"/>
        </w:rPr>
        <w:t>利用效率。</w:t>
      </w:r>
    </w:p>
    <w:p w14:paraId="35189DF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总体来看，该</w:t>
      </w:r>
      <w:r>
        <w:rPr>
          <w:rFonts w:hint="default"/>
          <w:lang w:val="en-US" w:eastAsia="zh-CN"/>
        </w:rPr>
        <w:t>设计体现了“规则即合约”的</w:t>
      </w:r>
      <w:r>
        <w:rPr>
          <w:rFonts w:hint="eastAsia"/>
          <w:lang w:val="en-US" w:eastAsia="zh-CN"/>
        </w:rPr>
        <w:t>执行逻辑</w:t>
      </w:r>
      <w:r>
        <w:rPr>
          <w:rFonts w:hint="default"/>
          <w:lang w:val="en-US" w:eastAsia="zh-CN"/>
        </w:rPr>
        <w:t>，使</w:t>
      </w:r>
      <w:r>
        <w:rPr>
          <w:rFonts w:hint="eastAsia"/>
          <w:lang w:val="en-US" w:eastAsia="zh-CN"/>
        </w:rPr>
        <w:t>其</w:t>
      </w:r>
      <w:r>
        <w:rPr>
          <w:rFonts w:hint="default"/>
          <w:lang w:val="en-US" w:eastAsia="zh-CN"/>
        </w:rPr>
        <w:t>在链上自动执行</w:t>
      </w:r>
      <w:r>
        <w:rPr>
          <w:rFonts w:hint="eastAsia"/>
          <w:lang w:val="en-US" w:eastAsia="zh-CN"/>
        </w:rPr>
        <w:t>的同时，在统一规则下</w:t>
      </w:r>
      <w:r>
        <w:rPr>
          <w:rFonts w:hint="default"/>
          <w:lang w:val="en-US" w:eastAsia="zh-CN"/>
        </w:rPr>
        <w:t>保持一致性（Madhavji, 2024）</w:t>
      </w:r>
      <w:r>
        <w:rPr>
          <w:rFonts w:hint="eastAsia"/>
          <w:lang w:val="en-US" w:eastAsia="zh-CN"/>
        </w:rPr>
        <w:t>。</w:t>
      </w:r>
    </w:p>
    <w:p w14:paraId="739FB74F">
      <w:pPr>
        <w:numPr>
          <w:ilvl w:val="1"/>
          <w:numId w:val="1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Transferability and Divisibility</w:t>
      </w:r>
    </w:p>
    <w:p w14:paraId="0D76FF8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作为 FT，该 token 具备</w:t>
      </w:r>
      <w:r>
        <w:rPr>
          <w:rFonts w:hint="eastAsia"/>
          <w:lang w:val="en-US" w:eastAsia="zh-CN"/>
        </w:rPr>
        <w:t>高度的</w:t>
      </w:r>
      <w:r>
        <w:rPr>
          <w:rFonts w:hint="default"/>
          <w:lang w:val="en-US" w:eastAsia="zh-CN"/>
        </w:rPr>
        <w:t xml:space="preserve"> transferability 与 divisibility。</w:t>
      </w:r>
    </w:p>
    <w:p w14:paraId="019A26D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链上转让显著降低</w:t>
      </w:r>
      <w:r>
        <w:rPr>
          <w:rFonts w:hint="eastAsia"/>
          <w:lang w:val="en-US" w:eastAsia="zh-CN"/>
        </w:rPr>
        <w:t>交易</w:t>
      </w:r>
      <w:r>
        <w:rPr>
          <w:rFonts w:hint="default"/>
          <w:lang w:val="en-US" w:eastAsia="zh-CN"/>
        </w:rPr>
        <w:t>成本</w:t>
      </w:r>
      <w:r>
        <w:rPr>
          <w:rFonts w:hint="eastAsia"/>
          <w:lang w:val="en-US" w:eastAsia="zh-CN"/>
        </w:rPr>
        <w:t>并提高交易</w:t>
      </w:r>
      <w:r>
        <w:rPr>
          <w:rFonts w:hint="default"/>
          <w:lang w:val="en-US" w:eastAsia="zh-CN"/>
        </w:rPr>
        <w:t>效率（Kreppmeier et al., 2023）。</w:t>
      </w:r>
      <w:r>
        <w:rPr>
          <w:rFonts w:hint="eastAsia"/>
          <w:lang w:val="en-US" w:eastAsia="zh-CN"/>
        </w:rPr>
        <w:t>同时</w:t>
      </w:r>
      <w:r>
        <w:rPr>
          <w:rFonts w:hint="default"/>
          <w:lang w:val="en-US" w:eastAsia="zh-CN"/>
        </w:rPr>
        <w:t>token 可被</w:t>
      </w:r>
      <w:r>
        <w:rPr>
          <w:rFonts w:hint="eastAsia"/>
          <w:lang w:val="en-US" w:eastAsia="zh-CN"/>
        </w:rPr>
        <w:t>拆分为</w:t>
      </w:r>
      <w:r>
        <w:rPr>
          <w:rFonts w:hint="default"/>
          <w:lang w:val="en-US" w:eastAsia="zh-CN"/>
        </w:rPr>
        <w:t>较小单位，</w:t>
      </w:r>
      <w:r>
        <w:rPr>
          <w:rFonts w:hint="eastAsia"/>
          <w:lang w:val="en-US" w:eastAsia="zh-CN"/>
        </w:rPr>
        <w:t>从而一定程度上促进</w:t>
      </w:r>
      <w:r>
        <w:rPr>
          <w:rFonts w:hint="default"/>
          <w:lang w:val="en-US" w:eastAsia="zh-CN"/>
        </w:rPr>
        <w:t>投资民主化（Izadin &amp; Yusof, 2024）。</w:t>
      </w:r>
      <w:r>
        <w:rPr>
          <w:rFonts w:hint="eastAsia"/>
          <w:lang w:val="en-US" w:eastAsia="zh-CN"/>
        </w:rPr>
        <w:t>此外，divisibility支持投资组合构建，使投资者能够实现风险分散。</w:t>
      </w:r>
    </w:p>
    <w:p w14:paraId="7D8B189F">
      <w:pPr>
        <w:numPr>
          <w:ilvl w:val="1"/>
          <w:numId w:val="1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Locking, Burning and </w:t>
      </w:r>
      <w:r>
        <w:rPr>
          <w:rFonts w:hint="default"/>
          <w:b/>
          <w:bCs/>
          <w:lang w:val="en-US" w:eastAsia="zh-CN"/>
        </w:rPr>
        <w:t>Redemption Mechanism</w:t>
      </w:r>
    </w:p>
    <w:p w14:paraId="23141A8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为实现 usage 与 investment </w:t>
      </w:r>
      <w:r>
        <w:rPr>
          <w:rFonts w:hint="eastAsia"/>
          <w:lang w:val="en-US" w:eastAsia="zh-CN"/>
        </w:rPr>
        <w:t>之间的</w:t>
      </w:r>
      <w:r>
        <w:rPr>
          <w:rFonts w:hint="default"/>
          <w:lang w:val="en-US" w:eastAsia="zh-CN"/>
        </w:rPr>
        <w:t>动态平衡，本设计引入 token locking mechanism。当持有人</w:t>
      </w:r>
      <w:r>
        <w:rPr>
          <w:rFonts w:hint="eastAsia"/>
          <w:lang w:val="en-US" w:eastAsia="zh-CN"/>
        </w:rPr>
        <w:t>行使</w:t>
      </w:r>
      <w:r>
        <w:rPr>
          <w:rFonts w:hint="default"/>
          <w:lang w:val="en-US" w:eastAsia="zh-CN"/>
        </w:rPr>
        <w:t>使用权时，</w:t>
      </w:r>
      <w:r>
        <w:rPr>
          <w:rFonts w:hint="eastAsia"/>
          <w:lang w:val="en-US" w:eastAsia="zh-CN"/>
        </w:rPr>
        <w:t>对应</w:t>
      </w:r>
      <w:r>
        <w:rPr>
          <w:rFonts w:hint="default"/>
          <w:lang w:val="en-US" w:eastAsia="zh-CN"/>
        </w:rPr>
        <w:t>token 被锁定</w:t>
      </w:r>
      <w:r>
        <w:rPr>
          <w:rFonts w:hint="eastAsia"/>
          <w:lang w:val="en-US" w:eastAsia="zh-CN"/>
        </w:rPr>
        <w:t>且暂时退出交易与</w:t>
      </w:r>
      <w:r>
        <w:rPr>
          <w:rFonts w:hint="default"/>
          <w:lang w:val="en-US" w:eastAsia="zh-CN"/>
        </w:rPr>
        <w:t>收益分配</w:t>
      </w:r>
      <w:r>
        <w:rPr>
          <w:rFonts w:hint="eastAsia"/>
          <w:lang w:val="en-US" w:eastAsia="zh-CN"/>
        </w:rPr>
        <w:t>，以避免</w:t>
      </w:r>
      <w:r>
        <w:rPr>
          <w:rFonts w:hint="default"/>
          <w:lang w:val="en-US" w:eastAsia="zh-CN"/>
        </w:rPr>
        <w:t>双重使用。</w:t>
      </w:r>
    </w:p>
    <w:p w14:paraId="4F03BE5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 burning mechanism 方面，本模型不采用永久销毁，而</w:t>
      </w:r>
      <w:r>
        <w:rPr>
          <w:rFonts w:hint="eastAsia"/>
          <w:lang w:val="en-US" w:eastAsia="zh-CN"/>
        </w:rPr>
        <w:t>采用</w:t>
      </w:r>
      <w:r>
        <w:rPr>
          <w:rFonts w:hint="default"/>
          <w:lang w:val="en-US" w:eastAsia="zh-CN"/>
        </w:rPr>
        <w:t>时间锁定</w:t>
      </w:r>
      <w:r>
        <w:rPr>
          <w:rFonts w:hint="eastAsia"/>
          <w:lang w:val="en-US" w:eastAsia="zh-CN"/>
        </w:rPr>
        <w:t>替代，以</w:t>
      </w:r>
      <w:r>
        <w:rPr>
          <w:rFonts w:hint="default"/>
          <w:lang w:val="en-US" w:eastAsia="zh-CN"/>
        </w:rPr>
        <w:t>避免供给减少对价格产生长期</w:t>
      </w:r>
      <w:r>
        <w:rPr>
          <w:rFonts w:hint="eastAsia"/>
          <w:lang w:val="en-US" w:eastAsia="zh-CN"/>
        </w:rPr>
        <w:t>扭曲</w:t>
      </w:r>
      <w:r>
        <w:rPr>
          <w:rFonts w:hint="default"/>
          <w:lang w:val="en-US" w:eastAsia="zh-CN"/>
        </w:rPr>
        <w:t>。</w:t>
      </w:r>
    </w:p>
    <w:p w14:paraId="20874EF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 redemption mechanism 上，token 持有人</w:t>
      </w:r>
      <w:r>
        <w:rPr>
          <w:rFonts w:hint="eastAsia"/>
          <w:lang w:val="en-US" w:eastAsia="zh-CN"/>
        </w:rPr>
        <w:t>可在资产出售或项目终止时通过</w:t>
      </w:r>
      <w:r>
        <w:rPr>
          <w:rFonts w:hint="default"/>
          <w:lang w:val="en-US" w:eastAsia="zh-CN"/>
        </w:rPr>
        <w:t>SPV</w:t>
      </w:r>
      <w:r>
        <w:rPr>
          <w:rFonts w:hint="eastAsia"/>
          <w:lang w:val="en-US" w:eastAsia="zh-CN"/>
        </w:rPr>
        <w:t>按比例</w:t>
      </w:r>
      <w:r>
        <w:rPr>
          <w:rFonts w:hint="default"/>
          <w:lang w:val="en-US" w:eastAsia="zh-CN"/>
        </w:rPr>
        <w:t>赎回</w:t>
      </w:r>
      <w:r>
        <w:rPr>
          <w:rFonts w:hint="eastAsia"/>
          <w:lang w:val="en-US" w:eastAsia="zh-CN"/>
        </w:rPr>
        <w:t>收益</w:t>
      </w:r>
      <w:r>
        <w:rPr>
          <w:rFonts w:hint="default"/>
          <w:lang w:val="en-US" w:eastAsia="zh-CN"/>
        </w:rPr>
        <w:t>，</w:t>
      </w:r>
      <w:r>
        <w:rPr>
          <w:rFonts w:hint="eastAsia"/>
          <w:lang w:val="en-US" w:eastAsia="zh-CN"/>
        </w:rPr>
        <w:t>从而</w:t>
      </w:r>
      <w:r>
        <w:rPr>
          <w:rFonts w:hint="default"/>
          <w:lang w:val="en-US" w:eastAsia="zh-CN"/>
        </w:rPr>
        <w:t>提供明确退出路径并</w:t>
      </w:r>
      <w:r>
        <w:rPr>
          <w:rFonts w:hint="eastAsia"/>
          <w:lang w:val="en-US" w:eastAsia="zh-CN"/>
        </w:rPr>
        <w:t>强化</w:t>
      </w:r>
      <w:r>
        <w:rPr>
          <w:rFonts w:hint="default"/>
          <w:lang w:val="en-US" w:eastAsia="zh-CN"/>
        </w:rPr>
        <w:t xml:space="preserve"> token </w:t>
      </w:r>
      <w:r>
        <w:rPr>
          <w:rFonts w:hint="eastAsia"/>
          <w:lang w:val="en-US" w:eastAsia="zh-CN"/>
        </w:rPr>
        <w:t>与底层资产</w:t>
      </w:r>
      <w:r>
        <w:rPr>
          <w:rFonts w:hint="default"/>
          <w:lang w:val="en-US" w:eastAsia="zh-CN"/>
        </w:rPr>
        <w:t>的价值</w:t>
      </w:r>
      <w:r>
        <w:rPr>
          <w:rFonts w:hint="eastAsia"/>
          <w:lang w:val="en-US" w:eastAsia="zh-CN"/>
        </w:rPr>
        <w:t>联系</w:t>
      </w:r>
      <w:r>
        <w:rPr>
          <w:rFonts w:hint="default"/>
          <w:lang w:val="en-US" w:eastAsia="zh-CN"/>
        </w:rPr>
        <w:t>。</w:t>
      </w:r>
    </w:p>
    <w:p w14:paraId="35C4624B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53E58DFC">
      <w:pPr>
        <w:numPr>
          <w:ilvl w:val="0"/>
          <w:numId w:val="1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Market Access and Liquidity (960字以内 20%</w:t>
      </w:r>
    </w:p>
    <w:p w14:paraId="5615CE02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4.1 Primary Issuance and Market Entry</w:t>
      </w:r>
    </w:p>
    <w:p w14:paraId="7F24980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该代币通过 primary issuance </w:t>
      </w:r>
      <w:r>
        <w:rPr>
          <w:rFonts w:hint="eastAsia"/>
          <w:lang w:val="en-US" w:eastAsia="zh-CN"/>
        </w:rPr>
        <w:t>进入市场</w:t>
      </w:r>
      <w:r>
        <w:rPr>
          <w:rFonts w:hint="default"/>
          <w:lang w:val="en-US" w:eastAsia="zh-CN"/>
        </w:rPr>
        <w:t>，</w:t>
      </w:r>
      <w:r>
        <w:rPr>
          <w:rFonts w:hint="eastAsia"/>
          <w:lang w:val="en-US" w:eastAsia="zh-CN"/>
        </w:rPr>
        <w:t>并</w:t>
      </w:r>
      <w:r>
        <w:rPr>
          <w:rFonts w:hint="default"/>
          <w:lang w:val="en-US" w:eastAsia="zh-CN"/>
        </w:rPr>
        <w:t xml:space="preserve">以 Special Purpose Vehicle </w:t>
      </w:r>
      <w:r>
        <w:rPr>
          <w:rFonts w:hint="eastAsia"/>
          <w:lang w:val="en-US" w:eastAsia="zh-CN"/>
        </w:rPr>
        <w:t>(</w:t>
      </w:r>
      <w:r>
        <w:rPr>
          <w:rFonts w:hint="default"/>
          <w:lang w:val="en-US" w:eastAsia="zh-CN"/>
        </w:rPr>
        <w:t>SPV</w:t>
      </w:r>
      <w:r>
        <w:rPr>
          <w:rFonts w:hint="eastAsia"/>
          <w:lang w:val="en-US" w:eastAsia="zh-CN"/>
        </w:rPr>
        <w:t>)</w:t>
      </w:r>
      <w:r>
        <w:rPr>
          <w:rFonts w:hint="default"/>
          <w:lang w:val="en-US" w:eastAsia="zh-CN"/>
        </w:rPr>
        <w:t xml:space="preserve"> 为核心</w:t>
      </w:r>
      <w:r>
        <w:rPr>
          <w:rFonts w:hint="eastAsia"/>
          <w:lang w:val="en-US" w:eastAsia="zh-CN"/>
        </w:rPr>
        <w:t>载体</w:t>
      </w:r>
      <w:r>
        <w:rPr>
          <w:rFonts w:hint="default"/>
          <w:lang w:val="en-US" w:eastAsia="zh-CN"/>
        </w:rPr>
        <w:t>。具体而言，</w:t>
      </w:r>
      <w:r>
        <w:rPr>
          <w:rFonts w:hint="eastAsia"/>
          <w:lang w:val="en-US" w:eastAsia="zh-CN"/>
        </w:rPr>
        <w:t>度假房产</w:t>
      </w:r>
      <w:r>
        <w:rPr>
          <w:rFonts w:hint="default"/>
          <w:lang w:val="en-US" w:eastAsia="zh-CN"/>
        </w:rPr>
        <w:t>由 SPV 持有，</w:t>
      </w:r>
      <w:r>
        <w:rPr>
          <w:rFonts w:hint="eastAsia"/>
          <w:lang w:val="en-US" w:eastAsia="zh-CN"/>
        </w:rPr>
        <w:t>其经济权益被映射为链上代币并进行初始发行，</w:t>
      </w:r>
      <w:r>
        <w:rPr>
          <w:rFonts w:hint="default"/>
          <w:lang w:val="en-US" w:eastAsia="zh-CN"/>
        </w:rPr>
        <w:t>投资者通过购买代币</w:t>
      </w:r>
      <w:r>
        <w:rPr>
          <w:rFonts w:hint="eastAsia"/>
          <w:lang w:val="en-US" w:eastAsia="zh-CN"/>
        </w:rPr>
        <w:t>实现对资产的间接持有</w:t>
      </w:r>
      <w:r>
        <w:rPr>
          <w:rFonts w:hint="default"/>
          <w:lang w:val="en-US" w:eastAsia="zh-CN"/>
        </w:rPr>
        <w:t>。</w:t>
      </w:r>
    </w:p>
    <w:p w14:paraId="7AC9834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该</w:t>
      </w:r>
      <w:r>
        <w:rPr>
          <w:rFonts w:hint="default"/>
          <w:lang w:val="en-US" w:eastAsia="zh-CN"/>
        </w:rPr>
        <w:t>结构</w:t>
      </w:r>
      <w:r>
        <w:rPr>
          <w:rFonts w:hint="eastAsia"/>
          <w:lang w:val="en-US" w:eastAsia="zh-CN"/>
        </w:rPr>
        <w:t>将法律所有权与经济权益相分离，从而在一定程度上实现风险隔离并提升运作灵活性</w:t>
      </w:r>
      <w:r>
        <w:rPr>
          <w:rFonts w:hint="default"/>
          <w:lang w:val="en-US" w:eastAsia="zh-CN"/>
        </w:rPr>
        <w:t>（Avci &amp; Erzurumlu, 2023）。</w:t>
      </w:r>
    </w:p>
    <w:p w14:paraId="1A1B30D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在发行</w:t>
      </w:r>
      <w:r>
        <w:rPr>
          <w:rFonts w:hint="eastAsia"/>
          <w:lang w:val="en-US" w:eastAsia="zh-CN"/>
        </w:rPr>
        <w:t>机制上</w:t>
      </w:r>
      <w:r>
        <w:rPr>
          <w:rFonts w:hint="default"/>
          <w:lang w:val="en-US" w:eastAsia="zh-CN"/>
        </w:rPr>
        <w:t>，代币</w:t>
      </w:r>
      <w:r>
        <w:rPr>
          <w:rFonts w:hint="eastAsia"/>
          <w:lang w:val="en-US" w:eastAsia="zh-CN"/>
        </w:rPr>
        <w:t>采用固定供给并以预设价格出售，定价综合考虑</w:t>
      </w:r>
      <w:r>
        <w:rPr>
          <w:rFonts w:hint="default"/>
          <w:lang w:val="en-US" w:eastAsia="zh-CN"/>
        </w:rPr>
        <w:t>房产价值、预期 rental income</w:t>
      </w:r>
      <w:r>
        <w:rPr>
          <w:rFonts w:hint="eastAsia"/>
          <w:lang w:val="en-US" w:eastAsia="zh-CN"/>
        </w:rPr>
        <w:t>与</w:t>
      </w:r>
      <w:r>
        <w:rPr>
          <w:rFonts w:hint="default"/>
          <w:lang w:val="en-US" w:eastAsia="zh-CN"/>
        </w:rPr>
        <w:t>市场需求。</w:t>
      </w:r>
      <w:r>
        <w:rPr>
          <w:rFonts w:hint="eastAsia"/>
          <w:lang w:val="en-US" w:eastAsia="zh-CN"/>
        </w:rPr>
        <w:t>每单位token对应固定比例权益，确保权利分配清晰可追溯。该过程在功能上类似Security Token Offering (STO)，但通过</w:t>
      </w:r>
      <w:r>
        <w:rPr>
          <w:rFonts w:hint="default"/>
          <w:lang w:val="en-US" w:eastAsia="zh-CN"/>
        </w:rPr>
        <w:t>链上</w:t>
      </w:r>
      <w:r>
        <w:rPr>
          <w:rFonts w:hint="eastAsia"/>
          <w:lang w:val="en-US" w:eastAsia="zh-CN"/>
        </w:rPr>
        <w:t>执行降低中介成本并提升透明度</w:t>
      </w:r>
      <w:r>
        <w:rPr>
          <w:rFonts w:hint="default"/>
          <w:lang w:val="en-US" w:eastAsia="zh-CN"/>
        </w:rPr>
        <w:t>（Madhavji, 2024）。</w:t>
      </w:r>
    </w:p>
    <w:p w14:paraId="7C3F148B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16A3FC22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4.2 Secondary Market and Trading Mechanism</w:t>
      </w:r>
    </w:p>
    <w:p w14:paraId="1882A4E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完成初始发行后，代币进入 secondary market </w:t>
      </w:r>
      <w:r>
        <w:rPr>
          <w:rFonts w:hint="eastAsia"/>
          <w:lang w:val="en-US" w:eastAsia="zh-CN"/>
        </w:rPr>
        <w:t>流通，</w:t>
      </w:r>
      <w:r>
        <w:rPr>
          <w:rFonts w:hint="default"/>
          <w:lang w:val="en-US" w:eastAsia="zh-CN"/>
        </w:rPr>
        <w:t>从而显著</w:t>
      </w:r>
      <w:r>
        <w:rPr>
          <w:rFonts w:hint="eastAsia"/>
          <w:lang w:val="en-US" w:eastAsia="zh-CN"/>
        </w:rPr>
        <w:t>提升</w:t>
      </w:r>
      <w:r>
        <w:rPr>
          <w:rFonts w:hint="default"/>
          <w:lang w:val="en-US" w:eastAsia="zh-CN"/>
        </w:rPr>
        <w:t>资产可转让性（Kreppmeier et al., 2023）。</w:t>
      </w:r>
    </w:p>
    <w:p w14:paraId="4F7E69F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本设计采用 Decentralised Exchange DEX 作为主要交易</w:t>
      </w:r>
      <w:r>
        <w:rPr>
          <w:rFonts w:hint="eastAsia"/>
          <w:lang w:val="en-US" w:eastAsia="zh-CN"/>
        </w:rPr>
        <w:t>平台。DEX支持点对点交易</w:t>
      </w:r>
      <w:r>
        <w:rPr>
          <w:rFonts w:hint="default"/>
          <w:lang w:val="en-US" w:eastAsia="zh-CN"/>
        </w:rPr>
        <w:t>并通过</w:t>
      </w:r>
      <w:r>
        <w:rPr>
          <w:rFonts w:hint="eastAsia"/>
          <w:lang w:val="en-US" w:eastAsia="zh-CN"/>
        </w:rPr>
        <w:t>智能合约自动结算，从而</w:t>
      </w:r>
      <w:r>
        <w:rPr>
          <w:rFonts w:hint="default"/>
          <w:lang w:val="en-US" w:eastAsia="zh-CN"/>
        </w:rPr>
        <w:t>降低交易成本并提高市场开放性（Madhavji, 2024）。</w:t>
      </w:r>
    </w:p>
    <w:p w14:paraId="7CDB203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此外</w:t>
      </w:r>
      <w:r>
        <w:rPr>
          <w:rFonts w:hint="default"/>
          <w:lang w:val="en-US" w:eastAsia="zh-CN"/>
        </w:rPr>
        <w:t>，</w:t>
      </w:r>
      <w:r>
        <w:rPr>
          <w:rFonts w:hint="eastAsia"/>
          <w:lang w:val="en-US" w:eastAsia="zh-CN"/>
        </w:rPr>
        <w:t>token</w:t>
      </w:r>
      <w:r>
        <w:rPr>
          <w:rFonts w:hint="default"/>
          <w:lang w:val="en-US" w:eastAsia="zh-CN"/>
        </w:rPr>
        <w:t>的标准化特征使其可</w:t>
      </w:r>
      <w:r>
        <w:rPr>
          <w:rFonts w:hint="eastAsia"/>
          <w:lang w:val="en-US" w:eastAsia="zh-CN"/>
        </w:rPr>
        <w:t>在</w:t>
      </w:r>
      <w:r>
        <w:rPr>
          <w:rFonts w:hint="default"/>
          <w:lang w:val="en-US" w:eastAsia="zh-CN"/>
        </w:rPr>
        <w:t>多</w:t>
      </w:r>
      <w:r>
        <w:rPr>
          <w:rFonts w:hint="eastAsia"/>
          <w:lang w:val="en-US" w:eastAsia="zh-CN"/>
        </w:rPr>
        <w:t>个</w:t>
      </w:r>
      <w:r>
        <w:rPr>
          <w:rFonts w:hint="default"/>
          <w:lang w:val="en-US" w:eastAsia="zh-CN"/>
        </w:rPr>
        <w:t>交易平台</w:t>
      </w:r>
      <w:r>
        <w:rPr>
          <w:rFonts w:hint="eastAsia"/>
          <w:lang w:val="en-US" w:eastAsia="zh-CN"/>
        </w:rPr>
        <w:t>流通</w:t>
      </w:r>
      <w:r>
        <w:rPr>
          <w:rFonts w:hint="default"/>
          <w:lang w:val="en-US" w:eastAsia="zh-CN"/>
        </w:rPr>
        <w:t>，从而扩大潜在买卖双方</w:t>
      </w:r>
      <w:r>
        <w:rPr>
          <w:rFonts w:hint="eastAsia"/>
          <w:lang w:val="en-US" w:eastAsia="zh-CN"/>
        </w:rPr>
        <w:t>并提升</w:t>
      </w:r>
      <w:r>
        <w:rPr>
          <w:rFonts w:hint="default"/>
          <w:lang w:val="en-US" w:eastAsia="zh-CN"/>
        </w:rPr>
        <w:t>市场深度。</w:t>
      </w:r>
    </w:p>
    <w:p w14:paraId="41F43F88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2FC287A8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4.3 Liquidity Formation and AMM Mechanism</w:t>
      </w:r>
    </w:p>
    <w:p w14:paraId="158BDF7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尽管tokenisation提升了可交易性，流动性仍依赖持续的市场参与。为解决低流动性问题，本设计引入Automated Market Maker(AMM)机制。</w:t>
      </w:r>
    </w:p>
    <w:p w14:paraId="29F4BE2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具体而言，代币与稳定资产</w:t>
      </w:r>
      <w:r>
        <w:rPr>
          <w:rFonts w:hint="eastAsia"/>
          <w:lang w:val="en-US" w:eastAsia="zh-CN"/>
        </w:rPr>
        <w:t>构成</w:t>
      </w:r>
      <w:r>
        <w:rPr>
          <w:rFonts w:hint="default"/>
          <w:lang w:val="en-US" w:eastAsia="zh-CN"/>
        </w:rPr>
        <w:t xml:space="preserve"> liquidity pool，</w:t>
      </w:r>
      <w:r>
        <w:rPr>
          <w:rFonts w:hint="eastAsia"/>
          <w:lang w:val="en-US" w:eastAsia="zh-CN"/>
        </w:rPr>
        <w:t>由流动性提供者提供资金，使交易者可直接与资金池进行交换，从而在无需对手方匹配的情况下实现持续交易</w:t>
      </w:r>
      <w:r>
        <w:rPr>
          <w:rFonts w:hint="default"/>
          <w:lang w:val="en-US" w:eastAsia="zh-CN"/>
        </w:rPr>
        <w:t>。</w:t>
      </w:r>
    </w:p>
    <w:p w14:paraId="19C06B4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同时，</w:t>
      </w:r>
      <w:r>
        <w:rPr>
          <w:rFonts w:hint="default"/>
          <w:lang w:val="en-US" w:eastAsia="zh-CN"/>
        </w:rPr>
        <w:t>AMM 通过算法</w:t>
      </w:r>
      <w:r>
        <w:rPr>
          <w:rFonts w:hint="eastAsia"/>
          <w:lang w:val="en-US" w:eastAsia="zh-CN"/>
        </w:rPr>
        <w:t>定价实现连续价格更新</w:t>
      </w:r>
      <w:r>
        <w:rPr>
          <w:rFonts w:hint="default"/>
          <w:lang w:val="en-US" w:eastAsia="zh-CN"/>
        </w:rPr>
        <w:t>，</w:t>
      </w:r>
      <w:r>
        <w:rPr>
          <w:rFonts w:hint="eastAsia"/>
          <w:lang w:val="en-US" w:eastAsia="zh-CN"/>
        </w:rPr>
        <w:t>使市场在参与者有限时仍具备基本价格发现功能。</w:t>
      </w:r>
    </w:p>
    <w:p w14:paraId="45F42EF2">
      <w:pPr>
        <w:numPr>
          <w:ilvl w:val="0"/>
          <w:numId w:val="0"/>
        </w:numPr>
        <w:rPr>
          <w:rFonts w:hint="default"/>
          <w:color w:val="C00000"/>
          <w:lang w:val="en-US" w:eastAsia="zh-CN"/>
        </w:rPr>
      </w:pPr>
      <w:r>
        <w:rPr>
          <w:rFonts w:hint="default"/>
          <w:lang w:val="en-US" w:eastAsia="zh-CN"/>
        </w:rPr>
        <w:t>然而，</w:t>
      </w:r>
      <w:r>
        <w:rPr>
          <w:rFonts w:hint="eastAsia"/>
          <w:lang w:val="en-US" w:eastAsia="zh-CN"/>
        </w:rPr>
        <w:t>整体</w:t>
      </w:r>
      <w:r>
        <w:rPr>
          <w:rFonts w:hint="default"/>
          <w:lang w:val="en-US" w:eastAsia="zh-CN"/>
        </w:rPr>
        <w:t>流动性水平仍取决于市场参与度。</w:t>
      </w:r>
      <w:r>
        <w:rPr>
          <w:rFonts w:hint="eastAsia"/>
          <w:lang w:val="en-US" w:eastAsia="zh-CN"/>
        </w:rPr>
        <w:t>当资金规模或</w:t>
      </w:r>
      <w:r>
        <w:rPr>
          <w:rFonts w:hint="default"/>
          <w:lang w:val="en-US" w:eastAsia="zh-CN"/>
        </w:rPr>
        <w:t>参与者数量</w:t>
      </w:r>
      <w:r>
        <w:rPr>
          <w:rFonts w:hint="eastAsia"/>
          <w:lang w:val="en-US" w:eastAsia="zh-CN"/>
        </w:rPr>
        <w:t>不足时</w:t>
      </w:r>
      <w:r>
        <w:rPr>
          <w:rFonts w:hint="default"/>
          <w:lang w:val="en-US" w:eastAsia="zh-CN"/>
        </w:rPr>
        <w:t>，仍可能出现</w:t>
      </w:r>
      <w:r>
        <w:rPr>
          <w:rFonts w:hint="eastAsia"/>
          <w:lang w:val="en-US" w:eastAsia="zh-CN"/>
        </w:rPr>
        <w:t>价格滑点与深度不足</w:t>
      </w:r>
      <w:r>
        <w:rPr>
          <w:rFonts w:hint="default"/>
          <w:lang w:val="en-US" w:eastAsia="zh-CN"/>
        </w:rPr>
        <w:t>的问题。</w:t>
      </w:r>
      <w:r>
        <w:rPr>
          <w:rFonts w:hint="default"/>
          <w:color w:val="C00000"/>
          <w:lang w:val="en-US" w:eastAsia="zh-CN"/>
        </w:rPr>
        <w:t>因此，</w:t>
      </w:r>
      <w:r>
        <w:rPr>
          <w:rFonts w:hint="eastAsia"/>
          <w:color w:val="C00000"/>
          <w:lang w:val="en-US" w:eastAsia="zh-CN"/>
        </w:rPr>
        <w:t>初期需要</w:t>
      </w:r>
      <w:r>
        <w:rPr>
          <w:rFonts w:hint="default"/>
          <w:color w:val="C00000"/>
          <w:lang w:val="en-US" w:eastAsia="zh-CN"/>
        </w:rPr>
        <w:t>通过激励机制吸引流动性提供者，</w:t>
      </w:r>
      <w:r>
        <w:rPr>
          <w:rFonts w:hint="eastAsia"/>
          <w:color w:val="C00000"/>
          <w:lang w:val="en-US" w:eastAsia="zh-CN"/>
        </w:rPr>
        <w:t>以增强市场稳定性。</w:t>
      </w:r>
    </w:p>
    <w:p w14:paraId="23AB4A89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36338401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4.4 Pricing Mechanism and Value Drivers</w:t>
      </w:r>
    </w:p>
    <w:p w14:paraId="702D66A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代币价格</w:t>
      </w:r>
      <w:r>
        <w:rPr>
          <w:rFonts w:hint="eastAsia"/>
          <w:lang w:val="en-US" w:eastAsia="zh-CN"/>
        </w:rPr>
        <w:t>由多重</w:t>
      </w:r>
      <w:r>
        <w:rPr>
          <w:rFonts w:hint="default"/>
          <w:lang w:val="en-US" w:eastAsia="zh-CN"/>
        </w:rPr>
        <w:t>因素共同</w:t>
      </w:r>
      <w:r>
        <w:rPr>
          <w:rFonts w:hint="eastAsia"/>
          <w:lang w:val="en-US" w:eastAsia="zh-CN"/>
        </w:rPr>
        <w:t>决定</w:t>
      </w:r>
      <w:r>
        <w:rPr>
          <w:rFonts w:hint="default"/>
          <w:lang w:val="en-US" w:eastAsia="zh-CN"/>
        </w:rPr>
        <w:t>。</w:t>
      </w:r>
    </w:p>
    <w:p w14:paraId="5F14624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首先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 xml:space="preserve"> expected rental income</w:t>
      </w:r>
      <w:r>
        <w:rPr>
          <w:rFonts w:hint="eastAsia"/>
          <w:lang w:val="en-US" w:eastAsia="zh-CN"/>
        </w:rPr>
        <w:t>构成</w:t>
      </w:r>
      <w:r>
        <w:rPr>
          <w:rFonts w:hint="default"/>
          <w:lang w:val="en-US" w:eastAsia="zh-CN"/>
        </w:rPr>
        <w:t>其内在价值</w:t>
      </w:r>
      <w:r>
        <w:rPr>
          <w:rFonts w:hint="eastAsia"/>
          <w:lang w:val="en-US" w:eastAsia="zh-CN"/>
        </w:rPr>
        <w:t>的核心基础</w:t>
      </w:r>
      <w:r>
        <w:rPr>
          <w:rFonts w:hint="default"/>
          <w:lang w:val="en-US" w:eastAsia="zh-CN"/>
        </w:rPr>
        <w:t>。其次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 xml:space="preserve"> usage demand</w:t>
      </w:r>
      <w:r>
        <w:rPr>
          <w:rFonts w:hint="eastAsia"/>
          <w:lang w:val="en-US" w:eastAsia="zh-CN"/>
        </w:rPr>
        <w:t>通过影响token需求进一步影响价格，</w:t>
      </w:r>
      <w:r>
        <w:rPr>
          <w:rFonts w:hint="default"/>
          <w:lang w:val="en-US" w:eastAsia="zh-CN"/>
        </w:rPr>
        <w:t>当度假需求</w:t>
      </w:r>
      <w:r>
        <w:rPr>
          <w:rFonts w:hint="eastAsia"/>
          <w:lang w:val="en-US" w:eastAsia="zh-CN"/>
        </w:rPr>
        <w:t>上升</w:t>
      </w:r>
      <w:r>
        <w:rPr>
          <w:rFonts w:hint="default"/>
          <w:lang w:val="en-US" w:eastAsia="zh-CN"/>
        </w:rPr>
        <w:t>时，</w:t>
      </w:r>
      <w:r>
        <w:rPr>
          <w:rFonts w:hint="eastAsia"/>
          <w:lang w:val="en-US" w:eastAsia="zh-CN"/>
        </w:rPr>
        <w:t>token</w:t>
      </w:r>
      <w:r>
        <w:rPr>
          <w:rFonts w:hint="default"/>
          <w:lang w:val="en-US" w:eastAsia="zh-CN"/>
        </w:rPr>
        <w:t>需求</w:t>
      </w:r>
      <w:r>
        <w:rPr>
          <w:rFonts w:hint="eastAsia"/>
          <w:lang w:val="en-US" w:eastAsia="zh-CN"/>
        </w:rPr>
        <w:t>增加</w:t>
      </w:r>
      <w:r>
        <w:rPr>
          <w:rFonts w:hint="default"/>
          <w:lang w:val="en-US" w:eastAsia="zh-CN"/>
        </w:rPr>
        <w:t>，从而</w:t>
      </w:r>
      <w:r>
        <w:rPr>
          <w:rFonts w:hint="eastAsia"/>
          <w:lang w:val="en-US" w:eastAsia="zh-CN"/>
        </w:rPr>
        <w:t>推动</w:t>
      </w:r>
      <w:r>
        <w:rPr>
          <w:rFonts w:hint="default"/>
          <w:lang w:val="en-US" w:eastAsia="zh-CN"/>
        </w:rPr>
        <w:t>价格</w:t>
      </w:r>
      <w:r>
        <w:rPr>
          <w:rFonts w:hint="eastAsia"/>
          <w:lang w:val="en-US" w:eastAsia="zh-CN"/>
        </w:rPr>
        <w:t>上行</w:t>
      </w:r>
      <w:r>
        <w:rPr>
          <w:rFonts w:hint="default"/>
          <w:lang w:val="en-US" w:eastAsia="zh-CN"/>
        </w:rPr>
        <w:t xml:space="preserve">。此外，market sentiment </w:t>
      </w:r>
      <w:r>
        <w:rPr>
          <w:rFonts w:hint="eastAsia"/>
          <w:lang w:val="en-US" w:eastAsia="zh-CN"/>
        </w:rPr>
        <w:t>与</w:t>
      </w:r>
      <w:r>
        <w:rPr>
          <w:rFonts w:hint="default"/>
          <w:lang w:val="en-US" w:eastAsia="zh-CN"/>
        </w:rPr>
        <w:t>加密市场环境</w:t>
      </w:r>
      <w:r>
        <w:rPr>
          <w:rFonts w:hint="eastAsia"/>
          <w:lang w:val="en-US" w:eastAsia="zh-CN"/>
        </w:rPr>
        <w:t>亦</w:t>
      </w:r>
      <w:r>
        <w:rPr>
          <w:rFonts w:hint="default"/>
          <w:lang w:val="en-US" w:eastAsia="zh-CN"/>
        </w:rPr>
        <w:t>会影响价格波动。研究表明，real estate tokens 的交易行为不仅受到资产基本面</w:t>
      </w:r>
      <w:r>
        <w:rPr>
          <w:rFonts w:hint="eastAsia"/>
          <w:lang w:val="en-US" w:eastAsia="zh-CN"/>
        </w:rPr>
        <w:t>的驱动</w:t>
      </w:r>
      <w:r>
        <w:rPr>
          <w:rFonts w:hint="default"/>
          <w:lang w:val="en-US" w:eastAsia="zh-CN"/>
        </w:rPr>
        <w:t>，也受到市场情绪</w:t>
      </w:r>
      <w:r>
        <w:rPr>
          <w:rFonts w:hint="eastAsia"/>
          <w:lang w:val="en-US" w:eastAsia="zh-CN"/>
        </w:rPr>
        <w:t>与</w:t>
      </w:r>
      <w:r>
        <w:rPr>
          <w:rFonts w:hint="default"/>
          <w:lang w:val="en-US" w:eastAsia="zh-CN"/>
        </w:rPr>
        <w:t>交易成本的影响（Kreppmeier et al., 2023）。</w:t>
      </w:r>
    </w:p>
    <w:p w14:paraId="5D020A3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因此，token</w:t>
      </w:r>
      <w:r>
        <w:rPr>
          <w:rFonts w:hint="default"/>
          <w:lang w:val="en-US" w:eastAsia="zh-CN"/>
        </w:rPr>
        <w:t>价格</w:t>
      </w:r>
      <w:r>
        <w:rPr>
          <w:rFonts w:hint="eastAsia"/>
          <w:lang w:val="en-US" w:eastAsia="zh-CN"/>
        </w:rPr>
        <w:t>体现了</w:t>
      </w:r>
      <w:r>
        <w:rPr>
          <w:rFonts w:hint="default"/>
          <w:lang w:val="en-US" w:eastAsia="zh-CN"/>
        </w:rPr>
        <w:t>资产价值</w:t>
      </w:r>
      <w:r>
        <w:rPr>
          <w:rFonts w:hint="eastAsia"/>
          <w:lang w:val="en-US" w:eastAsia="zh-CN"/>
        </w:rPr>
        <w:t>、需求结构与市场条件的综合作用</w:t>
      </w:r>
      <w:r>
        <w:rPr>
          <w:rFonts w:hint="default"/>
          <w:lang w:val="en-US" w:eastAsia="zh-CN"/>
        </w:rPr>
        <w:t>。</w:t>
      </w:r>
    </w:p>
    <w:p w14:paraId="052D81C2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34C339E5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4.5 Role of Platforms and Market Infrastructure</w:t>
      </w:r>
    </w:p>
    <w:p w14:paraId="369DBE5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在市场运行中，区块链与 DeFi 基础设施</w:t>
      </w:r>
      <w:r>
        <w:rPr>
          <w:rFonts w:hint="eastAsia"/>
          <w:lang w:val="en-US" w:eastAsia="zh-CN"/>
        </w:rPr>
        <w:t>提供</w:t>
      </w:r>
      <w:r>
        <w:rPr>
          <w:rFonts w:hint="default"/>
          <w:lang w:val="en-US" w:eastAsia="zh-CN"/>
        </w:rPr>
        <w:t>关键</w:t>
      </w:r>
      <w:r>
        <w:rPr>
          <w:rFonts w:hint="eastAsia"/>
          <w:lang w:val="en-US" w:eastAsia="zh-CN"/>
        </w:rPr>
        <w:t>支持</w:t>
      </w:r>
      <w:r>
        <w:rPr>
          <w:rFonts w:hint="default"/>
          <w:lang w:val="en-US" w:eastAsia="zh-CN"/>
        </w:rPr>
        <w:t>。</w:t>
      </w:r>
      <w:r>
        <w:rPr>
          <w:rFonts w:hint="eastAsia"/>
          <w:lang w:val="en-US" w:eastAsia="zh-CN"/>
        </w:rPr>
        <w:t>S</w:t>
      </w:r>
      <w:r>
        <w:rPr>
          <w:rFonts w:hint="default"/>
          <w:lang w:val="en-US" w:eastAsia="zh-CN"/>
        </w:rPr>
        <w:t xml:space="preserve">mart contracts </w:t>
      </w:r>
      <w:r>
        <w:rPr>
          <w:rFonts w:hint="eastAsia"/>
          <w:lang w:val="en-US" w:eastAsia="zh-CN"/>
        </w:rPr>
        <w:t>用于</w:t>
      </w:r>
      <w:r>
        <w:rPr>
          <w:rFonts w:hint="default"/>
          <w:lang w:val="en-US" w:eastAsia="zh-CN"/>
        </w:rPr>
        <w:t>执行交易与收益分配，</w:t>
      </w:r>
      <w:r>
        <w:rPr>
          <w:rFonts w:hint="eastAsia"/>
          <w:lang w:val="en-US" w:eastAsia="zh-CN"/>
        </w:rPr>
        <w:t>实现</w:t>
      </w:r>
      <w:r>
        <w:rPr>
          <w:rFonts w:hint="default"/>
          <w:lang w:val="en-US" w:eastAsia="zh-CN"/>
        </w:rPr>
        <w:t>规则</w:t>
      </w:r>
      <w:r>
        <w:rPr>
          <w:rFonts w:hint="eastAsia"/>
          <w:lang w:val="en-US" w:eastAsia="zh-CN"/>
        </w:rPr>
        <w:t>的</w:t>
      </w:r>
      <w:r>
        <w:rPr>
          <w:rFonts w:hint="default"/>
          <w:lang w:val="en-US" w:eastAsia="zh-CN"/>
        </w:rPr>
        <w:t>自动化执行并减少人为干预（Gupta et al., 2020）。</w:t>
      </w:r>
      <w:r>
        <w:rPr>
          <w:rFonts w:hint="eastAsia"/>
          <w:lang w:val="en-US" w:eastAsia="zh-CN"/>
        </w:rPr>
        <w:t>同时，</w:t>
      </w:r>
      <w:r>
        <w:rPr>
          <w:rFonts w:hint="default"/>
          <w:lang w:val="en-US" w:eastAsia="zh-CN"/>
        </w:rPr>
        <w:t>DEX 和 AMM 提供</w:t>
      </w:r>
      <w:r>
        <w:rPr>
          <w:rFonts w:hint="eastAsia"/>
          <w:lang w:val="en-US" w:eastAsia="zh-CN"/>
        </w:rPr>
        <w:t>持续</w:t>
      </w:r>
      <w:r>
        <w:rPr>
          <w:rFonts w:hint="default"/>
          <w:lang w:val="en-US" w:eastAsia="zh-CN"/>
        </w:rPr>
        <w:t>交易与流动性支持，使资产能够在开放市场中</w:t>
      </w:r>
      <w:r>
        <w:rPr>
          <w:rFonts w:hint="eastAsia"/>
          <w:lang w:val="en-US" w:eastAsia="zh-CN"/>
        </w:rPr>
        <w:t>实现</w:t>
      </w:r>
      <w:r>
        <w:rPr>
          <w:rFonts w:hint="default"/>
          <w:lang w:val="en-US" w:eastAsia="zh-CN"/>
        </w:rPr>
        <w:t>价格发现。此外，区块链的透明性</w:t>
      </w:r>
      <w:r>
        <w:rPr>
          <w:rFonts w:hint="eastAsia"/>
          <w:lang w:val="en-US" w:eastAsia="zh-CN"/>
        </w:rPr>
        <w:t>与可追溯性</w:t>
      </w:r>
      <w:r>
        <w:rPr>
          <w:rFonts w:hint="default"/>
          <w:lang w:val="en-US" w:eastAsia="zh-CN"/>
        </w:rPr>
        <w:t>使交易记录</w:t>
      </w:r>
      <w:r>
        <w:rPr>
          <w:rFonts w:hint="eastAsia"/>
          <w:lang w:val="en-US" w:eastAsia="zh-CN"/>
        </w:rPr>
        <w:t>公开可验证</w:t>
      </w:r>
      <w:r>
        <w:rPr>
          <w:rFonts w:hint="default"/>
          <w:lang w:val="en-US" w:eastAsia="zh-CN"/>
        </w:rPr>
        <w:t>，</w:t>
      </w:r>
      <w:r>
        <w:rPr>
          <w:rFonts w:hint="eastAsia"/>
          <w:lang w:val="en-US" w:eastAsia="zh-CN"/>
        </w:rPr>
        <w:t>提升了</w:t>
      </w:r>
      <w:r>
        <w:rPr>
          <w:rFonts w:hint="default"/>
          <w:lang w:val="en-US" w:eastAsia="zh-CN"/>
        </w:rPr>
        <w:t>市场信任并降低</w:t>
      </w:r>
      <w:r>
        <w:rPr>
          <w:rFonts w:hint="eastAsia"/>
          <w:lang w:val="en-US" w:eastAsia="zh-CN"/>
        </w:rPr>
        <w:t>了</w:t>
      </w:r>
      <w:r>
        <w:rPr>
          <w:rFonts w:hint="default"/>
          <w:lang w:val="en-US" w:eastAsia="zh-CN"/>
        </w:rPr>
        <w:t>信息不对称</w:t>
      </w:r>
      <w:r>
        <w:rPr>
          <w:rFonts w:hint="eastAsia"/>
          <w:lang w:val="en-US" w:eastAsia="zh-CN"/>
        </w:rPr>
        <w:t>性</w:t>
      </w:r>
      <w:r>
        <w:rPr>
          <w:rFonts w:hint="default"/>
          <w:lang w:val="en-US" w:eastAsia="zh-CN"/>
        </w:rPr>
        <w:t>（Saari et al., 2022）。</w:t>
      </w:r>
    </w:p>
    <w:p w14:paraId="40A67A98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7B2EC2A6">
      <w:pPr>
        <w:numPr>
          <w:ilvl w:val="0"/>
          <w:numId w:val="1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Risk Analysis (960字以内 20%</w:t>
      </w:r>
    </w:p>
    <w:p w14:paraId="60CE6B17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5.1 Market Risk</w:t>
      </w:r>
    </w:p>
    <w:p w14:paraId="260993C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尽管 tokenisation 提升了房地产资产的流动性，</w:t>
      </w:r>
      <w:r>
        <w:rPr>
          <w:rFonts w:hint="eastAsia"/>
          <w:lang w:val="en-US" w:eastAsia="zh-CN"/>
        </w:rPr>
        <w:t>token</w:t>
      </w:r>
      <w:r>
        <w:rPr>
          <w:rFonts w:hint="default"/>
          <w:lang w:val="en-US" w:eastAsia="zh-CN"/>
        </w:rPr>
        <w:t>价格仍面临显著 market risk。首先，</w:t>
      </w:r>
      <w:r>
        <w:rPr>
          <w:rFonts w:hint="eastAsia"/>
          <w:lang w:val="en-US" w:eastAsia="zh-CN"/>
        </w:rPr>
        <w:t>其</w:t>
      </w:r>
      <w:r>
        <w:rPr>
          <w:rFonts w:hint="default"/>
          <w:lang w:val="en-US" w:eastAsia="zh-CN"/>
        </w:rPr>
        <w:t>价格不仅</w:t>
      </w:r>
      <w:r>
        <w:rPr>
          <w:rFonts w:hint="eastAsia"/>
          <w:lang w:val="en-US" w:eastAsia="zh-CN"/>
        </w:rPr>
        <w:t>由</w:t>
      </w:r>
      <w:r>
        <w:rPr>
          <w:rFonts w:hint="default"/>
          <w:lang w:val="en-US" w:eastAsia="zh-CN"/>
        </w:rPr>
        <w:t xml:space="preserve"> rental income 与 capital appreciation</w:t>
      </w:r>
      <w:r>
        <w:rPr>
          <w:rFonts w:hint="eastAsia"/>
          <w:lang w:val="en-US" w:eastAsia="zh-CN"/>
        </w:rPr>
        <w:t>决定</w:t>
      </w:r>
      <w:r>
        <w:rPr>
          <w:rFonts w:hint="default"/>
          <w:lang w:val="en-US" w:eastAsia="zh-CN"/>
        </w:rPr>
        <w:t>，还受到加密市场整体波动的影响。研究表明，real estate tokens 的交易活动在一定程度上受 crypto market sentiment 驱动，而非完全由资产基本面决定（Kreppmeier et al., 2023）。</w:t>
      </w:r>
    </w:p>
    <w:p w14:paraId="290D813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其次，度假房产本身具有</w:t>
      </w:r>
      <w:r>
        <w:rPr>
          <w:rFonts w:hint="eastAsia"/>
          <w:lang w:val="en-US" w:eastAsia="zh-CN"/>
        </w:rPr>
        <w:t>显著的</w:t>
      </w:r>
      <w:r>
        <w:rPr>
          <w:rFonts w:hint="default"/>
          <w:lang w:val="en-US" w:eastAsia="zh-CN"/>
        </w:rPr>
        <w:t>需求波动，受季节性与旅游市场变化影响，导致现金流不稳定</w:t>
      </w:r>
      <w:r>
        <w:rPr>
          <w:rFonts w:hint="eastAsia"/>
          <w:lang w:val="en-US" w:eastAsia="zh-CN"/>
        </w:rPr>
        <w:t>并增加</w:t>
      </w:r>
      <w:r>
        <w:rPr>
          <w:rFonts w:hint="default"/>
          <w:lang w:val="en-US" w:eastAsia="zh-CN"/>
        </w:rPr>
        <w:t>估值</w:t>
      </w:r>
      <w:r>
        <w:rPr>
          <w:rFonts w:hint="eastAsia"/>
          <w:lang w:val="en-US" w:eastAsia="zh-CN"/>
        </w:rPr>
        <w:t>不确定性</w:t>
      </w:r>
      <w:r>
        <w:rPr>
          <w:rFonts w:hint="default"/>
          <w:lang w:val="en-US" w:eastAsia="zh-CN"/>
        </w:rPr>
        <w:t>。因此，t</w:t>
      </w:r>
      <w:r>
        <w:rPr>
          <w:rFonts w:hint="eastAsia"/>
          <w:lang w:val="en-US" w:eastAsia="zh-CN"/>
        </w:rPr>
        <w:t>okenisation并未消除价格波动，而是在一定程度上叠加了房地产与加密市场的双重波动风险</w:t>
      </w:r>
      <w:r>
        <w:rPr>
          <w:rFonts w:hint="default"/>
          <w:lang w:val="en-US" w:eastAsia="zh-CN"/>
        </w:rPr>
        <w:t>。</w:t>
      </w:r>
    </w:p>
    <w:p w14:paraId="538BB648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00709A92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5.2 Liquidity Risk</w:t>
      </w:r>
    </w:p>
    <w:p w14:paraId="352DCF35">
      <w:pPr>
        <w:numPr>
          <w:ilvl w:val="0"/>
          <w:numId w:val="0"/>
        </w:numPr>
        <w:rPr>
          <w:rFonts w:hint="default"/>
          <w:highlight w:val="green"/>
          <w:lang w:val="en-US" w:eastAsia="zh-CN"/>
        </w:rPr>
      </w:pPr>
      <w:r>
        <w:rPr>
          <w:rFonts w:hint="default"/>
          <w:highlight w:val="green"/>
          <w:lang w:val="en-US" w:eastAsia="zh-CN"/>
        </w:rPr>
        <w:t>虽然 tokenisation 旨在提高流动性，但实际</w:t>
      </w:r>
      <w:r>
        <w:rPr>
          <w:rFonts w:hint="eastAsia"/>
          <w:highlight w:val="green"/>
          <w:lang w:val="en-US" w:eastAsia="zh-CN"/>
        </w:rPr>
        <w:t>流动性仍高度依赖市场参与度与交易活跃性</w:t>
      </w:r>
      <w:r>
        <w:rPr>
          <w:rFonts w:hint="default"/>
          <w:highlight w:val="green"/>
          <w:lang w:val="en-US" w:eastAsia="zh-CN"/>
        </w:rPr>
        <w:t>。</w:t>
      </w:r>
      <w:r>
        <w:rPr>
          <w:rFonts w:hint="eastAsia"/>
          <w:highlight w:val="green"/>
          <w:lang w:val="en-US" w:eastAsia="zh-CN"/>
        </w:rPr>
        <w:t>在</w:t>
      </w:r>
      <w:r>
        <w:rPr>
          <w:rFonts w:hint="default"/>
          <w:highlight w:val="green"/>
          <w:lang w:val="en-US" w:eastAsia="zh-CN"/>
        </w:rPr>
        <w:t>市场规模</w:t>
      </w:r>
      <w:r>
        <w:rPr>
          <w:rFonts w:hint="eastAsia"/>
          <w:highlight w:val="green"/>
          <w:lang w:val="en-US" w:eastAsia="zh-CN"/>
        </w:rPr>
        <w:t>有限</w:t>
      </w:r>
      <w:r>
        <w:rPr>
          <w:rFonts w:hint="default"/>
          <w:highlight w:val="green"/>
          <w:lang w:val="en-US" w:eastAsia="zh-CN"/>
        </w:rPr>
        <w:t>或需求不足</w:t>
      </w:r>
      <w:r>
        <w:rPr>
          <w:rFonts w:hint="eastAsia"/>
          <w:highlight w:val="green"/>
          <w:lang w:val="en-US" w:eastAsia="zh-CN"/>
        </w:rPr>
        <w:t>的情况下</w:t>
      </w:r>
      <w:r>
        <w:rPr>
          <w:rFonts w:hint="default"/>
          <w:highlight w:val="green"/>
          <w:lang w:val="en-US" w:eastAsia="zh-CN"/>
        </w:rPr>
        <w:t>，投资者可能</w:t>
      </w:r>
      <w:r>
        <w:rPr>
          <w:rFonts w:hint="eastAsia"/>
          <w:highlight w:val="green"/>
          <w:lang w:val="en-US" w:eastAsia="zh-CN"/>
        </w:rPr>
        <w:t>面临退出困难</w:t>
      </w:r>
      <w:r>
        <w:rPr>
          <w:rFonts w:hint="default"/>
          <w:highlight w:val="green"/>
          <w:lang w:val="en-US" w:eastAsia="zh-CN"/>
        </w:rPr>
        <w:t>。</w:t>
      </w:r>
    </w:p>
    <w:p w14:paraId="1C6E39A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此外，当前 real estate token </w:t>
      </w:r>
      <w:r>
        <w:rPr>
          <w:rFonts w:hint="eastAsia"/>
          <w:lang w:val="en-US" w:eastAsia="zh-CN"/>
        </w:rPr>
        <w:t>市场仍</w:t>
      </w:r>
      <w:r>
        <w:rPr>
          <w:rFonts w:hint="default"/>
          <w:lang w:val="en-US" w:eastAsia="zh-CN"/>
        </w:rPr>
        <w:t>处于</w:t>
      </w:r>
      <w:r>
        <w:rPr>
          <w:rFonts w:hint="eastAsia"/>
          <w:lang w:val="en-US" w:eastAsia="zh-CN"/>
        </w:rPr>
        <w:t>早期阶段</w:t>
      </w:r>
      <w:r>
        <w:rPr>
          <w:rFonts w:hint="default"/>
          <w:lang w:val="en-US" w:eastAsia="zh-CN"/>
        </w:rPr>
        <w:t>，缺乏成熟统一的 secondary market 体系，这进一步限制了流动性的实现（Izadin &amp; Yusof, 2024）。</w:t>
      </w:r>
    </w:p>
    <w:p w14:paraId="0EF6A28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即使引入 AMM 机制，其提供的流动性也可能有限，并可能导致较大的价格滑点，从而</w:t>
      </w:r>
      <w:r>
        <w:rPr>
          <w:rFonts w:hint="eastAsia"/>
          <w:lang w:val="en-US" w:eastAsia="zh-CN"/>
        </w:rPr>
        <w:t>降低</w:t>
      </w:r>
      <w:r>
        <w:rPr>
          <w:rFonts w:hint="default"/>
          <w:lang w:val="en-US" w:eastAsia="zh-CN"/>
        </w:rPr>
        <w:t>交易效率</w:t>
      </w:r>
      <w:r>
        <w:rPr>
          <w:rFonts w:hint="eastAsia"/>
          <w:lang w:val="en-US" w:eastAsia="zh-CN"/>
        </w:rPr>
        <w:t>并增加交易成本。因此，tokenisation提升的是“潜在流动性”，而非“保证流动性”</w:t>
      </w:r>
      <w:r>
        <w:rPr>
          <w:rFonts w:hint="default"/>
          <w:lang w:val="en-US" w:eastAsia="zh-CN"/>
        </w:rPr>
        <w:t>。</w:t>
      </w:r>
    </w:p>
    <w:p w14:paraId="5BA6A5DD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285E097A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5.3 Structural Risk</w:t>
      </w:r>
    </w:p>
    <w:p w14:paraId="2C07DAB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highlight w:val="green"/>
          <w:lang w:val="en-US" w:eastAsia="zh-CN"/>
        </w:rPr>
        <w:t>本设计中引入usage rights 与 income rights 的双重机制</w:t>
      </w:r>
      <w:r>
        <w:rPr>
          <w:rFonts w:hint="default"/>
          <w:lang w:val="en-US" w:eastAsia="zh-CN"/>
        </w:rPr>
        <w:t>，在提升灵活性的同时</w:t>
      </w:r>
      <w:r>
        <w:rPr>
          <w:rFonts w:hint="eastAsia"/>
          <w:lang w:val="en-US" w:eastAsia="zh-CN"/>
        </w:rPr>
        <w:t>增加了结构复杂性</w:t>
      </w:r>
      <w:r>
        <w:rPr>
          <w:rFonts w:hint="default"/>
          <w:lang w:val="en-US" w:eastAsia="zh-CN"/>
        </w:rPr>
        <w:t>。</w:t>
      </w:r>
    </w:p>
    <w:p w14:paraId="358A380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首先，使用</w:t>
      </w:r>
      <w:r>
        <w:rPr>
          <w:rFonts w:hint="eastAsia"/>
          <w:lang w:val="en-US" w:eastAsia="zh-CN"/>
        </w:rPr>
        <w:t>权</w:t>
      </w:r>
      <w:r>
        <w:rPr>
          <w:rFonts w:hint="default"/>
          <w:lang w:val="en-US" w:eastAsia="zh-CN"/>
        </w:rPr>
        <w:t>与收益</w:t>
      </w:r>
      <w:r>
        <w:rPr>
          <w:rFonts w:hint="eastAsia"/>
          <w:lang w:val="en-US" w:eastAsia="zh-CN"/>
        </w:rPr>
        <w:t>权之间</w:t>
      </w:r>
      <w:r>
        <w:rPr>
          <w:rFonts w:hint="default"/>
          <w:lang w:val="en-US" w:eastAsia="zh-CN"/>
        </w:rPr>
        <w:t>的权衡可能</w:t>
      </w:r>
      <w:r>
        <w:rPr>
          <w:rFonts w:hint="eastAsia"/>
          <w:lang w:val="en-US" w:eastAsia="zh-CN"/>
        </w:rPr>
        <w:t>引发资源配置冲突。在</w:t>
      </w:r>
      <w:r>
        <w:rPr>
          <w:rFonts w:hint="default"/>
          <w:lang w:val="en-US" w:eastAsia="zh-CN"/>
        </w:rPr>
        <w:t>高需求时期，</w:t>
      </w:r>
      <w:r>
        <w:rPr>
          <w:rFonts w:hint="eastAsia"/>
          <w:lang w:val="en-US" w:eastAsia="zh-CN"/>
        </w:rPr>
        <w:t>若更多持有者选择使用房产，整体rental income将下降，</w:t>
      </w:r>
      <w:r>
        <w:rPr>
          <w:rFonts w:hint="default"/>
          <w:lang w:val="en-US" w:eastAsia="zh-CN"/>
        </w:rPr>
        <w:t>从而影响</w:t>
      </w:r>
      <w:r>
        <w:rPr>
          <w:rFonts w:hint="eastAsia"/>
          <w:lang w:val="en-US" w:eastAsia="zh-CN"/>
        </w:rPr>
        <w:t>投资回报</w:t>
      </w:r>
      <w:r>
        <w:rPr>
          <w:rFonts w:hint="default"/>
          <w:lang w:val="en-US" w:eastAsia="zh-CN"/>
        </w:rPr>
        <w:t>。</w:t>
      </w:r>
    </w:p>
    <w:p w14:paraId="184595F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其次，usage allocation 的不确定性</w:t>
      </w:r>
      <w:r>
        <w:rPr>
          <w:rFonts w:hint="eastAsia"/>
          <w:lang w:val="en-US" w:eastAsia="zh-CN"/>
        </w:rPr>
        <w:t>增加了</w:t>
      </w:r>
      <w:r>
        <w:rPr>
          <w:rFonts w:hint="default"/>
          <w:lang w:val="en-US" w:eastAsia="zh-CN"/>
        </w:rPr>
        <w:t>现金流预测</w:t>
      </w:r>
      <w:r>
        <w:rPr>
          <w:rFonts w:hint="eastAsia"/>
          <w:lang w:val="en-US" w:eastAsia="zh-CN"/>
        </w:rPr>
        <w:t>难度</w:t>
      </w:r>
      <w:r>
        <w:rPr>
          <w:rFonts w:hint="default"/>
          <w:lang w:val="en-US" w:eastAsia="zh-CN"/>
        </w:rPr>
        <w:t>，使</w:t>
      </w:r>
      <w:r>
        <w:rPr>
          <w:rFonts w:hint="eastAsia"/>
          <w:lang w:val="en-US" w:eastAsia="zh-CN"/>
        </w:rPr>
        <w:t>资产估值更为复杂，这一</w:t>
      </w:r>
      <w:r>
        <w:rPr>
          <w:rFonts w:hint="default"/>
          <w:lang w:val="en-US" w:eastAsia="zh-CN"/>
        </w:rPr>
        <w:t>问题在具有季节性需求的度假房产中尤为</w:t>
      </w:r>
      <w:r>
        <w:rPr>
          <w:rFonts w:hint="eastAsia"/>
          <w:lang w:val="en-US" w:eastAsia="zh-CN"/>
        </w:rPr>
        <w:t>明显</w:t>
      </w:r>
      <w:r>
        <w:rPr>
          <w:rFonts w:hint="default"/>
          <w:lang w:val="en-US" w:eastAsia="zh-CN"/>
        </w:rPr>
        <w:t>。</w:t>
      </w:r>
    </w:p>
    <w:p w14:paraId="3989047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此外，双重属性设计</w:t>
      </w:r>
      <w:r>
        <w:rPr>
          <w:rFonts w:hint="eastAsia"/>
          <w:lang w:val="en-US" w:eastAsia="zh-CN"/>
        </w:rPr>
        <w:t>提高了理解门槛</w:t>
      </w:r>
      <w:r>
        <w:rPr>
          <w:rFonts w:hint="default"/>
          <w:lang w:val="en-US" w:eastAsia="zh-CN"/>
        </w:rPr>
        <w:t>，可能降低部分投资者</w:t>
      </w:r>
      <w:r>
        <w:rPr>
          <w:rFonts w:hint="eastAsia"/>
          <w:lang w:val="en-US" w:eastAsia="zh-CN"/>
        </w:rPr>
        <w:t>参与意愿</w:t>
      </w:r>
      <w:r>
        <w:rPr>
          <w:rFonts w:hint="default"/>
          <w:lang w:val="en-US" w:eastAsia="zh-CN"/>
        </w:rPr>
        <w:t>，从而</w:t>
      </w:r>
      <w:r>
        <w:rPr>
          <w:rFonts w:hint="eastAsia"/>
          <w:lang w:val="en-US" w:eastAsia="zh-CN"/>
        </w:rPr>
        <w:t>对市场需求产生负面影响</w:t>
      </w:r>
      <w:r>
        <w:rPr>
          <w:rFonts w:hint="default"/>
          <w:lang w:val="en-US" w:eastAsia="zh-CN"/>
        </w:rPr>
        <w:t>。</w:t>
      </w:r>
    </w:p>
    <w:p w14:paraId="28A44CEA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62BF2CB6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5.4 Technical Risk</w:t>
      </w:r>
    </w:p>
    <w:p w14:paraId="262018C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该模型依赖 smart contracts 执行</w:t>
      </w:r>
      <w:r>
        <w:rPr>
          <w:rFonts w:hint="eastAsia"/>
          <w:lang w:val="en-US" w:eastAsia="zh-CN"/>
        </w:rPr>
        <w:t>核心功能，</w:t>
      </w:r>
      <w:r>
        <w:rPr>
          <w:rFonts w:hint="default"/>
          <w:lang w:val="en-US" w:eastAsia="zh-CN"/>
        </w:rPr>
        <w:t>因此面临一定的 technical risk。</w:t>
      </w:r>
    </w:p>
    <w:p w14:paraId="0010F5D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智能合约可能存在漏洞或设计缺陷，一旦被攻击或出现错误，可能导致资金损失或系统失效。区块链系统</w:t>
      </w:r>
      <w:r>
        <w:rPr>
          <w:rFonts w:hint="eastAsia"/>
          <w:lang w:val="en-US" w:eastAsia="zh-CN"/>
        </w:rPr>
        <w:t>的</w:t>
      </w:r>
      <w:r>
        <w:rPr>
          <w:rFonts w:hint="default"/>
          <w:lang w:val="en-US" w:eastAsia="zh-CN"/>
        </w:rPr>
        <w:t>不可篡改性</w:t>
      </w:r>
      <w:r>
        <w:rPr>
          <w:rFonts w:hint="eastAsia"/>
          <w:lang w:val="en-US" w:eastAsia="zh-CN"/>
        </w:rPr>
        <w:t>在提升安全性的同时</w:t>
      </w:r>
      <w:r>
        <w:rPr>
          <w:rFonts w:hint="default"/>
          <w:lang w:val="en-US" w:eastAsia="zh-CN"/>
        </w:rPr>
        <w:t>，</w:t>
      </w:r>
      <w:r>
        <w:rPr>
          <w:rFonts w:hint="eastAsia"/>
          <w:lang w:val="en-US" w:eastAsia="zh-CN"/>
        </w:rPr>
        <w:t>也限制了</w:t>
      </w:r>
      <w:r>
        <w:rPr>
          <w:rFonts w:hint="default"/>
          <w:lang w:val="en-US" w:eastAsia="zh-CN"/>
        </w:rPr>
        <w:t>错误</w:t>
      </w:r>
      <w:r>
        <w:rPr>
          <w:rFonts w:hint="eastAsia"/>
          <w:lang w:val="en-US" w:eastAsia="zh-CN"/>
        </w:rPr>
        <w:t>修正能力</w:t>
      </w:r>
      <w:r>
        <w:rPr>
          <w:rFonts w:hint="default"/>
          <w:lang w:val="en-US" w:eastAsia="zh-CN"/>
        </w:rPr>
        <w:t>（Gupta et al., 2020）。</w:t>
      </w:r>
    </w:p>
    <w:p w14:paraId="7798557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此外，系统</w:t>
      </w:r>
      <w:r>
        <w:rPr>
          <w:rFonts w:hint="eastAsia"/>
          <w:lang w:val="en-US" w:eastAsia="zh-CN"/>
        </w:rPr>
        <w:t>运行还</w:t>
      </w:r>
      <w:r>
        <w:rPr>
          <w:rFonts w:hint="default"/>
          <w:lang w:val="en-US" w:eastAsia="zh-CN"/>
        </w:rPr>
        <w:t>依赖底层区块链网络的稳定性，</w:t>
      </w:r>
      <w:r>
        <w:rPr>
          <w:rFonts w:hint="eastAsia"/>
          <w:lang w:val="en-US" w:eastAsia="zh-CN"/>
        </w:rPr>
        <w:t>若</w:t>
      </w:r>
      <w:r>
        <w:rPr>
          <w:rFonts w:hint="default"/>
          <w:lang w:val="en-US" w:eastAsia="zh-CN"/>
        </w:rPr>
        <w:t>出现拥堵或攻击，可能影响交易</w:t>
      </w:r>
      <w:r>
        <w:rPr>
          <w:rFonts w:hint="eastAsia"/>
          <w:lang w:val="en-US" w:eastAsia="zh-CN"/>
        </w:rPr>
        <w:t>执行</w:t>
      </w:r>
      <w:r>
        <w:rPr>
          <w:rFonts w:hint="default"/>
          <w:lang w:val="en-US" w:eastAsia="zh-CN"/>
        </w:rPr>
        <w:t>与结算效率。</w:t>
      </w:r>
    </w:p>
    <w:p w14:paraId="4A0529DC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104D15E4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5.5 Legal and Regulatory Risk</w:t>
      </w:r>
    </w:p>
    <w:p w14:paraId="454F911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tokenised real estate 仍面临显著 legal and regulatory risk。</w:t>
      </w:r>
    </w:p>
    <w:p w14:paraId="59189EE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当前多数司法辖区尚未</w:t>
      </w:r>
      <w:r>
        <w:rPr>
          <w:rFonts w:hint="eastAsia"/>
          <w:lang w:val="en-US" w:eastAsia="zh-CN"/>
        </w:rPr>
        <w:t>明确界定</w:t>
      </w:r>
      <w:r>
        <w:rPr>
          <w:rFonts w:hint="default"/>
          <w:lang w:val="en-US" w:eastAsia="zh-CN"/>
        </w:rPr>
        <w:t>代币所代表的产权性质，这可能导致 ownership rights 的</w:t>
      </w:r>
      <w:r>
        <w:rPr>
          <w:rFonts w:hint="eastAsia"/>
          <w:lang w:val="en-US" w:eastAsia="zh-CN"/>
        </w:rPr>
        <w:t>法律</w:t>
      </w:r>
      <w:r>
        <w:rPr>
          <w:rFonts w:hint="default"/>
          <w:lang w:val="en-US" w:eastAsia="zh-CN"/>
        </w:rPr>
        <w:t>不确定性（Izadin &amp; Yusof, 2024）。</w:t>
      </w:r>
    </w:p>
    <w:p w14:paraId="40A3AE3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同时，</w:t>
      </w:r>
      <w:r>
        <w:rPr>
          <w:rFonts w:hint="eastAsia"/>
          <w:lang w:val="en-US" w:eastAsia="zh-CN"/>
        </w:rPr>
        <w:t>该类</w:t>
      </w:r>
      <w:r>
        <w:rPr>
          <w:rFonts w:hint="default"/>
          <w:lang w:val="en-US" w:eastAsia="zh-CN"/>
        </w:rPr>
        <w:t>代币可能被</w:t>
      </w:r>
      <w:r>
        <w:rPr>
          <w:rFonts w:hint="eastAsia"/>
          <w:lang w:val="en-US" w:eastAsia="zh-CN"/>
        </w:rPr>
        <w:t>认定</w:t>
      </w:r>
      <w:r>
        <w:rPr>
          <w:rFonts w:hint="default"/>
          <w:lang w:val="en-US" w:eastAsia="zh-CN"/>
        </w:rPr>
        <w:t>为证券，从而受到严格监管</w:t>
      </w:r>
      <w:r>
        <w:rPr>
          <w:rFonts w:hint="eastAsia"/>
          <w:lang w:val="en-US" w:eastAsia="zh-CN"/>
        </w:rPr>
        <w:t>，增加</w:t>
      </w:r>
      <w:r>
        <w:rPr>
          <w:rFonts w:hint="default"/>
          <w:lang w:val="en-US" w:eastAsia="zh-CN"/>
        </w:rPr>
        <w:t>合规</w:t>
      </w:r>
      <w:r>
        <w:rPr>
          <w:rFonts w:hint="eastAsia"/>
          <w:lang w:val="en-US" w:eastAsia="zh-CN"/>
        </w:rPr>
        <w:t>成本并限制市场流通</w:t>
      </w:r>
    </w:p>
    <w:p w14:paraId="3CBF08C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此外，跨境投资</w:t>
      </w:r>
      <w:r>
        <w:rPr>
          <w:rFonts w:hint="eastAsia"/>
          <w:lang w:val="en-US" w:eastAsia="zh-CN"/>
        </w:rPr>
        <w:t>涉及不同法律体系，进一步提高</w:t>
      </w:r>
      <w:r>
        <w:rPr>
          <w:rFonts w:hint="default"/>
          <w:lang w:val="en-US" w:eastAsia="zh-CN"/>
        </w:rPr>
        <w:t>合规</w:t>
      </w:r>
      <w:r>
        <w:rPr>
          <w:rFonts w:hint="eastAsia"/>
          <w:lang w:val="en-US" w:eastAsia="zh-CN"/>
        </w:rPr>
        <w:t>复杂性</w:t>
      </w:r>
      <w:r>
        <w:rPr>
          <w:rFonts w:hint="default"/>
          <w:lang w:val="en-US" w:eastAsia="zh-CN"/>
        </w:rPr>
        <w:t>与不确定性。</w:t>
      </w:r>
    </w:p>
    <w:p w14:paraId="4CE3102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总体而言，尽管tokenisation在提升流动性与可达性方面具有显著优势，但其同时引入了新的市场、结构与监管风险，表明该设计在效率提升与风险暴露之间存在权衡关系。</w:t>
      </w:r>
    </w:p>
    <w:p w14:paraId="62D58D02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61775922">
      <w:pPr>
        <w:numPr>
          <w:ilvl w:val="0"/>
          <w:numId w:val="1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Role of DeFi (480字以内 10%</w:t>
      </w:r>
    </w:p>
    <w:p w14:paraId="0391097C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6.1 Smart Contracts and Automation</w:t>
      </w:r>
    </w:p>
    <w:p w14:paraId="6A86013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在该代币化模型中，smart contracts </w:t>
      </w:r>
      <w:r>
        <w:rPr>
          <w:rFonts w:hint="eastAsia"/>
          <w:lang w:val="en-US" w:eastAsia="zh-CN"/>
        </w:rPr>
        <w:t>构成</w:t>
      </w:r>
      <w:r>
        <w:rPr>
          <w:rFonts w:hint="default"/>
          <w:lang w:val="en-US" w:eastAsia="zh-CN"/>
        </w:rPr>
        <w:t>核心基础设施</w:t>
      </w:r>
      <w:r>
        <w:rPr>
          <w:rFonts w:hint="eastAsia"/>
          <w:lang w:val="en-US" w:eastAsia="zh-CN"/>
        </w:rPr>
        <w:t>，用于</w:t>
      </w:r>
      <w:r>
        <w:rPr>
          <w:rFonts w:hint="default"/>
          <w:lang w:val="en-US" w:eastAsia="zh-CN"/>
        </w:rPr>
        <w:t>自动执行 rental income 分配、usage rights 分配以及代币转移，从而减少人为干预与中介依赖。通过预设规则，收益可按持仓比例</w:t>
      </w:r>
      <w:r>
        <w:rPr>
          <w:rFonts w:hint="eastAsia"/>
          <w:lang w:val="en-US" w:eastAsia="zh-CN"/>
        </w:rPr>
        <w:t>自动</w:t>
      </w:r>
      <w:r>
        <w:rPr>
          <w:rFonts w:hint="default"/>
          <w:lang w:val="en-US" w:eastAsia="zh-CN"/>
        </w:rPr>
        <w:t>分配，</w:t>
      </w:r>
      <w:r>
        <w:rPr>
          <w:rFonts w:hint="eastAsia"/>
          <w:lang w:val="en-US" w:eastAsia="zh-CN"/>
        </w:rPr>
        <w:t>从而</w:t>
      </w:r>
      <w:r>
        <w:rPr>
          <w:rFonts w:hint="default"/>
          <w:lang w:val="en-US" w:eastAsia="zh-CN"/>
        </w:rPr>
        <w:t>提高</w:t>
      </w:r>
      <w:r>
        <w:rPr>
          <w:rFonts w:hint="eastAsia"/>
          <w:lang w:val="en-US" w:eastAsia="zh-CN"/>
        </w:rPr>
        <w:t>执行</w:t>
      </w:r>
      <w:r>
        <w:rPr>
          <w:rFonts w:hint="default"/>
          <w:lang w:val="en-US" w:eastAsia="zh-CN"/>
        </w:rPr>
        <w:t>效率并降低运营成本（Gupta et al., 2020）。</w:t>
      </w:r>
    </w:p>
    <w:p w14:paraId="12307CC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此外，smart contracts 还能确保交易</w:t>
      </w:r>
      <w:r>
        <w:rPr>
          <w:rFonts w:hint="eastAsia"/>
          <w:lang w:val="en-US" w:eastAsia="zh-CN"/>
        </w:rPr>
        <w:t>规则</w:t>
      </w:r>
      <w:r>
        <w:rPr>
          <w:rFonts w:hint="default"/>
          <w:lang w:val="en-US" w:eastAsia="zh-CN"/>
        </w:rPr>
        <w:t>的确定性与可验证性，</w:t>
      </w:r>
      <w:r>
        <w:rPr>
          <w:rFonts w:hint="eastAsia"/>
          <w:lang w:val="en-US" w:eastAsia="zh-CN"/>
        </w:rPr>
        <w:t>提升系统整体</w:t>
      </w:r>
      <w:r>
        <w:rPr>
          <w:rFonts w:hint="default"/>
          <w:lang w:val="en-US" w:eastAsia="zh-CN"/>
        </w:rPr>
        <w:t>透明度与可信度。</w:t>
      </w:r>
    </w:p>
    <w:p w14:paraId="45F4BDCE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43B4EEA8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6.2 On-chain Settlement and Transparency</w:t>
      </w:r>
    </w:p>
    <w:p w14:paraId="345436E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区块链提供的 on-chain settlement 机制，使代币交易</w:t>
      </w:r>
      <w:r>
        <w:rPr>
          <w:rFonts w:hint="eastAsia"/>
          <w:lang w:val="en-US" w:eastAsia="zh-CN"/>
        </w:rPr>
        <w:t>能够</w:t>
      </w:r>
      <w:r>
        <w:rPr>
          <w:rFonts w:hint="default"/>
          <w:lang w:val="en-US" w:eastAsia="zh-CN"/>
        </w:rPr>
        <w:t>在链上完成清算与结算，从而实现近乎实时的资产转移（Saari et al., 2022）。</w:t>
      </w:r>
    </w:p>
    <w:p w14:paraId="1BD3D56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相比传统房地产交易，该机制显著简化清算流程并降低时间成本</w:t>
      </w:r>
      <w:r>
        <w:rPr>
          <w:rFonts w:hint="eastAsia"/>
          <w:highlight w:val="green"/>
          <w:lang w:val="en-US" w:eastAsia="zh-CN"/>
        </w:rPr>
        <w:t>。</w:t>
      </w:r>
      <w:r>
        <w:rPr>
          <w:rFonts w:hint="default"/>
          <w:highlight w:val="green"/>
          <w:lang w:val="en-US" w:eastAsia="zh-CN"/>
        </w:rPr>
        <w:t>同时，分布式账本保证交易记录透明</w:t>
      </w:r>
      <w:r>
        <w:rPr>
          <w:rFonts w:hint="eastAsia"/>
          <w:highlight w:val="green"/>
          <w:lang w:val="en-US" w:eastAsia="zh-CN"/>
        </w:rPr>
        <w:t>且</w:t>
      </w:r>
      <w:r>
        <w:rPr>
          <w:rFonts w:hint="default"/>
          <w:highlight w:val="green"/>
          <w:lang w:val="en-US" w:eastAsia="zh-CN"/>
        </w:rPr>
        <w:t>不可篡改，</w:t>
      </w:r>
      <w:r>
        <w:rPr>
          <w:rFonts w:hint="eastAsia"/>
          <w:highlight w:val="green"/>
          <w:lang w:val="en-US" w:eastAsia="zh-CN"/>
        </w:rPr>
        <w:t>从而</w:t>
      </w:r>
      <w:r>
        <w:rPr>
          <w:rFonts w:hint="default"/>
          <w:highlight w:val="green"/>
          <w:lang w:val="en-US" w:eastAsia="zh-CN"/>
        </w:rPr>
        <w:t>减少信息不对称并</w:t>
      </w:r>
      <w:r>
        <w:rPr>
          <w:rFonts w:hint="eastAsia"/>
          <w:highlight w:val="green"/>
          <w:lang w:val="en-US" w:eastAsia="zh-CN"/>
        </w:rPr>
        <w:t>增强</w:t>
      </w:r>
      <w:r>
        <w:rPr>
          <w:rFonts w:hint="default"/>
          <w:highlight w:val="green"/>
          <w:lang w:val="en-US" w:eastAsia="zh-CN"/>
        </w:rPr>
        <w:t>市场信任。</w:t>
      </w:r>
    </w:p>
    <w:p w14:paraId="24C168AA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1C731C7D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6.3 Decentralised Exchange and Liquidity Support</w:t>
      </w:r>
    </w:p>
    <w:p w14:paraId="158BD88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在流动性层面，Decentralised Exchange DEX 为代币提供持续交易的基础设施</w:t>
      </w:r>
      <w:r>
        <w:rPr>
          <w:rFonts w:hint="eastAsia"/>
          <w:lang w:val="en-US" w:eastAsia="zh-CN"/>
        </w:rPr>
        <w:t>，使</w:t>
      </w:r>
      <w:r>
        <w:rPr>
          <w:rFonts w:hint="default"/>
          <w:lang w:val="en-US" w:eastAsia="zh-CN"/>
        </w:rPr>
        <w:t>用户</w:t>
      </w:r>
      <w:r>
        <w:rPr>
          <w:rFonts w:hint="eastAsia"/>
          <w:lang w:val="en-US" w:eastAsia="zh-CN"/>
        </w:rPr>
        <w:t>能够在无需中介的情况下</w:t>
      </w:r>
      <w:r>
        <w:rPr>
          <w:rFonts w:hint="default"/>
          <w:lang w:val="en-US" w:eastAsia="zh-CN"/>
        </w:rPr>
        <w:t>直接进行资产交换，从而降低交易成本（Madhavji, 2024）。结合 AMM 机制，</w:t>
      </w:r>
      <w:r>
        <w:rPr>
          <w:rFonts w:hint="eastAsia"/>
          <w:lang w:val="en-US" w:eastAsia="zh-CN"/>
        </w:rPr>
        <w:t>系统能够在交易对手不足时，为代币提供持续交易与基础流动性支持</w:t>
      </w:r>
      <w:r>
        <w:rPr>
          <w:rFonts w:hint="default"/>
          <w:lang w:val="en-US" w:eastAsia="zh-CN"/>
        </w:rPr>
        <w:t>。</w:t>
      </w:r>
    </w:p>
    <w:p w14:paraId="28CE27F5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02382B16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6.4 Integration with DeFi Ecosystem</w:t>
      </w:r>
    </w:p>
    <w:p w14:paraId="00FA62D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进一步来看，该代币可以与更广泛的 DeFi ecosystem 整合。例如，作为抵押资产参与 lending protocols，或者被纳入 liquidity pools 以获取额外收益。</w:t>
      </w:r>
    </w:p>
    <w:p w14:paraId="2FB8D5E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该composability</w:t>
      </w:r>
      <w:r>
        <w:rPr>
          <w:rFonts w:hint="default"/>
          <w:lang w:val="en-US" w:eastAsia="zh-CN"/>
        </w:rPr>
        <w:t>使 real estate token 从单一投资工具转变为</w:t>
      </w:r>
      <w:r>
        <w:rPr>
          <w:rFonts w:hint="eastAsia"/>
          <w:lang w:val="en-US" w:eastAsia="zh-CN"/>
        </w:rPr>
        <w:t>可编程</w:t>
      </w:r>
      <w:r>
        <w:rPr>
          <w:rFonts w:hint="default"/>
          <w:lang w:val="en-US" w:eastAsia="zh-CN"/>
        </w:rPr>
        <w:t>金融资产，</w:t>
      </w:r>
      <w:r>
        <w:rPr>
          <w:rFonts w:hint="eastAsia"/>
          <w:lang w:val="en-US" w:eastAsia="zh-CN"/>
        </w:rPr>
        <w:t>从而提升资本利用效率与</w:t>
      </w:r>
      <w:r>
        <w:rPr>
          <w:rFonts w:hint="default"/>
          <w:lang w:val="en-US" w:eastAsia="zh-CN"/>
        </w:rPr>
        <w:t>市场吸引力（Madhavji, 2024）。</w:t>
      </w:r>
    </w:p>
    <w:p w14:paraId="391AB20F">
      <w:pPr>
        <w:numPr>
          <w:ilvl w:val="0"/>
          <w:numId w:val="0"/>
        </w:numPr>
        <w:rPr>
          <w:rFonts w:hint="default"/>
          <w:color w:val="C00000"/>
          <w:lang w:val="en-US" w:eastAsia="zh-CN"/>
        </w:rPr>
      </w:pPr>
    </w:p>
    <w:p w14:paraId="40910621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Conclusion (150)</w:t>
      </w:r>
    </w:p>
    <w:p w14:paraId="5FCA7EB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总体而言，tokenisation通过将</w:t>
      </w:r>
      <w:r>
        <w:rPr>
          <w:rFonts w:hint="eastAsia"/>
          <w:lang w:val="en-US" w:eastAsia="zh-CN"/>
        </w:rPr>
        <w:t>度假</w:t>
      </w:r>
      <w:r>
        <w:rPr>
          <w:rFonts w:hint="default"/>
          <w:lang w:val="en-US" w:eastAsia="zh-CN"/>
        </w:rPr>
        <w:t>房产资产转化为可交易数字权益，显著提升了资产的可达性与流动性，并使其具备更接近金融资产的交易特征。然而，该设计并未消除风险，而是引入了市场波动、结构复杂性与监管不确定性等新的挑战。这表明，tokenisation本质上是在效率提升</w:t>
      </w:r>
      <w:bookmarkStart w:id="0" w:name="_GoBack"/>
      <w:bookmarkEnd w:id="0"/>
      <w:r>
        <w:rPr>
          <w:rFonts w:hint="default"/>
          <w:lang w:val="en-US" w:eastAsia="zh-CN"/>
        </w:rPr>
        <w:t>与风险暴露之间进行权衡。</w:t>
      </w:r>
    </w:p>
    <w:p w14:paraId="060F5443">
      <w:pPr>
        <w:numPr>
          <w:ilvl w:val="0"/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27C0247"/>
    <w:multiLevelType w:val="multilevel"/>
    <w:tmpl w:val="527C0247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F25F78"/>
    <w:rsid w:val="0C045577"/>
    <w:rsid w:val="10C62696"/>
    <w:rsid w:val="13E939FC"/>
    <w:rsid w:val="36356EAC"/>
    <w:rsid w:val="3DAB6B70"/>
    <w:rsid w:val="415A03A9"/>
    <w:rsid w:val="4E02204D"/>
    <w:rsid w:val="52BF2968"/>
    <w:rsid w:val="648A46E4"/>
    <w:rsid w:val="6F512B5A"/>
    <w:rsid w:val="785C1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7256</Words>
  <Characters>10465</Characters>
  <Lines>0</Lines>
  <Paragraphs>0</Paragraphs>
  <TotalTime>1381</TotalTime>
  <ScaleCrop>false</ScaleCrop>
  <LinksUpToDate>false</LinksUpToDate>
  <CharactersWithSpaces>11052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2026-03-31T13:06:00Z</dcterms:created>
  <dc:creator>user</dc:creator>
  <cp:lastModifiedBy>萍</cp:lastModifiedBy>
  <dcterms:modified xsi:type="dcterms:W3CDTF">2026-04-07T14:26:00Z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eyJoZGlkIjoiZjJiYzRjZDg4ODIxMmZkMzVjYzYxNzIzMDEwYjJjY2IiLCJ1c2VySWQiOiIxMzA4NTAyNjEzIn0=</vt:lpwstr>
  </property>
  <property fmtid="{D5CDD505-2E9C-101B-9397-08002B2CF9AE}" pid="4" name="ICV">
    <vt:lpwstr>019B5149C0304F9A834B2A6460487170_12</vt:lpwstr>
  </property>
</Properties>
</file>