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84824">
      <w:pPr>
        <w:spacing w:after="1600"/>
        <w:rPr>
          <w:rStyle w:val="30"/>
          <w:rFonts w:cs="Arial"/>
          <w:b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bookmarkStart w:id="0" w:name="_MacBuGuideStaticData_510H"/>
      <w:bookmarkStart w:id="1" w:name="_MacBuGuideStaticData_11280V"/>
      <w:bookmarkStart w:id="2" w:name="_MacBuGuideStaticData_560V"/>
      <w:r>
        <w:rPr>
          <w:highlight w:val="black"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435735"/>
            <wp:effectExtent l="0" t="0" r="0" b="0"/>
            <wp:wrapNone/>
            <wp:docPr id="19" name="Picture 19" descr="A black header banner with the UCL letters coloured white. In the top left corner is UCL's slogan written in Title C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header banner with the UCL letters coloured white. In the top left corner is UCL's slogan written in Title Case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43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b/>
          <w:color w:val="FFFFFF" w:themeColor="background1"/>
          <w:sz w:val="20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inline distT="0" distB="0" distL="0" distR="0">
                <wp:extent cx="3239770" cy="431800"/>
                <wp:effectExtent l="0" t="0" r="0" b="0"/>
                <wp:docPr id="401076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0" cy="432000"/>
                        </a:xfrm>
                        <a:prstGeom prst="rect">
                          <a:avLst/>
                        </a:prstGeom>
                        <a:solidFill>
                          <a:srgbClr val="AC145A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DAE8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London’s Global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" o:spid="_x0000_s1026" o:spt="202" type="#_x0000_t202" style="height:34pt;width:255.1pt;" fillcolor="#AC145A" filled="t" stroked="f" coordsize="21600,21600" o:gfxdata="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5/mg/TAAAABAEAAA8AAAAAAAAAAQAgAAAAIgAAAGRycy9k&#10;b3ducmV2LnhtbFBLAQIUABQAAAAIAIdO4kB1hw2vQAIAAIYEAAAOAAAAAAAAAAEAIAAAACI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49DDAE8A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London’s Global University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bookmarkEnd w:id="0"/>
    <w:bookmarkEnd w:id="1"/>
    <w:bookmarkEnd w:id="2"/>
    <w:p w14:paraId="1122237D">
      <w:pPr>
        <w:rPr>
          <w:rStyle w:val="30"/>
          <w:rFonts w:cs="Arial"/>
          <w:color w:val="000000"/>
        </w:rPr>
      </w:pPr>
    </w:p>
    <w:p w14:paraId="58A5568F">
      <w:pPr>
        <w:rPr>
          <w:rStyle w:val="30"/>
          <w:rFonts w:eastAsia="Yu Mincho" w:cs="Arial"/>
          <w:b/>
          <w:bCs/>
          <w:color w:val="000000"/>
        </w:rPr>
      </w:pPr>
      <w:r>
        <w:rPr>
          <w:rStyle w:val="30"/>
          <w:rFonts w:hint="eastAsia" w:cs="Arial"/>
          <w:b/>
          <w:bCs/>
          <w:color w:val="000000"/>
          <w:lang w:eastAsia="zh-CN"/>
        </w:rPr>
        <w:t>Individual</w:t>
      </w:r>
      <w:r>
        <w:rPr>
          <w:rStyle w:val="30"/>
          <w:rFonts w:cs="Arial"/>
          <w:b/>
          <w:bCs/>
          <w:color w:val="000000"/>
          <w:lang w:eastAsia="zh-CN"/>
        </w:rPr>
        <w:t xml:space="preserve"> Coursework – Asset Tokenisation Design (60%)</w:t>
      </w:r>
    </w:p>
    <w:p w14:paraId="17D72A0F">
      <w:pPr>
        <w:jc w:val="both"/>
      </w:pPr>
    </w:p>
    <w:p w14:paraId="2891435C">
      <w:pPr>
        <w:jc w:val="both"/>
        <w:rPr>
          <w:rFonts w:hint="eastAsia"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The individual coursework for Decentralised Finance and Blockchain (IFTE0007) requires students to independently </w:t>
      </w:r>
      <w:r>
        <w:rPr>
          <w:sz w:val="22"/>
          <w:szCs w:val="22"/>
          <w:highlight w:val="yellow"/>
          <w:lang w:eastAsia="zh-CN"/>
        </w:rPr>
        <w:t>design a tokenisation scheme for a selected asset</w:t>
      </w:r>
      <w:r>
        <w:rPr>
          <w:sz w:val="22"/>
          <w:szCs w:val="22"/>
          <w:lang w:eastAsia="zh-CN"/>
        </w:rPr>
        <w:t>, using either a Fungible Token (FT) or a Non-Fungible Token (NFT).</w:t>
      </w:r>
    </w:p>
    <w:p w14:paraId="67D1EC9F">
      <w:p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The objective of this assignment is not simply to mint tokens, but to demonstrate the ability to:</w:t>
      </w:r>
    </w:p>
    <w:p w14:paraId="7B6F858C">
      <w:pPr>
        <w:numPr>
          <w:ilvl w:val="0"/>
          <w:numId w:val="1"/>
        </w:num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abstract real or digital assets </w:t>
      </w:r>
      <w:r>
        <w:rPr>
          <w:sz w:val="22"/>
          <w:szCs w:val="22"/>
          <w:highlight w:val="yellow"/>
          <w:lang w:eastAsia="zh-CN"/>
        </w:rPr>
        <w:t>into tokenised forms</w:t>
      </w:r>
      <w:r>
        <w:rPr>
          <w:sz w:val="22"/>
          <w:szCs w:val="22"/>
          <w:lang w:eastAsia="zh-CN"/>
        </w:rPr>
        <w:t>,</w:t>
      </w:r>
    </w:p>
    <w:p w14:paraId="00633A62">
      <w:pPr>
        <w:numPr>
          <w:ilvl w:val="0"/>
          <w:numId w:val="1"/>
        </w:num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design </w:t>
      </w:r>
      <w:r>
        <w:rPr>
          <w:sz w:val="22"/>
          <w:szCs w:val="22"/>
          <w:highlight w:val="yellow"/>
          <w:lang w:eastAsia="zh-CN"/>
        </w:rPr>
        <w:t>economically meaningful</w:t>
      </w:r>
      <w:r>
        <w:rPr>
          <w:sz w:val="22"/>
          <w:szCs w:val="22"/>
          <w:lang w:eastAsia="zh-CN"/>
        </w:rPr>
        <w:t xml:space="preserve"> token structures,</w:t>
      </w:r>
    </w:p>
    <w:p w14:paraId="79C37214">
      <w:pPr>
        <w:numPr>
          <w:ilvl w:val="0"/>
          <w:numId w:val="1"/>
        </w:num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articulate </w:t>
      </w:r>
      <w:r>
        <w:rPr>
          <w:sz w:val="22"/>
          <w:szCs w:val="22"/>
          <w:highlight w:val="yellow"/>
          <w:lang w:eastAsia="zh-CN"/>
        </w:rPr>
        <w:t>market positioning</w:t>
      </w:r>
      <w:r>
        <w:rPr>
          <w:sz w:val="22"/>
          <w:szCs w:val="22"/>
          <w:lang w:eastAsia="zh-CN"/>
        </w:rPr>
        <w:t xml:space="preserve"> and </w:t>
      </w:r>
      <w:r>
        <w:rPr>
          <w:sz w:val="22"/>
          <w:szCs w:val="22"/>
          <w:highlight w:val="yellow"/>
          <w:lang w:eastAsia="zh-CN"/>
        </w:rPr>
        <w:t>liquidity logic</w:t>
      </w:r>
      <w:r>
        <w:rPr>
          <w:sz w:val="22"/>
          <w:szCs w:val="22"/>
          <w:lang w:eastAsia="zh-CN"/>
        </w:rPr>
        <w:t>, and</w:t>
      </w:r>
    </w:p>
    <w:p w14:paraId="40A6C056">
      <w:pPr>
        <w:numPr>
          <w:ilvl w:val="0"/>
          <w:numId w:val="1"/>
        </w:numPr>
        <w:jc w:val="both"/>
        <w:rPr>
          <w:rFonts w:hint="eastAsia"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critically assess the </w:t>
      </w:r>
      <w:r>
        <w:rPr>
          <w:sz w:val="22"/>
          <w:szCs w:val="22"/>
          <w:highlight w:val="yellow"/>
          <w:lang w:eastAsia="zh-CN"/>
        </w:rPr>
        <w:t>risks and limitations</w:t>
      </w:r>
      <w:r>
        <w:rPr>
          <w:sz w:val="22"/>
          <w:szCs w:val="22"/>
          <w:lang w:eastAsia="zh-CN"/>
        </w:rPr>
        <w:t xml:space="preserve"> of the proposed design.</w:t>
      </w:r>
    </w:p>
    <w:p w14:paraId="582D840C">
      <w:p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Students are expected to justify </w:t>
      </w:r>
      <w:r>
        <w:rPr>
          <w:sz w:val="22"/>
          <w:szCs w:val="22"/>
          <w:highlight w:val="yellow"/>
          <w:lang w:eastAsia="zh-CN"/>
        </w:rPr>
        <w:t>why tokenisation is appropriate</w:t>
      </w:r>
      <w:r>
        <w:rPr>
          <w:sz w:val="22"/>
          <w:szCs w:val="22"/>
          <w:lang w:eastAsia="zh-CN"/>
        </w:rPr>
        <w:t xml:space="preserve">, why </w:t>
      </w:r>
      <w:r>
        <w:rPr>
          <w:sz w:val="22"/>
          <w:szCs w:val="22"/>
          <w:highlight w:val="yellow"/>
          <w:lang w:eastAsia="zh-CN"/>
        </w:rPr>
        <w:t>a particular token form (FT or NFT)</w:t>
      </w:r>
      <w:r>
        <w:rPr>
          <w:sz w:val="22"/>
          <w:szCs w:val="22"/>
          <w:lang w:eastAsia="zh-CN"/>
        </w:rPr>
        <w:t xml:space="preserve"> is chosen, and how blockchain-based design choices shape </w:t>
      </w:r>
      <w:r>
        <w:rPr>
          <w:sz w:val="22"/>
          <w:szCs w:val="22"/>
          <w:highlight w:val="yellow"/>
          <w:lang w:eastAsia="zh-CN"/>
        </w:rPr>
        <w:t>financial outcomes</w:t>
      </w:r>
      <w:r>
        <w:rPr>
          <w:sz w:val="22"/>
          <w:szCs w:val="22"/>
          <w:lang w:eastAsia="zh-CN"/>
        </w:rPr>
        <w:t>.</w:t>
      </w:r>
    </w:p>
    <w:p w14:paraId="7BCF7664">
      <w:pPr>
        <w:jc w:val="both"/>
        <w:rPr>
          <w:sz w:val="22"/>
          <w:szCs w:val="22"/>
          <w:lang w:eastAsia="zh-CN"/>
        </w:rPr>
      </w:pPr>
    </w:p>
    <w:p w14:paraId="2B5B3B2F">
      <w:pPr>
        <w:jc w:val="both"/>
        <w:rPr>
          <w:rFonts w:hint="eastAsia"/>
          <w:b/>
          <w:bCs/>
          <w:sz w:val="22"/>
          <w:szCs w:val="22"/>
          <w:lang w:eastAsia="zh-CN"/>
        </w:rPr>
      </w:pPr>
      <w:r>
        <w:rPr>
          <w:b/>
          <w:bCs/>
          <w:sz w:val="22"/>
          <w:szCs w:val="22"/>
          <w:lang w:eastAsia="zh-CN"/>
        </w:rPr>
        <w:t>Asset Selection</w:t>
      </w:r>
    </w:p>
    <w:p w14:paraId="4B0B3C60">
      <w:pPr>
        <w:jc w:val="both"/>
        <w:rPr>
          <w:rFonts w:hint="eastAsia"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Students are required to select </w:t>
      </w:r>
      <w:r>
        <w:rPr>
          <w:b/>
          <w:bCs/>
          <w:sz w:val="22"/>
          <w:szCs w:val="22"/>
          <w:highlight w:val="yellow"/>
          <w:lang w:eastAsia="zh-CN"/>
        </w:rPr>
        <w:t>one underlying asset</w:t>
      </w:r>
      <w:r>
        <w:rPr>
          <w:sz w:val="22"/>
          <w:szCs w:val="22"/>
          <w:lang w:eastAsia="zh-CN"/>
        </w:rPr>
        <w:t xml:space="preserve"> and develop </w:t>
      </w:r>
      <w:r>
        <w:rPr>
          <w:sz w:val="22"/>
          <w:szCs w:val="22"/>
          <w:highlight w:val="yellow"/>
          <w:lang w:eastAsia="zh-CN"/>
        </w:rPr>
        <w:t xml:space="preserve">a </w:t>
      </w:r>
      <w:r>
        <w:rPr>
          <w:b/>
          <w:bCs/>
          <w:sz w:val="22"/>
          <w:szCs w:val="22"/>
          <w:highlight w:val="yellow"/>
          <w:lang w:eastAsia="zh-CN"/>
        </w:rPr>
        <w:t>coherent asset tokenisation design</w:t>
      </w:r>
      <w:r>
        <w:rPr>
          <w:sz w:val="22"/>
          <w:szCs w:val="22"/>
          <w:lang w:eastAsia="zh-CN"/>
        </w:rPr>
        <w:t>, focusing on how the asset is transformed into a tokenised financial instrument and integrated into a market environment.</w:t>
      </w:r>
    </w:p>
    <w:p w14:paraId="7AA2DFAF">
      <w:pPr>
        <w:jc w:val="both"/>
        <w:rPr>
          <w:rFonts w:hint="eastAsia"/>
          <w:sz w:val="22"/>
          <w:szCs w:val="22"/>
          <w:lang w:eastAsia="zh-CN"/>
        </w:rPr>
      </w:pPr>
      <w:r>
        <w:rPr>
          <w:sz w:val="22"/>
          <w:szCs w:val="22"/>
          <w:highlight w:val="yellow"/>
          <w:lang w:eastAsia="zh-CN"/>
        </w:rPr>
        <w:t xml:space="preserve">The emphasis of this assignment is </w:t>
      </w:r>
      <w:r>
        <w:rPr>
          <w:b/>
          <w:bCs/>
          <w:sz w:val="22"/>
          <w:szCs w:val="22"/>
          <w:highlight w:val="yellow"/>
          <w:lang w:eastAsia="zh-CN"/>
        </w:rPr>
        <w:t>asset tokenisation</w:t>
      </w:r>
      <w:r>
        <w:rPr>
          <w:sz w:val="22"/>
          <w:szCs w:val="22"/>
          <w:lang w:eastAsia="zh-CN"/>
        </w:rPr>
        <w:t xml:space="preserve">, rather than the technical distinction between fungible and non-fungible tokens. Students should begin from the </w:t>
      </w:r>
      <w:r>
        <w:rPr>
          <w:b/>
          <w:bCs/>
          <w:sz w:val="22"/>
          <w:szCs w:val="22"/>
          <w:u w:val="single"/>
          <w:lang w:eastAsia="zh-CN"/>
        </w:rPr>
        <w:t>economic and financial characteristics of the asset itself</w:t>
      </w:r>
      <w:r>
        <w:rPr>
          <w:sz w:val="22"/>
          <w:szCs w:val="22"/>
          <w:lang w:eastAsia="zh-CN"/>
        </w:rPr>
        <w:t>, and then determine the most appropriate token representation.</w:t>
      </w:r>
    </w:p>
    <w:p w14:paraId="556C2E17">
      <w:p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The selected asset may represent, for example:</w:t>
      </w:r>
    </w:p>
    <w:p w14:paraId="32310964">
      <w:pPr>
        <w:numPr>
          <w:ilvl w:val="0"/>
          <w:numId w:val="2"/>
        </w:num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highlight w:val="yellow"/>
          <w:lang w:eastAsia="zh-CN"/>
        </w:rPr>
        <w:t>economic rights</w:t>
      </w:r>
      <w:r>
        <w:rPr>
          <w:sz w:val="22"/>
          <w:szCs w:val="22"/>
          <w:lang w:eastAsia="zh-CN"/>
        </w:rPr>
        <w:t xml:space="preserve"> (e.g. income, yield, or repayment claims),</w:t>
      </w:r>
    </w:p>
    <w:p w14:paraId="1E41FD6C">
      <w:pPr>
        <w:numPr>
          <w:ilvl w:val="0"/>
          <w:numId w:val="2"/>
        </w:num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highlight w:val="yellow"/>
          <w:lang w:eastAsia="zh-CN"/>
        </w:rPr>
        <w:t>ownership or participation interests</w:t>
      </w:r>
      <w:r>
        <w:rPr>
          <w:sz w:val="22"/>
          <w:szCs w:val="22"/>
          <w:lang w:eastAsia="zh-CN"/>
        </w:rPr>
        <w:t xml:space="preserve"> (e.g. fund units or shares),</w:t>
      </w:r>
    </w:p>
    <w:p w14:paraId="7EAD6A0A">
      <w:pPr>
        <w:numPr>
          <w:ilvl w:val="0"/>
          <w:numId w:val="2"/>
        </w:numPr>
        <w:jc w:val="both"/>
        <w:rPr>
          <w:rFonts w:hint="eastAsia"/>
          <w:sz w:val="22"/>
          <w:szCs w:val="22"/>
          <w:lang w:eastAsia="zh-CN"/>
        </w:rPr>
      </w:pPr>
      <w:r>
        <w:rPr>
          <w:sz w:val="22"/>
          <w:szCs w:val="22"/>
          <w:highlight w:val="yellow"/>
          <w:lang w:eastAsia="zh-CN"/>
        </w:rPr>
        <w:t>usage, access, or entitlement rights</w:t>
      </w:r>
      <w:r>
        <w:rPr>
          <w:sz w:val="22"/>
          <w:szCs w:val="22"/>
          <w:lang w:eastAsia="zh-CN"/>
        </w:rPr>
        <w:t xml:space="preserve"> linked to a real or digital asset.</w:t>
      </w:r>
    </w:p>
    <w:p w14:paraId="5DC9FAF1">
      <w:p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Students may implement the tokenisation using either </w:t>
      </w:r>
      <w:r>
        <w:rPr>
          <w:sz w:val="22"/>
          <w:szCs w:val="22"/>
          <w:highlight w:val="yellow"/>
          <w:lang w:eastAsia="zh-CN"/>
        </w:rPr>
        <w:t xml:space="preserve">a </w:t>
      </w:r>
      <w:r>
        <w:rPr>
          <w:b/>
          <w:bCs/>
          <w:sz w:val="22"/>
          <w:szCs w:val="22"/>
          <w:highlight w:val="yellow"/>
          <w:lang w:eastAsia="zh-CN"/>
        </w:rPr>
        <w:t>fungible</w:t>
      </w:r>
      <w:r>
        <w:rPr>
          <w:sz w:val="22"/>
          <w:szCs w:val="22"/>
          <w:highlight w:val="yellow"/>
          <w:lang w:eastAsia="zh-CN"/>
        </w:rPr>
        <w:t xml:space="preserve"> or </w:t>
      </w:r>
      <w:r>
        <w:rPr>
          <w:b/>
          <w:bCs/>
          <w:sz w:val="22"/>
          <w:szCs w:val="22"/>
          <w:highlight w:val="yellow"/>
          <w:lang w:eastAsia="zh-CN"/>
        </w:rPr>
        <w:t>non-fungible</w:t>
      </w:r>
      <w:r>
        <w:rPr>
          <w:sz w:val="22"/>
          <w:szCs w:val="22"/>
          <w:highlight w:val="yellow"/>
          <w:lang w:eastAsia="zh-CN"/>
        </w:rPr>
        <w:t xml:space="preserve"> token structure,</w:t>
      </w:r>
      <w:r>
        <w:rPr>
          <w:sz w:val="22"/>
          <w:szCs w:val="22"/>
          <w:lang w:eastAsia="zh-CN"/>
        </w:rPr>
        <w:t xml:space="preserve"> </w:t>
      </w:r>
      <w:r>
        <w:rPr>
          <w:b/>
          <w:bCs/>
          <w:sz w:val="22"/>
          <w:szCs w:val="22"/>
          <w:lang w:eastAsia="zh-CN"/>
        </w:rPr>
        <w:t xml:space="preserve">provided that the choice is clearly </w:t>
      </w:r>
      <w:r>
        <w:rPr>
          <w:b/>
          <w:bCs/>
          <w:color w:val="C00000"/>
          <w:sz w:val="22"/>
          <w:szCs w:val="22"/>
          <w:u w:val="single"/>
          <w:lang w:eastAsia="zh-CN"/>
        </w:rPr>
        <w:t>justified by the nature of the asset and its intended market function</w:t>
      </w:r>
      <w:r>
        <w:rPr>
          <w:color w:val="C00000"/>
          <w:sz w:val="22"/>
          <w:szCs w:val="22"/>
          <w:u w:val="single"/>
          <w:lang w:eastAsia="zh-CN"/>
        </w:rPr>
        <w:t>.</w:t>
      </w:r>
    </w:p>
    <w:p w14:paraId="28ACCC64">
      <w:pPr>
        <w:jc w:val="both"/>
        <w:rPr>
          <w:sz w:val="22"/>
          <w:szCs w:val="22"/>
          <w:lang w:eastAsia="zh-CN"/>
        </w:rPr>
      </w:pPr>
    </w:p>
    <w:p w14:paraId="46CA0C04">
      <w:pPr>
        <w:jc w:val="both"/>
        <w:rPr>
          <w:rFonts w:hint="eastAsia"/>
          <w:b/>
          <w:bCs/>
          <w:sz w:val="22"/>
          <w:szCs w:val="22"/>
          <w:lang w:eastAsia="zh-CN"/>
        </w:rPr>
      </w:pPr>
      <w:r>
        <w:rPr>
          <w:b/>
          <w:bCs/>
          <w:sz w:val="22"/>
          <w:szCs w:val="22"/>
          <w:lang w:eastAsia="zh-CN"/>
        </w:rPr>
        <w:t>Key Requirement</w:t>
      </w:r>
    </w:p>
    <w:p w14:paraId="503BD2AA">
      <w:p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Students must explicitly explain:</w:t>
      </w:r>
    </w:p>
    <w:p w14:paraId="220D9C1A">
      <w:pPr>
        <w:numPr>
          <w:ilvl w:val="0"/>
          <w:numId w:val="3"/>
        </w:num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highlight w:val="yellow"/>
          <w:lang w:eastAsia="zh-CN"/>
        </w:rPr>
        <w:t xml:space="preserve">how the </w:t>
      </w:r>
      <w:r>
        <w:rPr>
          <w:b/>
          <w:bCs/>
          <w:sz w:val="22"/>
          <w:szCs w:val="22"/>
          <w:highlight w:val="yellow"/>
          <w:lang w:eastAsia="zh-CN"/>
        </w:rPr>
        <w:t>underlying asset</w:t>
      </w:r>
      <w:r>
        <w:rPr>
          <w:sz w:val="22"/>
          <w:szCs w:val="22"/>
          <w:highlight w:val="yellow"/>
          <w:lang w:eastAsia="zh-CN"/>
        </w:rPr>
        <w:t xml:space="preserve"> is abstracted into a token</w:t>
      </w:r>
      <w:r>
        <w:rPr>
          <w:sz w:val="22"/>
          <w:szCs w:val="22"/>
          <w:lang w:eastAsia="zh-CN"/>
        </w:rPr>
        <w:t>,</w:t>
      </w:r>
    </w:p>
    <w:p w14:paraId="7F2A4AD6">
      <w:pPr>
        <w:numPr>
          <w:ilvl w:val="0"/>
          <w:numId w:val="3"/>
        </w:num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highlight w:val="yellow"/>
          <w:lang w:eastAsia="zh-CN"/>
        </w:rPr>
        <w:t>why the chosen token structure</w:t>
      </w:r>
      <w:r>
        <w:rPr>
          <w:sz w:val="22"/>
          <w:szCs w:val="22"/>
          <w:lang w:eastAsia="zh-CN"/>
        </w:rPr>
        <w:t xml:space="preserve"> (fungible or non-fungible) is appropriate for this asset,</w:t>
      </w:r>
    </w:p>
    <w:p w14:paraId="1485F931">
      <w:pPr>
        <w:numPr>
          <w:ilvl w:val="0"/>
          <w:numId w:val="3"/>
        </w:num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how this choice affects </w:t>
      </w:r>
      <w:r>
        <w:rPr>
          <w:b/>
          <w:bCs/>
          <w:sz w:val="22"/>
          <w:szCs w:val="22"/>
          <w:highlight w:val="yellow"/>
          <w:lang w:eastAsia="zh-CN"/>
        </w:rPr>
        <w:t>market access, liquidity, and transferability</w:t>
      </w:r>
      <w:r>
        <w:rPr>
          <w:sz w:val="22"/>
          <w:szCs w:val="22"/>
          <w:lang w:eastAsia="zh-CN"/>
        </w:rPr>
        <w:t>, and</w:t>
      </w:r>
    </w:p>
    <w:p w14:paraId="3AEC9419">
      <w:pPr>
        <w:numPr>
          <w:ilvl w:val="0"/>
          <w:numId w:val="3"/>
        </w:numPr>
        <w:jc w:val="both"/>
        <w:rPr>
          <w:rFonts w:hint="eastAsia"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what </w:t>
      </w:r>
      <w:r>
        <w:rPr>
          <w:b/>
          <w:bCs/>
          <w:sz w:val="22"/>
          <w:szCs w:val="22"/>
          <w:highlight w:val="yellow"/>
          <w:lang w:eastAsia="zh-CN"/>
        </w:rPr>
        <w:t>risks and limitations</w:t>
      </w:r>
      <w:r>
        <w:rPr>
          <w:sz w:val="22"/>
          <w:szCs w:val="22"/>
          <w:lang w:eastAsia="zh-CN"/>
        </w:rPr>
        <w:t xml:space="preserve"> arise from this design choice.</w:t>
      </w:r>
    </w:p>
    <w:p w14:paraId="20FA676A">
      <w:pPr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The assessment will focus on whether students demonstrate a clear and consistent understanding of the </w:t>
      </w:r>
      <w:r>
        <w:rPr>
          <w:b/>
          <w:bCs/>
          <w:sz w:val="22"/>
          <w:szCs w:val="22"/>
          <w:lang w:eastAsia="zh-CN"/>
        </w:rPr>
        <w:t>asset → token → market → risk</w:t>
      </w:r>
      <w:r>
        <w:rPr>
          <w:sz w:val="22"/>
          <w:szCs w:val="22"/>
          <w:lang w:eastAsia="zh-CN"/>
        </w:rPr>
        <w:t xml:space="preserve"> logic chain, rather than on the technical classification of the token itself.</w:t>
      </w:r>
    </w:p>
    <w:p w14:paraId="6BA4A316">
      <w:pPr>
        <w:jc w:val="both"/>
        <w:rPr>
          <w:rFonts w:hint="eastAsia"/>
          <w:lang w:eastAsia="zh-CN"/>
        </w:rPr>
      </w:pPr>
    </w:p>
    <w:tbl>
      <w:tblPr>
        <w:tblStyle w:val="11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087"/>
        <w:gridCol w:w="992"/>
      </w:tblGrid>
      <w:tr w14:paraId="5EB7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1F20C111">
            <w:r>
              <w:t>Section</w:t>
            </w:r>
          </w:p>
        </w:tc>
        <w:tc>
          <w:tcPr>
            <w:tcW w:w="7087" w:type="dxa"/>
          </w:tcPr>
          <w:p w14:paraId="469B5F59">
            <w:r>
              <w:t>Description</w:t>
            </w:r>
          </w:p>
        </w:tc>
        <w:tc>
          <w:tcPr>
            <w:tcW w:w="992" w:type="dxa"/>
          </w:tcPr>
          <w:p w14:paraId="51A5BFAF">
            <w:r>
              <w:t>Weight</w:t>
            </w:r>
          </w:p>
        </w:tc>
      </w:tr>
      <w:tr w14:paraId="51F4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2122" w:type="dxa"/>
          </w:tcPr>
          <w:p w14:paraId="3FF8CA29">
            <w:r>
              <w:t>Asset Description and Value Source</w:t>
            </w:r>
          </w:p>
        </w:tc>
        <w:tc>
          <w:tcPr>
            <w:tcW w:w="7087" w:type="dxa"/>
          </w:tcPr>
          <w:p w14:paraId="46706D5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Clearly describe </w:t>
            </w:r>
            <w:r>
              <w:rPr>
                <w:highlight w:val="yellow"/>
                <w:lang w:val="en-US"/>
              </w:rPr>
              <w:t>the selected asset</w:t>
            </w:r>
            <w:r>
              <w:rPr>
                <w:lang w:val="en-US"/>
              </w:rPr>
              <w:t xml:space="preserve"> and explain how </w:t>
            </w:r>
            <w:r>
              <w:rPr>
                <w:highlight w:val="yellow"/>
                <w:lang w:val="en-US"/>
              </w:rPr>
              <w:t xml:space="preserve">value </w:t>
            </w:r>
            <w:r>
              <w:rPr>
                <w:lang w:val="en-US"/>
              </w:rPr>
              <w:t xml:space="preserve">is created. Discuss whether the asset </w:t>
            </w:r>
            <w:r>
              <w:rPr>
                <w:highlight w:val="yellow"/>
                <w:lang w:val="en-US"/>
              </w:rPr>
              <w:t>generates cash flows, usage value, scarcity, or other economic benefits</w:t>
            </w:r>
            <w:r>
              <w:rPr>
                <w:lang w:val="en-US"/>
              </w:rPr>
              <w:t>. This section should demonstrate an understanding of the underlying economics of the asset.</w:t>
            </w:r>
          </w:p>
        </w:tc>
        <w:tc>
          <w:tcPr>
            <w:tcW w:w="992" w:type="dxa"/>
          </w:tcPr>
          <w:p w14:paraId="621EC83D">
            <w:r>
              <w:rPr>
                <w:rFonts w:hint="eastAsia"/>
                <w:lang w:eastAsia="zh-CN"/>
              </w:rPr>
              <w:t>15</w:t>
            </w:r>
            <w:r>
              <w:t>%</w:t>
            </w:r>
          </w:p>
          <w:p w14:paraId="5791F19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360字</w:t>
            </w:r>
          </w:p>
        </w:tc>
      </w:tr>
      <w:tr w14:paraId="32AF5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2122" w:type="dxa"/>
          </w:tcPr>
          <w:p w14:paraId="36FAA156">
            <w:r>
              <w:t>Rationale for Tokenisation</w:t>
            </w:r>
          </w:p>
        </w:tc>
        <w:tc>
          <w:tcPr>
            <w:tcW w:w="7087" w:type="dxa"/>
          </w:tcPr>
          <w:p w14:paraId="480C422C">
            <w:pPr>
              <w:jc w:val="both"/>
              <w:rPr>
                <w:rFonts w:hint="default" w:eastAsiaTheme="minorEastAsia"/>
                <w:color w:val="C00000"/>
                <w:lang w:val="en-US" w:eastAsia="zh-CN"/>
              </w:rPr>
            </w:pPr>
            <w:r>
              <w:rPr>
                <w:lang w:val="en-US"/>
              </w:rPr>
              <w:t xml:space="preserve">Explain </w:t>
            </w:r>
            <w:r>
              <w:rPr>
                <w:highlight w:val="yellow"/>
                <w:lang w:val="en-US"/>
              </w:rPr>
              <w:t>why this asset should be tokenised</w:t>
            </w:r>
            <w:r>
              <w:rPr>
                <w:lang w:val="en-US"/>
              </w:rPr>
              <w:t xml:space="preserve">. Identify the </w:t>
            </w:r>
            <w:r>
              <w:rPr>
                <w:highlight w:val="yellow"/>
                <w:lang w:val="en-US"/>
              </w:rPr>
              <w:t>specific problems tokenisation aims to address</w:t>
            </w:r>
            <w:r>
              <w:rPr>
                <w:lang w:val="en-US"/>
              </w:rPr>
              <w:t xml:space="preserve"> (e.g. </w:t>
            </w:r>
            <w:r>
              <w:rPr>
                <w:u w:val="single"/>
                <w:lang w:val="en-US"/>
              </w:rPr>
              <w:t>liquidity constraints, access barriers, transparency, transferability</w:t>
            </w:r>
            <w:r>
              <w:rPr>
                <w:lang w:val="en-US"/>
              </w:rPr>
              <w:t xml:space="preserve">). Clearly define the </w:t>
            </w:r>
            <w:r>
              <w:rPr>
                <w:highlight w:val="yellow"/>
                <w:lang w:val="en-US"/>
              </w:rPr>
              <w:t>target holders or users</w:t>
            </w:r>
            <w:r>
              <w:rPr>
                <w:lang w:val="en-US"/>
              </w:rPr>
              <w:t xml:space="preserve"> of the token.</w:t>
            </w:r>
            <w:r>
              <w:rPr>
                <w:rFonts w:hint="eastAsia"/>
                <w:color w:val="C00000"/>
                <w:lang w:val="en-US" w:eastAsia="zh-CN"/>
              </w:rPr>
              <w:t>more references</w:t>
            </w:r>
          </w:p>
        </w:tc>
        <w:tc>
          <w:tcPr>
            <w:tcW w:w="992" w:type="dxa"/>
          </w:tcPr>
          <w:p w14:paraId="19537B56">
            <w:r>
              <w:rPr>
                <w:rFonts w:hint="eastAsia"/>
                <w:lang w:eastAsia="zh-CN"/>
              </w:rPr>
              <w:t>15</w:t>
            </w:r>
            <w:r>
              <w:t>%</w:t>
            </w:r>
          </w:p>
          <w:p w14:paraId="2FAE7B9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360字</w:t>
            </w:r>
          </w:p>
        </w:tc>
      </w:tr>
      <w:tr w14:paraId="79DFD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" w:hRule="atLeast"/>
        </w:trPr>
        <w:tc>
          <w:tcPr>
            <w:tcW w:w="2122" w:type="dxa"/>
          </w:tcPr>
          <w:p w14:paraId="0B4B9BEA">
            <w:r>
              <w:t>Token Structure and Design</w:t>
            </w:r>
          </w:p>
        </w:tc>
        <w:tc>
          <w:tcPr>
            <w:tcW w:w="7087" w:type="dxa"/>
          </w:tcPr>
          <w:p w14:paraId="6EA908B1">
            <w:pPr>
              <w:jc w:val="both"/>
              <w:rPr>
                <w:rFonts w:hint="eastAsia"/>
                <w:lang w:val="en-US"/>
              </w:rPr>
            </w:pPr>
            <w:r>
              <w:rPr>
                <w:lang w:val="en-US"/>
              </w:rPr>
              <w:t xml:space="preserve">Justify the choice of </w:t>
            </w:r>
            <w:r>
              <w:rPr>
                <w:highlight w:val="yellow"/>
                <w:lang w:val="en-US"/>
              </w:rPr>
              <w:t>FT or NFT</w:t>
            </w:r>
            <w:r>
              <w:rPr>
                <w:lang w:val="en-US"/>
              </w:rPr>
              <w:t xml:space="preserve">. Explain </w:t>
            </w:r>
            <w:r>
              <w:rPr>
                <w:highlight w:val="yellow"/>
                <w:lang w:val="en-US"/>
              </w:rPr>
              <w:t>how rights, obligations, and incentives are embedded in the token design</w:t>
            </w:r>
            <w:r>
              <w:rPr>
                <w:lang w:val="en-US"/>
              </w:rPr>
              <w:t xml:space="preserve">. Discuss </w:t>
            </w:r>
            <w:r>
              <w:rPr>
                <w:u w:val="single"/>
                <w:lang w:val="en-US"/>
              </w:rPr>
              <w:t>transferability, divisibility, supply rules</w:t>
            </w:r>
            <w:r>
              <w:rPr>
                <w:lang w:val="en-US"/>
              </w:rPr>
              <w:t xml:space="preserve">, and whether mechanisms such as </w:t>
            </w:r>
            <w:r>
              <w:rPr>
                <w:color w:val="C00000"/>
                <w:u w:val="single"/>
                <w:lang w:val="en-US"/>
              </w:rPr>
              <w:t>burning or redemption</w:t>
            </w:r>
            <w:r>
              <w:rPr>
                <w:lang w:val="en-US"/>
              </w:rPr>
              <w:t xml:space="preserve"> are included.</w:t>
            </w:r>
          </w:p>
        </w:tc>
        <w:tc>
          <w:tcPr>
            <w:tcW w:w="992" w:type="dxa"/>
          </w:tcPr>
          <w:p w14:paraId="65BF6057">
            <w:r>
              <w:rPr>
                <w:rFonts w:hint="eastAsia"/>
                <w:lang w:eastAsia="zh-CN"/>
              </w:rPr>
              <w:t>20</w:t>
            </w:r>
            <w:r>
              <w:t>%</w:t>
            </w:r>
          </w:p>
          <w:p w14:paraId="743F096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480字</w:t>
            </w:r>
          </w:p>
        </w:tc>
      </w:tr>
      <w:tr w14:paraId="77B91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22" w:type="dxa"/>
          </w:tcPr>
          <w:p w14:paraId="1B001F91">
            <w:r>
              <w:t>Market Access and Liquidity Design</w:t>
            </w:r>
          </w:p>
        </w:tc>
        <w:tc>
          <w:tcPr>
            <w:tcW w:w="7087" w:type="dxa"/>
          </w:tcPr>
          <w:p w14:paraId="6EC7C9B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Describe how the </w:t>
            </w:r>
            <w:r>
              <w:rPr>
                <w:highlight w:val="yellow"/>
                <w:lang w:val="en-US"/>
              </w:rPr>
              <w:t xml:space="preserve">token enters the market </w:t>
            </w:r>
            <w:r>
              <w:rPr>
                <w:lang w:val="en-US"/>
              </w:rPr>
              <w:t xml:space="preserve">and </w:t>
            </w:r>
            <w:r>
              <w:rPr>
                <w:highlight w:val="yellow"/>
                <w:lang w:val="en-US"/>
              </w:rPr>
              <w:t>how liquidity is expected to emerge</w:t>
            </w:r>
            <w:r>
              <w:rPr>
                <w:lang w:val="en-US"/>
              </w:rPr>
              <w:t xml:space="preserve">. Discuss </w:t>
            </w:r>
            <w:r>
              <w:rPr>
                <w:color w:val="C00000"/>
                <w:u w:val="single"/>
                <w:lang w:val="en-US"/>
              </w:rPr>
              <w:t>primary issuance, potential secondary markets, pricing considerations, and the role of platforms</w:t>
            </w:r>
            <w:r>
              <w:rPr>
                <w:lang w:val="en-US"/>
              </w:rPr>
              <w:t xml:space="preserve"> or protocols in supporting trading and discovery.</w:t>
            </w:r>
          </w:p>
        </w:tc>
        <w:tc>
          <w:tcPr>
            <w:tcW w:w="992" w:type="dxa"/>
          </w:tcPr>
          <w:p w14:paraId="0192CC6D">
            <w:r>
              <w:rPr>
                <w:rFonts w:hint="eastAsia"/>
                <w:lang w:eastAsia="zh-CN"/>
              </w:rPr>
              <w:t>2</w:t>
            </w:r>
            <w:r>
              <w:t>0%</w:t>
            </w:r>
          </w:p>
          <w:p w14:paraId="1D33F7C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480字</w:t>
            </w:r>
          </w:p>
        </w:tc>
      </w:tr>
      <w:tr w14:paraId="70B9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2122" w:type="dxa"/>
          </w:tcPr>
          <w:p w14:paraId="136BAB9D">
            <w:r>
              <w:t>Risk Analysis and Limitations</w:t>
            </w:r>
          </w:p>
        </w:tc>
        <w:tc>
          <w:tcPr>
            <w:tcW w:w="7087" w:type="dxa"/>
          </w:tcPr>
          <w:p w14:paraId="24A370E4">
            <w:pPr>
              <w:tabs>
                <w:tab w:val="left" w:pos="1440"/>
              </w:tabs>
              <w:jc w:val="both"/>
              <w:rPr>
                <w:rFonts w:hint="eastAsia"/>
                <w:lang w:val="en-US"/>
              </w:rPr>
            </w:pPr>
            <w:r>
              <w:rPr>
                <w:lang w:val="en-US"/>
              </w:rPr>
              <w:t xml:space="preserve">Critically analyse the risks associated with the proposed design, including </w:t>
            </w:r>
            <w:r>
              <w:rPr>
                <w:highlight w:val="yellow"/>
                <w:lang w:val="en-US"/>
              </w:rPr>
              <w:t>technical risks</w:t>
            </w:r>
            <w:r>
              <w:rPr>
                <w:lang w:val="en-US"/>
              </w:rPr>
              <w:t xml:space="preserve"> (e.g. smart contract vulnerabilities), </w:t>
            </w:r>
            <w:r>
              <w:rPr>
                <w:highlight w:val="yellow"/>
                <w:lang w:val="en-US"/>
              </w:rPr>
              <w:t>market risks</w:t>
            </w:r>
            <w:r>
              <w:rPr>
                <w:lang w:val="en-US"/>
              </w:rPr>
              <w:t xml:space="preserve"> (e.g. liquidity, volatility), and </w:t>
            </w:r>
            <w:r>
              <w:rPr>
                <w:highlight w:val="yellow"/>
                <w:lang w:val="en-US"/>
              </w:rPr>
              <w:t>conceptual or structural limitations</w:t>
            </w:r>
            <w:r>
              <w:rPr>
                <w:lang w:val="en-US"/>
              </w:rPr>
              <w:t xml:space="preserve">. </w:t>
            </w:r>
            <w:r>
              <w:rPr>
                <w:highlight w:val="yellow"/>
                <w:lang w:val="en-US"/>
              </w:rPr>
              <w:t>This section is essential for achieving higher marks.</w:t>
            </w:r>
          </w:p>
        </w:tc>
        <w:tc>
          <w:tcPr>
            <w:tcW w:w="992" w:type="dxa"/>
          </w:tcPr>
          <w:p w14:paraId="2D2E9FEA">
            <w:r>
              <w:rPr>
                <w:rFonts w:hint="eastAsia"/>
                <w:lang w:eastAsia="zh-CN"/>
              </w:rPr>
              <w:t>20</w:t>
            </w:r>
            <w:r>
              <w:t>%</w:t>
            </w:r>
          </w:p>
          <w:p w14:paraId="1F7ECF1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480字</w:t>
            </w:r>
          </w:p>
        </w:tc>
      </w:tr>
      <w:tr w14:paraId="35035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2122" w:type="dxa"/>
          </w:tcPr>
          <w:p w14:paraId="6E303428">
            <w:pPr>
              <w:rPr>
                <w:lang w:eastAsia="zh-CN"/>
              </w:rPr>
            </w:pPr>
            <w:r>
              <w:rPr>
                <w:lang w:eastAsia="zh-CN"/>
              </w:rPr>
              <w:t>Role of DeFi and Blockchain Infrastructure</w:t>
            </w:r>
          </w:p>
        </w:tc>
        <w:tc>
          <w:tcPr>
            <w:tcW w:w="7087" w:type="dxa"/>
          </w:tcPr>
          <w:p w14:paraId="4A4DDD1D">
            <w:pPr>
              <w:jc w:val="both"/>
              <w:rPr>
                <w:rFonts w:hint="eastAsia"/>
                <w:lang w:val="en-US"/>
              </w:rPr>
            </w:pPr>
            <w:r>
              <w:rPr>
                <w:lang w:val="en-US"/>
              </w:rPr>
              <w:t xml:space="preserve">Explain how </w:t>
            </w:r>
            <w:r>
              <w:rPr>
                <w:highlight w:val="yellow"/>
                <w:lang w:val="en-US"/>
              </w:rPr>
              <w:t>decentralised finance mechanisms</w:t>
            </w:r>
            <w:r>
              <w:rPr>
                <w:lang w:val="en-US"/>
              </w:rPr>
              <w:t xml:space="preserve"> (e.g. smart contracts, on-chain settlement, decentralised exchanges, lending protocols) </w:t>
            </w:r>
            <w:r>
              <w:rPr>
                <w:highlight w:val="yellow"/>
                <w:lang w:val="en-US"/>
              </w:rPr>
              <w:t>support or enhance</w:t>
            </w:r>
            <w:r>
              <w:rPr>
                <w:lang w:val="en-US"/>
              </w:rPr>
              <w:t xml:space="preserve"> the proposed tokenisation scheme.</w:t>
            </w:r>
          </w:p>
        </w:tc>
        <w:tc>
          <w:tcPr>
            <w:tcW w:w="992" w:type="dxa"/>
          </w:tcPr>
          <w:p w14:paraId="282881A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10%</w:t>
            </w:r>
          </w:p>
          <w:p w14:paraId="45E78F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240字</w:t>
            </w:r>
            <w:bookmarkStart w:id="3" w:name="_GoBack"/>
            <w:bookmarkEnd w:id="3"/>
          </w:p>
        </w:tc>
      </w:tr>
    </w:tbl>
    <w:p w14:paraId="1B47126D">
      <w:pPr>
        <w:rPr>
          <w:rFonts w:hint="eastAsia" w:eastAsia="宋体"/>
          <w:color w:val="C00000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在markdown文件中使用codex</w:t>
      </w:r>
    </w:p>
    <w:p w14:paraId="773955FD">
      <w:pPr>
        <w:rPr>
          <w:rFonts w:hint="eastAsia" w:eastAsia="宋体"/>
          <w:color w:val="C00000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报告最后无需附录代码，但需要包含github link（放report开头）</w:t>
      </w:r>
    </w:p>
    <w:p w14:paraId="76110B9D">
      <w:pPr>
        <w:rPr>
          <w:rFonts w:hint="default" w:eastAsia="宋体"/>
          <w:color w:val="C00000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 xml:space="preserve">Citation: </w:t>
      </w:r>
    </w:p>
    <w:p w14:paraId="52B4D17E">
      <w:pPr>
        <w:rPr>
          <w:lang w:eastAsia="zh-CN"/>
        </w:rPr>
      </w:pPr>
      <w:r>
        <w:rPr>
          <w:lang w:eastAsia="zh-CN"/>
        </w:rPr>
        <w:t>To achieve high marks, students should demonstrate:</w:t>
      </w:r>
    </w:p>
    <w:p w14:paraId="7DD5A097">
      <w:pPr>
        <w:numPr>
          <w:ilvl w:val="0"/>
          <w:numId w:val="4"/>
        </w:numPr>
        <w:rPr>
          <w:lang w:eastAsia="zh-CN"/>
        </w:rPr>
      </w:pPr>
      <w:r>
        <w:rPr>
          <w:highlight w:val="yellow"/>
          <w:lang w:eastAsia="zh-CN"/>
        </w:rPr>
        <w:t xml:space="preserve">Clear </w:t>
      </w:r>
      <w:r>
        <w:rPr>
          <w:highlight w:val="yellow"/>
          <w:lang w:eastAsia="zh-CN"/>
        </w:rPr>
        <w:t>economic reasoning</w:t>
      </w:r>
      <w:r>
        <w:rPr>
          <w:lang w:eastAsia="zh-CN"/>
        </w:rPr>
        <w:t xml:space="preserve"> behind asset selection and token design</w:t>
      </w:r>
    </w:p>
    <w:p w14:paraId="077ECE8C">
      <w:pPr>
        <w:numPr>
          <w:ilvl w:val="0"/>
          <w:numId w:val="4"/>
        </w:numPr>
        <w:rPr>
          <w:lang w:eastAsia="zh-CN"/>
        </w:rPr>
      </w:pPr>
      <w:r>
        <w:rPr>
          <w:highlight w:val="yellow"/>
          <w:lang w:eastAsia="zh-CN"/>
        </w:rPr>
        <w:t>Logical connections</w:t>
      </w:r>
      <w:r>
        <w:rPr>
          <w:lang w:eastAsia="zh-CN"/>
        </w:rPr>
        <w:t xml:space="preserve"> between blockchain technology and financial outcomes</w:t>
      </w:r>
    </w:p>
    <w:p w14:paraId="26C696EB">
      <w:pPr>
        <w:numPr>
          <w:ilvl w:val="0"/>
          <w:numId w:val="4"/>
        </w:numPr>
        <w:rPr>
          <w:lang w:eastAsia="zh-CN"/>
        </w:rPr>
      </w:pPr>
      <w:r>
        <w:rPr>
          <w:highlight w:val="yellow"/>
          <w:lang w:eastAsia="zh-CN"/>
        </w:rPr>
        <w:t>Critical reflection</w:t>
      </w:r>
      <w:r>
        <w:rPr>
          <w:lang w:eastAsia="zh-CN"/>
        </w:rPr>
        <w:t xml:space="preserve"> on design trade-offs and limitations</w:t>
      </w:r>
    </w:p>
    <w:p w14:paraId="2B9888D8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Use of </w:t>
      </w:r>
      <w:r>
        <w:rPr>
          <w:highlight w:val="yellow"/>
          <w:lang w:eastAsia="zh-CN"/>
        </w:rPr>
        <w:t>diagrams, simplified transaction flows, or conceptual models</w:t>
      </w:r>
      <w:r>
        <w:rPr>
          <w:lang w:eastAsia="zh-CN"/>
        </w:rPr>
        <w:t xml:space="preserve"> where appropriate</w:t>
      </w:r>
    </w:p>
    <w:p w14:paraId="7C40B390"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highlight w:val="yellow"/>
          <w:lang w:eastAsia="zh-CN"/>
        </w:rPr>
        <w:t>Independent thinking</w:t>
      </w:r>
      <w:r>
        <w:rPr>
          <w:lang w:eastAsia="zh-CN"/>
        </w:rPr>
        <w:t xml:space="preserve"> rather than replication of existing NFT or token projects</w:t>
      </w:r>
    </w:p>
    <w:p w14:paraId="5935966B">
      <w:pPr>
        <w:rPr>
          <w:lang w:eastAsia="zh-CN"/>
        </w:rPr>
      </w:pPr>
      <w:r>
        <w:rPr>
          <w:lang w:eastAsia="zh-CN"/>
        </w:rPr>
        <w:t>This assignment is designed to assess financial design and analytical capability, not creative aesthetics or technical complexity alone.</w:t>
      </w:r>
    </w:p>
    <w:p w14:paraId="19C20565">
      <w:pPr>
        <w:rPr>
          <w:lang w:eastAsia="zh-CN"/>
        </w:rPr>
      </w:pPr>
    </w:p>
    <w:p w14:paraId="50A2BB65">
      <w:pPr>
        <w:rPr>
          <w:b/>
          <w:bCs/>
          <w:lang w:eastAsia="zh-CN"/>
        </w:rPr>
      </w:pPr>
      <w:r>
        <w:rPr>
          <w:b/>
          <w:bCs/>
          <w:lang w:eastAsia="zh-CN"/>
        </w:rPr>
        <w:t>Important Notes</w:t>
      </w:r>
    </w:p>
    <w:p w14:paraId="0902095A">
      <w:pPr>
        <w:numPr>
          <w:ilvl w:val="0"/>
          <w:numId w:val="5"/>
        </w:numPr>
        <w:rPr>
          <w:rFonts w:hint="eastAsia"/>
          <w:highlight w:val="yellow"/>
          <w:lang w:eastAsia="zh-CN"/>
        </w:rPr>
      </w:pPr>
      <w:r>
        <w:rPr>
          <w:lang w:eastAsia="zh-CN"/>
        </w:rPr>
        <w:t xml:space="preserve">Students are not required to include full code listings in the appendix. Instead, they should provide a </w:t>
      </w:r>
      <w:r>
        <w:rPr>
          <w:b/>
          <w:bCs/>
          <w:lang w:eastAsia="zh-CN"/>
        </w:rPr>
        <w:t>GitHub link</w:t>
      </w:r>
      <w:r>
        <w:rPr>
          <w:lang w:eastAsia="zh-CN"/>
        </w:rPr>
        <w:t xml:space="preserve"> or screenshots demonstrating the implementation. A valid </w:t>
      </w:r>
      <w:r>
        <w:rPr>
          <w:b/>
          <w:bCs/>
          <w:highlight w:val="yellow"/>
          <w:lang w:eastAsia="zh-CN"/>
        </w:rPr>
        <w:t>smart contract address (CA)</w:t>
      </w:r>
      <w:r>
        <w:rPr>
          <w:highlight w:val="yellow"/>
          <w:lang w:eastAsia="zh-CN"/>
        </w:rPr>
        <w:t xml:space="preserve"> on a test network is </w:t>
      </w:r>
      <w:r>
        <w:rPr>
          <w:b/>
          <w:bCs/>
          <w:highlight w:val="yellow"/>
          <w:lang w:eastAsia="zh-CN"/>
        </w:rPr>
        <w:t>required</w:t>
      </w:r>
      <w:r>
        <w:rPr>
          <w:highlight w:val="yellow"/>
          <w:lang w:eastAsia="zh-CN"/>
        </w:rPr>
        <w:t xml:space="preserve"> and must be included in the report.</w:t>
      </w:r>
    </w:p>
    <w:p w14:paraId="13E0D995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The report must not exceed </w:t>
      </w:r>
      <w:r>
        <w:rPr>
          <w:b/>
          <w:bCs/>
          <w:highlight w:val="yellow"/>
          <w:lang w:eastAsia="zh-CN"/>
        </w:rPr>
        <w:t>2,400 words</w:t>
      </w:r>
      <w:r>
        <w:rPr>
          <w:highlight w:val="yellow"/>
          <w:lang w:eastAsia="zh-CN"/>
        </w:rPr>
        <w:t xml:space="preserve">. </w:t>
      </w:r>
      <w:r>
        <w:rPr>
          <w:lang w:eastAsia="zh-CN"/>
        </w:rPr>
        <w:t>The allocation of words across sections should broadly reflect the weighting of each section.</w:t>
      </w:r>
    </w:p>
    <w:p w14:paraId="3407E4FF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The coursework must follow standard academic formatting and citation practices.</w:t>
      </w:r>
    </w:p>
    <w:p w14:paraId="2DE8E97F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This is an </w:t>
      </w:r>
      <w:r>
        <w:rPr>
          <w:b/>
          <w:bCs/>
          <w:lang w:eastAsia="zh-CN"/>
        </w:rPr>
        <w:t>individual assignment</w:t>
      </w:r>
      <w:r>
        <w:rPr>
          <w:lang w:eastAsia="zh-CN"/>
        </w:rPr>
        <w:t>; collaboration is not permitted.</w:t>
      </w:r>
    </w:p>
    <w:p w14:paraId="32C173C2">
      <w:pPr>
        <w:numPr>
          <w:ilvl w:val="0"/>
          <w:numId w:val="5"/>
        </w:numPr>
        <w:rPr>
          <w:rFonts w:hint="eastAsia" w:cs="Arial"/>
          <w:color w:val="000000"/>
          <w:highlight w:val="yellow"/>
          <w:lang w:eastAsia="zh-CN"/>
        </w:rPr>
      </w:pPr>
      <w:r>
        <w:rPr>
          <w:b/>
          <w:bCs/>
          <w:highlight w:val="yellow"/>
          <w:lang w:eastAsia="zh-CN"/>
        </w:rPr>
        <w:t>Submission deadline:</w:t>
      </w:r>
      <w:r>
        <w:rPr>
          <w:highlight w:val="yellow"/>
          <w:lang w:eastAsia="zh-CN"/>
        </w:rPr>
        <w:t xml:space="preserve"> </w:t>
      </w:r>
      <w:r>
        <w:rPr>
          <w:b/>
          <w:bCs/>
          <w:highlight w:val="yellow"/>
          <w:lang w:eastAsia="zh-CN"/>
        </w:rPr>
        <w:t>10 April</w:t>
      </w:r>
      <w:r>
        <w:rPr>
          <w:rFonts w:hint="eastAsia"/>
          <w:b/>
          <w:bCs/>
          <w:highlight w:val="yellow"/>
          <w:lang w:eastAsia="zh-CN"/>
        </w:rPr>
        <w:t xml:space="preserve"> 2026</w:t>
      </w:r>
      <w:r>
        <w:rPr>
          <w:b/>
          <w:bCs/>
          <w:highlight w:val="yellow"/>
          <w:lang w:eastAsia="zh-CN"/>
        </w:rPr>
        <w:t>, 5:00 pm</w:t>
      </w:r>
      <w:r>
        <w:rPr>
          <w:highlight w:val="yellow"/>
          <w:lang w:eastAsia="zh-CN"/>
        </w:rPr>
        <w:t>.</w:t>
      </w:r>
    </w:p>
    <w:sectPr>
      <w:pgSz w:w="11900" w:h="16840"/>
      <w:pgMar w:top="567" w:right="851" w:bottom="851" w:left="851" w:header="0" w:footer="709" w:gutter="0"/>
      <w:cols w:space="708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Mincho">
    <w:altName w:val="Yu Gothic UI Semilight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A418C2"/>
    <w:multiLevelType w:val="multilevel"/>
    <w:tmpl w:val="0CA41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EC112D2"/>
    <w:multiLevelType w:val="multilevel"/>
    <w:tmpl w:val="1EC112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56722CE"/>
    <w:multiLevelType w:val="multilevel"/>
    <w:tmpl w:val="25672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55213F2"/>
    <w:multiLevelType w:val="multilevel"/>
    <w:tmpl w:val="455213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C777F0E"/>
    <w:multiLevelType w:val="multilevel"/>
    <w:tmpl w:val="5C777F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825"/>
    <w:rsid w:val="00036933"/>
    <w:rsid w:val="00050D07"/>
    <w:rsid w:val="0006154D"/>
    <w:rsid w:val="00063145"/>
    <w:rsid w:val="00066EF4"/>
    <w:rsid w:val="000672F0"/>
    <w:rsid w:val="00075411"/>
    <w:rsid w:val="000C3016"/>
    <w:rsid w:val="000D43EF"/>
    <w:rsid w:val="00114651"/>
    <w:rsid w:val="00196D40"/>
    <w:rsid w:val="001C0F3C"/>
    <w:rsid w:val="001C6F7F"/>
    <w:rsid w:val="001E7E68"/>
    <w:rsid w:val="00206AA5"/>
    <w:rsid w:val="00210400"/>
    <w:rsid w:val="002264B1"/>
    <w:rsid w:val="00230236"/>
    <w:rsid w:val="00244DCB"/>
    <w:rsid w:val="00254ABB"/>
    <w:rsid w:val="00273183"/>
    <w:rsid w:val="00285C1E"/>
    <w:rsid w:val="002A6CCB"/>
    <w:rsid w:val="002B7B2B"/>
    <w:rsid w:val="002C7BAD"/>
    <w:rsid w:val="002E3053"/>
    <w:rsid w:val="002E622E"/>
    <w:rsid w:val="002F0B88"/>
    <w:rsid w:val="002F1A97"/>
    <w:rsid w:val="002F45A7"/>
    <w:rsid w:val="00301AC4"/>
    <w:rsid w:val="0030526D"/>
    <w:rsid w:val="003133BC"/>
    <w:rsid w:val="00374BBF"/>
    <w:rsid w:val="00391E99"/>
    <w:rsid w:val="00392CA6"/>
    <w:rsid w:val="003B6863"/>
    <w:rsid w:val="003F4746"/>
    <w:rsid w:val="00434283"/>
    <w:rsid w:val="00434D7C"/>
    <w:rsid w:val="0043749A"/>
    <w:rsid w:val="004374AC"/>
    <w:rsid w:val="00445489"/>
    <w:rsid w:val="004565F7"/>
    <w:rsid w:val="00462EB0"/>
    <w:rsid w:val="0047231A"/>
    <w:rsid w:val="004724E6"/>
    <w:rsid w:val="0047522E"/>
    <w:rsid w:val="004C4F8F"/>
    <w:rsid w:val="004C72B3"/>
    <w:rsid w:val="00535775"/>
    <w:rsid w:val="00556C99"/>
    <w:rsid w:val="00576F23"/>
    <w:rsid w:val="0058747B"/>
    <w:rsid w:val="005B231E"/>
    <w:rsid w:val="005E7483"/>
    <w:rsid w:val="00631F22"/>
    <w:rsid w:val="00636D56"/>
    <w:rsid w:val="00643821"/>
    <w:rsid w:val="006459D2"/>
    <w:rsid w:val="00655D0B"/>
    <w:rsid w:val="0067143D"/>
    <w:rsid w:val="006A4B03"/>
    <w:rsid w:val="006A4B3B"/>
    <w:rsid w:val="006B6EE8"/>
    <w:rsid w:val="00726177"/>
    <w:rsid w:val="00743E0C"/>
    <w:rsid w:val="007468D9"/>
    <w:rsid w:val="0078149C"/>
    <w:rsid w:val="00787F36"/>
    <w:rsid w:val="007B1DFB"/>
    <w:rsid w:val="007C529A"/>
    <w:rsid w:val="007F4C10"/>
    <w:rsid w:val="00816424"/>
    <w:rsid w:val="0083449E"/>
    <w:rsid w:val="0086555B"/>
    <w:rsid w:val="00866896"/>
    <w:rsid w:val="00877E07"/>
    <w:rsid w:val="00883628"/>
    <w:rsid w:val="00895BBD"/>
    <w:rsid w:val="008B2868"/>
    <w:rsid w:val="008B3775"/>
    <w:rsid w:val="00936F20"/>
    <w:rsid w:val="0094351C"/>
    <w:rsid w:val="00947764"/>
    <w:rsid w:val="00947A53"/>
    <w:rsid w:val="00952BEB"/>
    <w:rsid w:val="009577D8"/>
    <w:rsid w:val="00982774"/>
    <w:rsid w:val="009A16E8"/>
    <w:rsid w:val="009B0A0F"/>
    <w:rsid w:val="009B3FB1"/>
    <w:rsid w:val="009C195E"/>
    <w:rsid w:val="009C3E01"/>
    <w:rsid w:val="009D6CD9"/>
    <w:rsid w:val="009D7DF5"/>
    <w:rsid w:val="009F3208"/>
    <w:rsid w:val="009F5D63"/>
    <w:rsid w:val="00A06A17"/>
    <w:rsid w:val="00A16DFB"/>
    <w:rsid w:val="00A237BA"/>
    <w:rsid w:val="00A35B31"/>
    <w:rsid w:val="00A71792"/>
    <w:rsid w:val="00A74481"/>
    <w:rsid w:val="00A8407A"/>
    <w:rsid w:val="00A84928"/>
    <w:rsid w:val="00AA3A88"/>
    <w:rsid w:val="00AA5EF0"/>
    <w:rsid w:val="00AB108F"/>
    <w:rsid w:val="00B03107"/>
    <w:rsid w:val="00B430B8"/>
    <w:rsid w:val="00B55F04"/>
    <w:rsid w:val="00B5623D"/>
    <w:rsid w:val="00B82114"/>
    <w:rsid w:val="00B943C2"/>
    <w:rsid w:val="00B963BB"/>
    <w:rsid w:val="00B97164"/>
    <w:rsid w:val="00BB080B"/>
    <w:rsid w:val="00C16F8A"/>
    <w:rsid w:val="00C51722"/>
    <w:rsid w:val="00C561AA"/>
    <w:rsid w:val="00C7082D"/>
    <w:rsid w:val="00C75C47"/>
    <w:rsid w:val="00CD1FE7"/>
    <w:rsid w:val="00CE35AB"/>
    <w:rsid w:val="00D1020A"/>
    <w:rsid w:val="00D10C9E"/>
    <w:rsid w:val="00D777CA"/>
    <w:rsid w:val="00D863F9"/>
    <w:rsid w:val="00D90D88"/>
    <w:rsid w:val="00DC6B38"/>
    <w:rsid w:val="00E03AC0"/>
    <w:rsid w:val="00E07A51"/>
    <w:rsid w:val="00E2673D"/>
    <w:rsid w:val="00E4122D"/>
    <w:rsid w:val="00E80DCE"/>
    <w:rsid w:val="00E93A5D"/>
    <w:rsid w:val="00ED3ACB"/>
    <w:rsid w:val="00EF2F5E"/>
    <w:rsid w:val="00F05FA2"/>
    <w:rsid w:val="00F23845"/>
    <w:rsid w:val="00F2779B"/>
    <w:rsid w:val="00F3283A"/>
    <w:rsid w:val="00F41665"/>
    <w:rsid w:val="00F44C3C"/>
    <w:rsid w:val="00F46D31"/>
    <w:rsid w:val="00F6272F"/>
    <w:rsid w:val="00F6637C"/>
    <w:rsid w:val="00F74BFD"/>
    <w:rsid w:val="00FA233B"/>
    <w:rsid w:val="00FA380D"/>
    <w:rsid w:val="00FB3472"/>
    <w:rsid w:val="00FF5825"/>
    <w:rsid w:val="01EC3E90"/>
    <w:rsid w:val="0869623A"/>
    <w:rsid w:val="0A432ABB"/>
    <w:rsid w:val="1A1F3F7C"/>
    <w:rsid w:val="1D7A7CD6"/>
    <w:rsid w:val="264E0114"/>
    <w:rsid w:val="2CDE24A4"/>
    <w:rsid w:val="359978AF"/>
    <w:rsid w:val="3E104487"/>
    <w:rsid w:val="4F9C3DCC"/>
    <w:rsid w:val="578A4E52"/>
    <w:rsid w:val="69427553"/>
    <w:rsid w:val="6D2F71F6"/>
    <w:rsid w:val="7750356B"/>
    <w:rsid w:val="7A826CDA"/>
    <w:rsid w:val="7D86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uto"/>
    </w:pPr>
    <w:rPr>
      <w:rFonts w:ascii="Arial" w:hAnsi="Arial" w:cs="Times New Roman" w:eastAsiaTheme="minorEastAsia"/>
      <w:sz w:val="24"/>
      <w:szCs w:val="24"/>
      <w:lang w:val="en-GB" w:eastAsia="ja-JP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pBdr>
        <w:top w:val="single" w:color="auto" w:sz="4" w:space="1"/>
      </w:pBd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3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3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8"/>
    <w:qFormat/>
    <w:uiPriority w:val="11"/>
    <w:pPr>
      <w:spacing w:after="160"/>
    </w:pPr>
    <w:rPr>
      <w:rFonts w:cstheme="minorBidi"/>
      <w:color w:val="000000" w:themeColor="text1"/>
      <w:spacing w:val="15"/>
      <w:sz w:val="22"/>
      <w:szCs w:val="22"/>
      <w14:textFill>
        <w14:solidFill>
          <w14:schemeClr w14:val="tx1"/>
        </w14:solidFill>
      </w14:textFill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/>
      <w:lang w:eastAsia="en-GB"/>
    </w:rPr>
  </w:style>
  <w:style w:type="paragraph" w:styleId="9">
    <w:name w:val="Title"/>
    <w:basedOn w:val="1"/>
    <w:next w:val="1"/>
    <w:link w:val="17"/>
    <w:qFormat/>
    <w:uiPriority w:val="10"/>
    <w:pPr>
      <w:spacing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table" w:styleId="11">
    <w:name w:val="Table Grid"/>
    <w:basedOn w:val="1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5">
    <w:name w:val="strapline"/>
    <w:basedOn w:val="1"/>
    <w:qFormat/>
    <w:uiPriority w:val="0"/>
    <w:pPr>
      <w:spacing w:after="0" w:line="230" w:lineRule="exact"/>
    </w:pPr>
    <w:rPr>
      <w:rFonts w:cs="Arial"/>
      <w:b/>
      <w:color w:val="FFFFFF" w:themeColor="background1"/>
      <w:sz w:val="20"/>
      <w:szCs w:val="20"/>
      <w14:textFill>
        <w14:solidFill>
          <w14:schemeClr w14:val="bg1"/>
        </w14:solidFill>
      </w14:textFill>
    </w:rPr>
  </w:style>
  <w:style w:type="character" w:customStyle="1" w:styleId="16">
    <w:name w:val="Heading 1 Char"/>
    <w:basedOn w:val="12"/>
    <w:link w:val="2"/>
    <w:qFormat/>
    <w:uiPriority w:val="9"/>
    <w:rPr>
      <w:rFonts w:ascii="Arial" w:hAnsi="Arial" w:eastAsiaTheme="majorEastAsia" w:cstheme="majorBidi"/>
      <w:b/>
      <w:color w:val="000000" w:themeColor="text1"/>
      <w:sz w:val="32"/>
      <w:szCs w:val="32"/>
      <w:lang w:eastAsia="ja-JP"/>
      <w14:textFill>
        <w14:solidFill>
          <w14:schemeClr w14:val="tx1"/>
        </w14:solidFill>
      </w14:textFill>
    </w:rPr>
  </w:style>
  <w:style w:type="character" w:customStyle="1" w:styleId="17">
    <w:name w:val="Title Char"/>
    <w:basedOn w:val="12"/>
    <w:link w:val="9"/>
    <w:qFormat/>
    <w:uiPriority w:val="10"/>
    <w:rPr>
      <w:rFonts w:ascii="Arial" w:hAnsi="Arial" w:eastAsiaTheme="majorEastAsia" w:cstheme="majorBidi"/>
      <w:spacing w:val="-10"/>
      <w:kern w:val="28"/>
      <w:sz w:val="56"/>
      <w:szCs w:val="56"/>
      <w:lang w:eastAsia="ja-JP"/>
    </w:rPr>
  </w:style>
  <w:style w:type="character" w:customStyle="1" w:styleId="18">
    <w:name w:val="Subtitle Char"/>
    <w:basedOn w:val="12"/>
    <w:link w:val="7"/>
    <w:qFormat/>
    <w:uiPriority w:val="11"/>
    <w:rPr>
      <w:rFonts w:ascii="Arial" w:hAnsi="Arial" w:eastAsiaTheme="minorEastAsia"/>
      <w:color w:val="000000" w:themeColor="text1"/>
      <w:spacing w:val="15"/>
      <w:lang w:eastAsia="ja-JP"/>
      <w14:textFill>
        <w14:solidFill>
          <w14:schemeClr w14:val="tx1"/>
        </w14:solidFill>
      </w14:textFill>
    </w:rPr>
  </w:style>
  <w:style w:type="character" w:customStyle="1" w:styleId="19">
    <w:name w:val="Subtle Emphasis"/>
    <w:basedOn w:val="12"/>
    <w:qFormat/>
    <w:uiPriority w:val="19"/>
    <w:rPr>
      <w:rFonts w:ascii="Arial" w:hAnsi="Arial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0">
    <w:name w:val="Quote"/>
    <w:basedOn w:val="1"/>
    <w:next w:val="1"/>
    <w:link w:val="21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1">
    <w:name w:val="Quote Char"/>
    <w:basedOn w:val="12"/>
    <w:link w:val="20"/>
    <w:uiPriority w:val="29"/>
    <w:rPr>
      <w:rFonts w:ascii="Arial" w:hAnsi="Arial" w:cs="Times New Roman" w:eastAsiaTheme="minorEastAsia"/>
      <w:i/>
      <w:iCs/>
      <w:color w:val="404040" w:themeColor="text1" w:themeTint="BF"/>
      <w:sz w:val="24"/>
      <w:szCs w:val="24"/>
      <w:lang w:eastAsia="ja-JP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2">
    <w:name w:val="Heading 2 Char"/>
    <w:basedOn w:val="12"/>
    <w:link w:val="3"/>
    <w:qFormat/>
    <w:uiPriority w:val="9"/>
    <w:rPr>
      <w:rFonts w:ascii="Arial" w:hAnsi="Arial" w:eastAsiaTheme="majorEastAsia" w:cstheme="majorBidi"/>
      <w:b/>
      <w:color w:val="404040" w:themeColor="text1" w:themeTint="BF"/>
      <w:sz w:val="26"/>
      <w:szCs w:val="26"/>
      <w:lang w:eastAsia="ja-JP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3">
    <w:name w:val="Intense Emphasis"/>
    <w:basedOn w:val="12"/>
    <w:qFormat/>
    <w:uiPriority w:val="21"/>
    <w:rPr>
      <w:b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4">
    <w:name w:val="Subtle Reference"/>
    <w:basedOn w:val="12"/>
    <w:qFormat/>
    <w:uiPriority w:val="31"/>
    <w:rPr>
      <w:rFonts w:ascii="Arial" w:hAnsi="Arial"/>
      <w:color w:val="595959" w:themeColor="text1" w:themeTint="A6"/>
      <w:vertAlign w:val="baseline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Intense Reference"/>
    <w:basedOn w:val="12"/>
    <w:qFormat/>
    <w:uiPriority w:val="32"/>
    <w:rPr>
      <w:rFonts w:ascii="Arial" w:hAnsi="Arial"/>
      <w:b/>
      <w:bCs/>
      <w:color w:val="000000" w:themeColor="text1"/>
      <w:spacing w:val="5"/>
      <w:vertAlign w:val="baseline"/>
      <w14:textFill>
        <w14:solidFill>
          <w14:schemeClr w14:val="tx1"/>
        </w14:solidFill>
      </w14:textFill>
    </w:rPr>
  </w:style>
  <w:style w:type="character" w:customStyle="1" w:styleId="26">
    <w:name w:val="Book Title"/>
    <w:basedOn w:val="12"/>
    <w:qFormat/>
    <w:uiPriority w:val="33"/>
    <w:rPr>
      <w:b/>
      <w:bCs/>
      <w:i/>
      <w:iCs/>
      <w:spacing w:val="5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Unresolved Mention"/>
    <w:basedOn w:val="12"/>
    <w:semiHidden/>
    <w:unhideWhenUsed/>
    <w:uiPriority w:val="99"/>
    <w:rPr>
      <w:color w:val="605E5C"/>
      <w:shd w:val="clear" w:color="auto" w:fill="E1DFDD"/>
    </w:rPr>
  </w:style>
  <w:style w:type="paragraph" w:customStyle="1" w:styleId="29">
    <w:name w:val="paragraph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/>
    </w:rPr>
  </w:style>
  <w:style w:type="character" w:customStyle="1" w:styleId="30">
    <w:name w:val="normaltextrun"/>
    <w:basedOn w:val="12"/>
    <w:uiPriority w:val="0"/>
  </w:style>
  <w:style w:type="character" w:customStyle="1" w:styleId="31">
    <w:name w:val="eop"/>
    <w:basedOn w:val="12"/>
    <w:qFormat/>
    <w:uiPriority w:val="0"/>
  </w:style>
  <w:style w:type="character" w:customStyle="1" w:styleId="32">
    <w:name w:val="Header Char"/>
    <w:basedOn w:val="12"/>
    <w:link w:val="6"/>
    <w:uiPriority w:val="99"/>
    <w:rPr>
      <w:rFonts w:ascii="Arial" w:hAnsi="Arial" w:cs="Times New Roman"/>
      <w:sz w:val="18"/>
      <w:szCs w:val="18"/>
      <w:lang w:eastAsia="ja-JP"/>
    </w:rPr>
  </w:style>
  <w:style w:type="character" w:customStyle="1" w:styleId="33">
    <w:name w:val="Footer Char"/>
    <w:basedOn w:val="12"/>
    <w:link w:val="5"/>
    <w:qFormat/>
    <w:uiPriority w:val="99"/>
    <w:rPr>
      <w:rFonts w:ascii="Arial" w:hAnsi="Arial" w:cs="Times New Roman"/>
      <w:sz w:val="18"/>
      <w:szCs w:val="18"/>
      <w:lang w:eastAsia="ja-JP"/>
    </w:rPr>
  </w:style>
  <w:style w:type="character" w:customStyle="1" w:styleId="34">
    <w:name w:val="Heading 3 Char"/>
    <w:basedOn w:val="12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eastAsia="ja-JP"/>
    </w:rPr>
  </w:style>
  <w:style w:type="character" w:customStyle="1" w:styleId="35">
    <w:name w:val="s1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382</Words>
  <Characters>2248</Characters>
  <Lines>114</Lines>
  <Paragraphs>54</Paragraphs>
  <TotalTime>2503</TotalTime>
  <ScaleCrop>false</ScaleCrop>
  <LinksUpToDate>false</LinksUpToDate>
  <CharactersWithSpaces>2601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2023-09-08T08:53:00Z</dcterms:created>
  <dc:creator>UCL VPEE </dc:creator>
  <cp:lastModifiedBy>萍</cp:lastModifiedBy>
  <dcterms:modified xsi:type="dcterms:W3CDTF">2026-03-30T20:34:14Z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eyJoZGlkIjoiZjJiYzRjZDg4ODIxMmZkMzVjYzYxNzIzMDEwYjJjY2IiLCJ1c2VySWQiOiIxMzA4NTAyNjEzIn0=</vt:lpwstr>
  </property>
  <property fmtid="{D5CDD505-2E9C-101B-9397-08002B2CF9AE}" pid="3" name="KSOProductBuildVer">
    <vt:lpwstr>2052-12.1.0.25225</vt:lpwstr>
  </property>
  <property fmtid="{D5CDD505-2E9C-101B-9397-08002B2CF9AE}" pid="4" name="ICV">
    <vt:lpwstr>3DA79C5F95E44F37AAE3E3EA31C6A519_12</vt:lpwstr>
  </property>
</Properties>
</file>