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732D6E">
      <w:pPr>
        <w:jc w:val="left"/>
        <w:rPr>
          <w:rFonts w:hint="eastAsia"/>
        </w:rPr>
      </w:pPr>
      <w:r>
        <w:rPr>
          <w:rFonts w:hint="eastAsia"/>
        </w:rPr>
        <w:t>序論</w:t>
      </w:r>
    </w:p>
    <w:p w:rsidR="008F417D" w:rsidRDefault="00E60BF2" w:rsidP="008F417D">
      <w:pPr>
        <w:jc w:val="left"/>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w:t>
      </w:r>
      <w:r w:rsidR="00D436B4">
        <w:rPr>
          <w:rFonts w:hint="eastAsia"/>
        </w:rPr>
        <w:t xml:space="preserve">　一八一一</w:t>
      </w:r>
      <w:r w:rsidR="00450E40">
        <w:t>-</w:t>
      </w:r>
      <w:r w:rsidR="00D436B4">
        <w:rPr>
          <w:rFonts w:hint="eastAsia"/>
        </w:rPr>
        <w:t>一八六四</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580707">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r w:rsidR="00580707">
        <w:rPr>
          <w:rFonts w:hint="eastAsia"/>
        </w:rPr>
        <w:t>（勝海舟『氷川清話』講談社学術文庫、二〇〇〇年）</w:t>
      </w:r>
    </w:p>
    <w:p w:rsidR="00D0627D" w:rsidRDefault="006D08E4" w:rsidP="00732D6E">
      <w:pPr>
        <w:ind w:firstLineChars="100" w:firstLine="210"/>
        <w:jc w:val="left"/>
        <w:rPr>
          <w:rFonts w:hint="eastAsia"/>
        </w:rPr>
      </w:pPr>
      <w:r>
        <w:rPr>
          <w:rFonts w:hint="eastAsia"/>
        </w:rPr>
        <w:t>勝海舟による人物評が手厳しいことを差し引いても、象山が大言壮語の人物であったことは間違いない。『</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D02EA3" w:rsidRDefault="00D02EA3" w:rsidP="00D0627D">
      <w:pPr>
        <w:jc w:val="left"/>
      </w:pPr>
      <w:r>
        <w:rPr>
          <w:rFonts w:hint="eastAsia"/>
        </w:rPr>
        <w:t xml:space="preserve">　</w:t>
      </w:r>
      <w:r w:rsidR="00732D6E">
        <w:rPr>
          <w:rFonts w:hint="eastAsia"/>
        </w:rPr>
        <w:t>ここまでで</w:t>
      </w:r>
      <w:r w:rsidR="006D59BD">
        <w:rPr>
          <w:rFonts w:hint="eastAsia"/>
        </w:rPr>
        <w:t>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pPr>
      <w:r>
        <w:rPr>
          <w:rFonts w:hint="eastAsia"/>
        </w:rPr>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w:t>
      </w:r>
      <w:r w:rsidR="0014663D">
        <w:rPr>
          <w:rFonts w:hint="eastAsia"/>
        </w:rPr>
        <w:lastRenderedPageBreak/>
        <w:t>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D0627D" w:rsidRDefault="00D0627D" w:rsidP="00D0627D">
      <w:pPr>
        <w:jc w:val="left"/>
      </w:pP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lastRenderedPageBreak/>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80707"/>
    <w:rsid w:val="005B0494"/>
    <w:rsid w:val="005D6FF0"/>
    <w:rsid w:val="00660C74"/>
    <w:rsid w:val="006C19B1"/>
    <w:rsid w:val="006D08E4"/>
    <w:rsid w:val="006D59BD"/>
    <w:rsid w:val="00732D6E"/>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436B4"/>
    <w:rsid w:val="00DA4431"/>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5F7E3"/>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2241</Words>
  <Characters>2241</Characters>
  <Application>Microsoft Office Word</Application>
  <DocSecurity>0</DocSecurity>
  <Lines>83</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18</cp:revision>
  <dcterms:created xsi:type="dcterms:W3CDTF">2020-10-24T05:09:00Z</dcterms:created>
  <dcterms:modified xsi:type="dcterms:W3CDTF">2020-11-01T08:07:00Z</dcterms:modified>
</cp:coreProperties>
</file>