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40" w:after="400"/>
        <w:jc w:val="center"/>
      </w:pPr>
      <w:r>
        <w:t>面向混合长短请求的 LLM 推理准入与尾延迟控制系统设计与实现</w:t>
      </w:r>
    </w:p>
    <w:p>
      <w:pPr>
        <w:pStyle w:val="Subtitle"/>
        <w:spacing w:after="480"/>
        <w:jc w:val="center"/>
      </w:pPr>
      <w:r>
        <w:t>项目开发流程计划</w:t>
      </w:r>
    </w:p>
    <w:p>
      <w:pPr>
        <w:pStyle w:val="CoverText"/>
        <w:widowControl/>
      </w:pPr>
      <w:r>
        <w:t>文档版本：V1.2　编制日期：2026 年 10 月 19 日</w:t>
      </w:r>
    </w:p>
    <w:p>
      <w:pPr>
        <w:pStyle w:val="CoverText"/>
        <w:widowControl/>
      </w:pPr>
      <w:r>
        <w:t>计划周期：2026 年 10 月 19 日至 2027 年 5 月 16 日，30 个日历周</w:t>
      </w:r>
    </w:p>
    <w:p>
      <w:pPr>
        <w:pStyle w:val="CoverText"/>
        <w:widowControl/>
      </w:pPr>
      <w:r>
        <w:t>学生投入：初始预算 250 人时（任务 230、缓冲 20），GPU 机时另计</w:t>
      </w:r>
    </w:p>
    <w:p>
      <w:pPr>
        <w:pStyle w:val="CoverText"/>
        <w:widowControl/>
      </w:pPr>
      <w:r>
        <w:t>当前状态：已核实设备与 WSL 基础工具，尚未进行 llama.cpp 实现与性能实验</w:t>
      </w:r>
    </w:p>
    <w:p>
      <w:pPr>
        <w:pStyle w:val="Heading1"/>
        <w:pageBreakBefore/>
        <w:widowControl/>
      </w:pPr>
      <w:r>
        <w:rPr>
          <w:color w:val="000000"/>
        </w:rPr>
        <w:t>一 范围与职责</w:t>
      </w:r>
    </w:p>
    <w:p>
      <w:pPr>
        <w:widowControl/>
      </w:pPr>
      <w:r>
        <w:t>本计划负责阶段任务、决策门、验收及交付。研究问题、硬软预算定义和策略比较统一见《开题报告》；请求字段与预实验步骤统一见《预实验方案：干扰复现与干预探针》。三份材料各保留一份操作或设计依据。</w:t>
      </w:r>
    </w:p>
    <w:p>
      <w:pPr>
        <w:widowControl/>
      </w:pPr>
      <w:r>
        <w:t>项目在当前笔记本的 Ubuntu 24.04 WSL2 中开展，单 GPU、单模型、两类请求。设备为 Ryzen 7 5800H、16 GiB 内存、RTX 3050 Ti Laptop 4 GiB 显存；完整配置见开题报告 §6.1。核心以 C++ 接入固定 llama.cpp，脚本用于回放与分析；R08 动态 prefill 是可删除扩展。</w:t>
      </w:r>
    </w:p>
    <w:p>
      <w:pPr>
        <w:widowControl/>
      </w:pPr>
      <w:r>
        <w:t>学生独立承担需求、设计、开发、测试和论文，导师负责阶段评审。每周记录投入、产出与阻塞，每两周整理阶段摘要；实际评审意见据实留存。</w:t>
      </w:r>
    </w:p>
    <w:p>
      <w:pPr>
        <w:pStyle w:val="Heading1"/>
        <w:widowControl/>
      </w:pPr>
      <w:r>
        <w:rPr>
          <w:color w:val="000000"/>
        </w:rPr>
        <w:t>二 进度与预算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14"/>
        <w:gridCol w:w="2891"/>
        <w:gridCol w:w="737"/>
        <w:gridCol w:w="3912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阶段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日期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人时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产出与决策门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P0 文献与可行性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2026-10-19—11-08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30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文献、设备、源码定位、E0/E1；G0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P1 需求与预注册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2026-11-09—11-29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25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需求、指标、正式矩阵与机时；G1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P2 设计与开题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2026-11-30—12-20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25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状态、容量、接口与范围；G2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P3 基线与观测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2026-12-21—2027-01-17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35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基线、事件链与小轨迹核对；G3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P4 核心策略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2027-01-18—02-28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45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校准、软准入、老化及消融；G4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P5 测试与实验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2027-03-01—03-28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40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工程验收、对照、消融与分析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数据冻结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2027-03-29—03-31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缓冲内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必要复核，数据冻结；G5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P6 论文修订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2027-04-01—04-25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25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完整稿、图表、修改与格式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P7 归档与答辩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2027-04-26—05-16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5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交付核对、已有材料上的演示；G6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跨阶段缓冲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全周期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环境、返工和必要复验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合计</w:t>
            </w:r>
          </w:p>
        </w:tc>
        <w:tc>
          <w:tcPr>
            <w:tcW w:type="dxa" w:w="2891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30 个日历周</w:t>
            </w:r>
          </w:p>
        </w:tc>
        <w:tc>
          <w:tcPr>
            <w:tcW w:type="dxa" w:w="737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250</w:t>
            </w:r>
          </w:p>
        </w:tc>
        <w:tc>
          <w:tcPr>
            <w:tcW w:type="dxa" w:w="3912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230 任务＋20 缓冲</w:t>
            </w:r>
          </w:p>
        </w:tc>
      </w:tr>
    </w:tbl>
    <w:p>
      <w:pPr>
        <w:widowControl/>
      </w:pPr>
      <w:r>
        <w:t>2027 年 2 月 1—14 日安排阅读、文档和小规模自测，具体假期依学校通知。4 月以论文整合与修订为主。首轮原型后分别校准接口探索、实现、实验、统计和论文成本，不线性外推；预算变化同步修改本表与开题报告。</w:t>
      </w:r>
    </w:p>
    <w:p>
      <w:pPr>
        <w:widowControl/>
      </w:pPr>
      <w:r>
        <w:t>删减顺序为 R08、附加模型/设备、非核心场景，保护主场景、B0/B1、固定余量对照、最近邻、必要消融和论文。缓冲初分环境/源码 8 小时、正确性返工 6 小时、复验与核对 6 小时，按实际问题登记使用。</w:t>
      </w:r>
    </w:p>
    <w:p>
      <w:pPr>
        <w:pStyle w:val="Heading1"/>
        <w:widowControl/>
      </w:pPr>
      <w:r>
        <w:rPr>
          <w:color w:val="000000"/>
        </w:rPr>
        <w:t>三 阶段任务</w:t>
      </w:r>
    </w:p>
    <w:p>
      <w:pPr>
        <w:pStyle w:val="Heading2"/>
        <w:widowControl/>
      </w:pPr>
      <w:r>
        <w:rPr>
          <w:color w:val="000000"/>
        </w:rPr>
        <w:t>3.1 P0 文献与最小预实验</w:t>
      </w:r>
    </w:p>
    <w:p>
      <w:pPr>
        <w:widowControl/>
      </w:pPr>
      <w:r>
        <w:t>初分文献/源码 10 小时、环境/E0/E1 12 小时、分析记录 8 小时。落实连续可用时段与数据目录，记录设备、驱动、内核、编译器、模型与分词器摘要、许可证、上下文、槽位及采样配置；定位接入、队列、slot、取消与回收路径，形成“已有能力—拟修改部分—待验证假设”表。</w:t>
      </w:r>
    </w:p>
    <w:p>
      <w:pPr>
        <w:widowControl/>
      </w:pPr>
      <w:r>
        <w:t>先核对小轨迹，再按独立预实验方案执行交互独占与混合回放。等 token 总量、长度离散度、阶段观测和准入探针按信息缺口补测，预实验扩展矩阵不强行塞入既定 12 小时。正式机时按首轮运行、预热、排空和重跑分别估算。</w:t>
      </w:r>
    </w:p>
    <w:p>
      <w:pPr>
        <w:widowControl/>
      </w:pPr>
      <w:r>
        <w:t>最近邻阅读覆盖 TIE 与 QBA，按状态、触发、动作和保证比较。周祥生等候选文献取得全文并核对出处后决定是否纳入；适配规则保留独立结果和差异说明。</w:t>
      </w:r>
    </w:p>
    <w:p>
      <w:pPr>
        <w:pStyle w:val="Heading2"/>
        <w:widowControl/>
      </w:pPr>
      <w:r>
        <w:rPr>
          <w:color w:val="000000"/>
        </w:rPr>
        <w:t>3.2 P1 需求与实验冻结</w:t>
      </w:r>
    </w:p>
    <w:p>
      <w:pPr>
        <w:widowControl/>
      </w:pPr>
      <w:r>
        <w:t>初分需求 10 小时、实验 9 小时、指标与评审 6 小时。冻结 R01—R08、唯一主场景、数据划分、策略及消融、参数搜索范围、随机种子、重复规模、SLO、测量窗口、排空期限和排除规则。R08 的保留/删除分支一并登记，G2 选定接入范围。</w:t>
      </w:r>
    </w:p>
    <w:p>
      <w:pPr>
        <w:widowControl/>
      </w:pPr>
      <w:r>
        <w:t>最终测试结果不用于事后调整主场景或阈值；若研究问题改变，保留旧方案并在新测试前重新冻结。</w:t>
      </w:r>
    </w:p>
    <w:p>
      <w:pPr>
        <w:pStyle w:val="Heading2"/>
        <w:widowControl/>
      </w:pPr>
      <w:r>
        <w:rPr>
          <w:color w:val="000000"/>
        </w:rPr>
        <w:t>3.3 P2 设计</w:t>
      </w:r>
    </w:p>
    <w:p>
      <w:pPr>
        <w:widowControl/>
      </w:pPr>
      <w:r>
        <w:t>初分架构/状态 10 小时、策略/接口 10 小时、开题材料 5 小时。确定硬账本、软参数与执行参数的单位、更新时刻、上下界和退化规则，明确终态与内部回收完成的区别。公平机制给出保护集合、容量保留、触发/解除和服务机会的伪代码及可观测证据。</w:t>
      </w:r>
    </w:p>
    <w:p>
      <w:pPr>
        <w:pStyle w:val="Heading2"/>
        <w:widowControl/>
      </w:pPr>
      <w:r>
        <w:rPr>
          <w:color w:val="000000"/>
        </w:rPr>
        <w:t>3.4 P3 基线与观测</w:t>
      </w:r>
    </w:p>
    <w:p>
      <w:pPr>
        <w:widowControl/>
      </w:pPr>
      <w:r>
        <w:t>初分基线/构建 12 小时、回放/观测 15 小时、核对 8 小时。实现 B0/B1 与策略开关，复用 P0 回放器形成可重复实验链。比较原始引擎与仅加观测版本，再量化硬守卫代价；小轨迹验证请求关联、计时、终态和账本。</w:t>
      </w:r>
    </w:p>
    <w:p>
      <w:pPr>
        <w:pStyle w:val="Heading2"/>
        <w:widowControl/>
      </w:pPr>
      <w:r>
        <w:rPr>
          <w:color w:val="000000"/>
        </w:rPr>
        <w:t>3.5 P4 机制实现</w:t>
      </w:r>
    </w:p>
    <w:p>
      <w:pPr>
        <w:widowControl/>
      </w:pPr>
      <w:r>
        <w:t>初分估计/校准 12 小时、准入/容量 16 小时、老化/回收 10 小时、集成/消融 7 小时。依次完成硬守卫与双队列、误差感知软准入、后台保护。生成超出预测时调整软剩余量，硬额度保持完整。</w:t>
      </w:r>
    </w:p>
    <w:p>
      <w:pPr>
        <w:widowControl/>
      </w:pPr>
      <w:r>
        <w:t>R08 仅在 §4.3 接入门通过后实现；每轮记录预算、实际执行量与 decode/后台服务。关闭组合算法回到 B1，B0 使用独立的原始引擎配置。</w:t>
      </w:r>
    </w:p>
    <w:p>
      <w:pPr>
        <w:pStyle w:val="Heading2"/>
        <w:widowControl/>
      </w:pPr>
      <w:r>
        <w:rPr>
          <w:color w:val="000000"/>
        </w:rPr>
        <w:t>3.6 P5—P7 测试与论文</w:t>
      </w:r>
    </w:p>
    <w:p>
      <w:pPr>
        <w:widowControl/>
      </w:pPr>
      <w:r>
        <w:t>P5 初分功能/故障 10 小时、正式对照 12 小时、消融/鲁棒性 10 小时、统计与报告 8 小时；这些是人工投入，自动运行另计机时。原始估算“3 场景×6 主策略×5 重复＝90 次”仅为基础规模，B2 子配置、NN 和消融须逐项计入实际矩阵。</w:t>
      </w:r>
    </w:p>
    <w:p>
      <w:pPr>
        <w:widowControl/>
      </w:pPr>
      <w:r>
        <w:t>论文从 P0 积累材料。P6 分整合 10 小时、结果/图表 8 小时、修改/格式 7 小时；P7 分归档复核 3 小时、已有材料上的演示准备 2 小时。数据冻结后新增实验说明必要性并登记投入。</w:t>
      </w:r>
    </w:p>
    <w:p>
      <w:pPr>
        <w:pStyle w:val="Heading1"/>
        <w:widowControl/>
      </w:pPr>
      <w:r>
        <w:rPr>
          <w:color w:val="000000"/>
        </w:rPr>
        <w:t>四 设计核对与决策门</w:t>
      </w:r>
    </w:p>
    <w:p>
      <w:pPr>
        <w:pStyle w:val="Heading2"/>
        <w:widowControl/>
      </w:pPr>
      <w:r>
        <w:rPr>
          <w:color w:val="000000"/>
        </w:rPr>
        <w:t>4.1 容量与软决策</w:t>
      </w:r>
    </w:p>
    <w:p>
      <w:pPr>
        <w:widowControl/>
      </w:pPr>
      <w:r>
        <w:t>按开题报告 §5.2 实现 H_i＝L_i＋M_i 的完整预留、分配粒度和 C_safe 约束；检查与扣减位于同一控制路径。预测只影响软决策，单序列容量与槽位限制同时检查。共享前缀不抵扣保守硬账本。</w:t>
      </w:r>
    </w:p>
    <w:p>
      <w:pPr>
        <w:widowControl/>
      </w:pPr>
      <w:r>
        <w:t>G0 查容量可观测性；G2 定义对比规则；G3—G4 记录硬阻塞比例、软规则建议差异、预留与实际使用差距。说明决策时刻和分母，差异比例用于识别机制介入，收益由完整运行对照证明。</w:t>
      </w:r>
    </w:p>
    <w:p>
      <w:pPr>
        <w:pStyle w:val="Heading2"/>
        <w:widowControl/>
      </w:pPr>
      <w:r>
        <w:rPr>
          <w:color w:val="000000"/>
        </w:rPr>
        <w:t>4.2 生命周期与公平</w:t>
      </w:r>
    </w:p>
    <w:p>
      <w:pPr>
        <w:widowControl/>
      </w:pPr>
      <w:r>
        <w:t>每个请求有唯一身份和互斥终态，外部断开与内部回收分别记录。验证执行停止、序列按接口语义清理、槽位安全复用，再一次性归还账本；覆盖取消与完成竞争、异常和重复回收。</w:t>
      </w:r>
    </w:p>
    <w:p>
      <w:pPr>
        <w:widowControl/>
      </w:pPr>
      <w:r>
        <w:t>后台保护按开题报告 §5.3 实现；日志能核对等待阈值、受保护候选、容量保留动作与实际服务机会。保证适用于可服务负载和可容纳任务，过载另测拒绝、等待与恢复。</w:t>
      </w:r>
    </w:p>
    <w:p>
      <w:pPr>
        <w:pStyle w:val="Heading2"/>
        <w:widowControl/>
      </w:pPr>
      <w:r>
        <w:rPr>
          <w:color w:val="000000"/>
        </w:rPr>
        <w:t>4.3 决策与退出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8"/>
        <w:gridCol w:w="2098"/>
        <w:gridCol w:w="4649"/>
      </w:tblGrid>
      <w:tr>
        <w:trPr>
          <w:cantSplit/>
          <w:tblHeader/>
        </w:trPr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触发与节点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保留内容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处置与重新验收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G0 设备/接入路径不可用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配置、文献、源码定位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落实资源或缩到可达边界，重新构建运行后复审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G0 轨迹失真、计数不闭合或波动大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原始日志与回放器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修测量、补重复，通过小轨迹核对后再判断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G0 代表性条件下未见实质干扰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基线与探索结果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检查条件，收窄命题或重新论证，重新冻结对照与目标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G2—G4 软规则很少改变决策或不优于静态规则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硬守卫、B1/B3 与消融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检查阈值及触发条件，用容量/负载边界对照检验冗余性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G2 R08 控制点不可验证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准入主体与固定执行边界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删除 R08 及其贡献、消融与验收；共同固定设置下复验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G2 回收或容量设计不闭合</w:t>
            </w:r>
          </w:p>
        </w:tc>
        <w:tc>
          <w:tcPr>
            <w:tcW w:type="dxa" w:w="2098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状态记录与已有测试</w:t>
            </w:r>
          </w:p>
        </w:tc>
        <w:tc>
          <w:tcPr>
            <w:tcW w:type="dxa" w:w="4649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修正核心逻辑，E2/E3 通过后再评价性能</w:t>
            </w:r>
          </w:p>
        </w:tc>
      </w:tr>
    </w:tbl>
    <w:p>
      <w:pPr>
        <w:widowControl/>
      </w:pPr>
      <w:r>
        <w:t>每次切换记录触发证据、选择理由、保留资产和新验收办法，由导师阶段复核。软侧误差实验固定硬预留；硬侧代价实验另控容量、输出上限或长度差距。证据不足暂不分流。</w:t>
      </w:r>
    </w:p>
    <w:p>
      <w:pPr>
        <w:widowControl/>
      </w:pPr>
      <w:r>
        <w:t>R08 可设置 8—10 人时探索预算，计入 P0/P2，验证控制点、decode 与后台服务及可控代价。预算耗尽只触发删减决策，不证明技术不可实现。</w:t>
      </w:r>
    </w:p>
    <w:p>
      <w:pPr>
        <w:pStyle w:val="Heading1"/>
        <w:widowControl/>
      </w:pPr>
      <w:r>
        <w:rPr>
          <w:color w:val="000000"/>
        </w:rPr>
        <w:t>五 实验执行</w:t>
      </w:r>
    </w:p>
    <w:p>
      <w:pPr>
        <w:pStyle w:val="Heading2"/>
        <w:widowControl/>
      </w:pPr>
      <w:r>
        <w:rPr>
          <w:color w:val="000000"/>
        </w:rPr>
        <w:t>5.1 策略与矩阵</w:t>
      </w:r>
    </w:p>
    <w:p>
      <w:pPr>
        <w:widowControl/>
      </w:pPr>
      <w:r>
        <w:t>策略定义与性能目标统一见开题报告 §6.2、§6.4。正常场景逐项比较 B0、B1、B2-P/B2-Q、B3、B4、M 和选定 NN；必要消融去校准、去老化，R08 实现时再固定其预算。采用同轨迹、同输出上限、同预测信息与公共硬守卫，B0 差异单列。</w:t>
      </w:r>
    </w:p>
    <w:p>
      <w:pPr>
        <w:widowControl/>
      </w:pPr>
      <w:r>
        <w:t>G1 按预实验波动确定正式请求量、重复规模与区间方法，形成场景×策略×重复×运行/排空时间的机时表，并核对设备日历。主结果联合呈现交互 P95、后台时延/最大等待、吞吐、全体终态及不确定性。</w:t>
      </w:r>
    </w:p>
    <w:p>
      <w:pPr>
        <w:pStyle w:val="Heading2"/>
        <w:widowControl/>
      </w:pPr>
      <w:r>
        <w:rPr>
          <w:color w:val="000000"/>
        </w:rPr>
        <w:t>5.2 计时与运行协议</w:t>
      </w:r>
    </w:p>
    <w:p>
      <w:pPr>
        <w:widowControl/>
      </w:pPr>
      <w:r>
        <w:t>时间字段、开放到达、闸门等待与客户端滞后按预实验方案 §3—4 实现。P0 优先客户端观测，服务端和自研账本字段逐项核实后补入；跨时钟未经验证不相减，部分字段未知时保留可验证区间。</w:t>
      </w:r>
    </w:p>
    <w:p>
      <w:pPr>
        <w:widowControl/>
      </w:pPr>
      <w:r>
        <w:t>固定预热与缓存配置、重复间重置状态、策略顺序随机或轮换。独占与混合请求集保持一致，核对实际输出长度；自然结束与固定长度实验分开解释。WSL 实验记录宿主 GPU 占用、可见内存、卸载、供电模式和温度。</w:t>
      </w:r>
    </w:p>
    <w:p>
      <w:pPr>
        <w:widowControl/>
      </w:pPr>
      <w:r>
        <w:t>无闸门以窗口内实际发送数为分母，闸门实验以窗口内计划到达数为分母；截止时尚未释放也列未完成。完成、拒绝、超时、取消、失败、截止未完成互斥且总和为 N。排空另记，分位数与终态比例并列。</w:t>
      </w:r>
    </w:p>
    <w:p>
      <w:pPr>
        <w:pStyle w:val="Heading2"/>
        <w:widowControl/>
      </w:pPr>
      <w:r>
        <w:rPr>
          <w:color w:val="000000"/>
        </w:rPr>
        <w:t>5.3 统计与结论</w:t>
      </w:r>
    </w:p>
    <w:p>
      <w:pPr>
        <w:widowControl/>
      </w:pPr>
      <w:r>
        <w:t>P95 为主指标，P99 在样本充分时补充。按独立运行或时间块给配对差异和区间；bootstrap 声明重采样单位及相关性处理。区间跨越无改善位置时报告证据不足。各段分位数不相加归因；外部探针不代替算法验证。</w:t>
      </w:r>
    </w:p>
    <w:p>
      <w:pPr>
        <w:widowControl/>
      </w:pPr>
      <w:r>
        <w:t>15% 等性能阈值是研究目标，E1—E7 是工程验收。正、负及不确定结果均保留，不以降低输出上限、增加拒绝、漏计外部等待、后台饥饿或择优运行制造达标。</w:t>
      </w:r>
    </w:p>
    <w:p>
      <w:pPr>
        <w:pStyle w:val="Heading1"/>
        <w:widowControl/>
      </w:pPr>
      <w:r>
        <w:rPr>
          <w:color w:val="000000"/>
        </w:rPr>
        <w:t>六 工程验收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984"/>
        <w:gridCol w:w="6520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编号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验收项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通过证据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E1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构建与运行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干净构建、模型加载、依赖与摘要完整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E2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请求生命周期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正常、取消、超时、错误均有唯一终态，无悬挂预算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E3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容量与回收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预留/单序列/槽位满足约束，执行停止与清理后账本一次归还，预测不改变硬上界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E4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策略可比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共享配置与轨迹、B0 差异及 NN 适配独立标记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E5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观测可信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人工小轨迹核对，全体终态闭合，时钟、分母与排空明确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E6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稳定与恢复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至少 2 小时运行，无崩溃或持续资源增长；后台有服务，过载解除后恢复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E7</w:t>
            </w:r>
          </w:p>
        </w:tc>
        <w:tc>
          <w:tcPr>
            <w:tcW w:type="dxa" w:w="198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复现</w:t>
            </w:r>
          </w:p>
        </w:tc>
        <w:tc>
          <w:tcPr>
            <w:tcW w:type="dxa" w:w="652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图表由原数据再生成，至少一组主实验可重跑</w:t>
            </w:r>
          </w:p>
        </w:tc>
      </w:tr>
    </w:tbl>
    <w:p>
      <w:pPr>
        <w:widowControl/>
      </w:pPr>
      <w:r>
        <w:t>单元测试覆盖边界、误差更新、老化和回收；集成测试覆盖真实推理事件与资源一致性。R08 在范围内时追加执行上下界、实际工作量和服务机会验证。未通过项修复或明确收缩声明后再交付。</w:t>
      </w:r>
    </w:p>
    <w:p>
      <w:pPr>
        <w:pStyle w:val="Heading1"/>
        <w:widowControl/>
      </w:pPr>
      <w:r>
        <w:rPr>
          <w:color w:val="000000"/>
        </w:rPr>
        <w:t>七 需求追踪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2154"/>
        <w:gridCol w:w="4876"/>
        <w:gridCol w:w="1474"/>
      </w:tblGrid>
      <w:tr>
        <w:trPr>
          <w:cantSplit/>
          <w:tblHeader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需求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模块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验收与实验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  <w:shd w:fill="E8EDF2"/>
          </w:tcPr>
          <w:p>
            <w:pPr>
              <w:keepNext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/>
                <w:sz w:val="20"/>
              </w:rPr>
              <w:t>论文章节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R01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接入/状态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E2、类别与终态核对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3、5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R02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估计/软准入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误差扰动、去校准、硬软隔离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4、6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R03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容量/回收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E3、单序列、取消与失败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4、5、6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R04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老化/服务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E6、等待与完成、去老化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4、6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R05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观测/分析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E5、时钟与计数核对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5、6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R06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回放/版本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E4、E7、同轨迹重跑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3、6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R07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组合机制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主对照、全部代价与区间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6、7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R08 受控扩展</w:t>
            </w:r>
          </w:p>
        </w:tc>
        <w:tc>
          <w:tcPr>
            <w:tcW w:type="dxa" w:w="215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执行适配</w:t>
            </w:r>
          </w:p>
        </w:tc>
        <w:tc>
          <w:tcPr>
            <w:tcW w:type="dxa" w:w="4876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上下界、服务机会、固定预算消融</w:t>
            </w:r>
          </w:p>
        </w:tc>
        <w:tc>
          <w:tcPr>
            <w:tcW w:type="dxa" w:w="1474"/>
            <w:vAlign w:val="center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pPr>
              <w:keepNext w:val="0"/>
              <w:spacing w:before="0" w:after="6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sz w:val="20"/>
              </w:rPr>
              <w:t>4、5、6</w:t>
            </w:r>
          </w:p>
        </w:tc>
      </w:tr>
    </w:tbl>
    <w:p>
      <w:pPr>
        <w:widowControl/>
      </w:pPr>
      <w:r>
        <w:t>新增或删除需求同步调整实现、验收、实验与论文位置。</w:t>
      </w:r>
    </w:p>
    <w:p>
      <w:pPr>
        <w:pStyle w:val="Heading1"/>
        <w:widowControl/>
      </w:pPr>
      <w:r>
        <w:rPr>
          <w:color w:val="000000"/>
        </w:rPr>
        <w:t>八 版本与变更</w:t>
      </w:r>
    </w:p>
    <w:p>
      <w:pPr>
        <w:widowControl/>
      </w:pPr>
      <w:r>
        <w:t>源码、配置和分析脚本纳入 Git；运行清单记录唯一 ID、设备、版本、摘要、参数、种子、窗口与日志路径。正式运行期间固定引擎与模型。原始日志只追加，解析修复保留旧数据、脚本及原因。</w:t>
      </w:r>
    </w:p>
    <w:p>
      <w:pPr>
        <w:widowControl/>
      </w:pPr>
      <w:r>
        <w:t>引擎/设备变化重建基线；连续两周偏离任务或机时超出可用窗口，按 §2 删减。正确性问题暂停性能结论。缺陷修复附回归证据；研究问题、模型、主负载、指标或核心机制变化经阶段复核并更新预注册。查看最终测试后改方法，保留旧结果并用新的未见数据验证。</w:t>
      </w:r>
    </w:p>
    <w:p>
      <w:pPr>
        <w:widowControl/>
      </w:pPr>
      <w:r>
        <w:t>数据和模型保存来源与许可证；AI 辅助内容由学生核验并按学院要求披露。</w:t>
      </w:r>
    </w:p>
    <w:p>
      <w:pPr>
        <w:pStyle w:val="Heading1"/>
        <w:widowControl/>
      </w:pPr>
      <w:r>
        <w:rPr>
          <w:color w:val="000000"/>
        </w:rPr>
        <w:t>九 论文与交付</w:t>
      </w:r>
    </w:p>
    <w:p>
      <w:pPr>
        <w:widowControl/>
      </w:pPr>
      <w:r>
        <w:t>论文章节依开题报告 §9；各阶段积累问题、设计、实现、测试与结果材料。图表追溯至运行 ID 和分析脚本，说明收益、代价及边界。</w:t>
      </w:r>
    </w:p>
    <w:p>
      <w:pPr>
        <w:widowControl/>
      </w:pPr>
      <w:r>
        <w:t>交付核对：固定环境可构建；E1—E7 有证据；正式对照与必要消融完整；未完成和失败可追踪；图表可再生成；题目、需求和实现一致；README 包含构建、回放、复现和已知限制。演示准备可核验的日志或录制作为备用。</w:t>
      </w:r>
    </w:p>
    <w:sectPr w:rsidR="00FC693F" w:rsidRPr="0006063C" w:rsidSect="00034616">
      <w:footerReference w:type="default" r:id="rId9"/>
      <w:pgSz w:w="11906" w:h="16838"/>
      <w:pgMar w:top="1304" w:right="1247" w:bottom="1191" w:left="1304" w:header="51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300" w:lineRule="auto"/>
      <w:ind w:firstLine="440"/>
    </w:pPr>
    <w:rPr>
      <w:rFonts w:ascii="Times New Roman" w:hAnsi="Times New Roman" w:eastAsia="宋体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ind w:firstLine="0"/>
      <w:outlineLvl w:val="0"/>
    </w:pPr>
    <w:rPr>
      <w:rFonts w:ascii="Times New Roman" w:hAnsi="Times New Roman" w:eastAsia="黑体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ind w:firstLine="0"/>
      <w:outlineLvl w:val="1"/>
    </w:pPr>
    <w:rPr>
      <w:rFonts w:ascii="Times New Roman" w:hAnsi="Times New Roman" w:eastAsia="黑体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60"/>
      <w:ind w:firstLine="0"/>
      <w:contextualSpacing/>
    </w:pPr>
    <w:rPr>
      <w:rFonts w:ascii="Times New Roman" w:hAnsi="Times New Roman" w:eastAsia="黑体"/>
      <w:b/>
      <w:i w:val="0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60" w:after="140"/>
      <w:ind w:firstLine="0"/>
    </w:pPr>
    <w:rPr>
      <w:rFonts w:ascii="Times New Roman" w:hAnsi="Times New Roman" w:eastAsia="黑体"/>
      <w:b/>
      <w:i w:val="0"/>
      <w:iCs/>
      <w:color w:val="000000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/>
      <w:b w:val="0"/>
      <w:i w:val="0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/>
      <w:b w:val="0"/>
      <w:i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80" w:line="276" w:lineRule="auto"/>
      <w:ind w:firstLine="0"/>
    </w:pPr>
    <w:rPr>
      <w:rFonts w:ascii="Times New Roman" w:hAnsi="Times New Roman" w:eastAsia="宋体"/>
      <w:b w:val="0"/>
      <w:i w:val="0"/>
      <w:color w:val="000000"/>
      <w:sz w:val="19"/>
    </w:rPr>
  </w:style>
  <w:style w:type="paragraph" w:customStyle="1" w:styleId="Reference">
    <w:name w:val="Reference"/>
    <w:pPr>
      <w:spacing w:after="80" w:line="276" w:lineRule="auto"/>
      <w:ind w:left="369" w:hanging="369"/>
    </w:pPr>
    <w:rPr>
      <w:rFonts w:ascii="Times New Roman" w:hAnsi="Times New Roman" w:eastAsia="宋体"/>
      <w:b w:val="0"/>
      <w:i w:val="0"/>
      <w:color w:val="000000"/>
      <w:sz w:val="19"/>
    </w:rPr>
  </w:style>
  <w:style w:type="paragraph" w:customStyle="1" w:styleId="CoverText">
    <w:name w:val="Cover Text"/>
    <w:pPr>
      <w:spacing w:after="80" w:line="276" w:lineRule="auto"/>
      <w:ind w:firstLine="0"/>
    </w:pPr>
    <w:rPr>
      <w:rFonts w:ascii="Times New Roman" w:hAnsi="Times New Roman" w:eastAsia="宋体"/>
      <w:b w:val="0"/>
      <w:i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ggml-org/llama.cpp/blob/master/tools/server/README.md" TargetMode="External"/><Relationship Id="rId11" Type="http://schemas.openxmlformats.org/officeDocument/2006/relationships/hyperlink" Target="https://github.com/ggml-org/llama.cpp/blob/master/tools/llama-bench/README.md" TargetMode="External"/><Relationship Id="rId12" Type="http://schemas.openxmlformats.org/officeDocument/2006/relationships/hyperlink" Target="https://proceedings.mlr.press/v306/zheng26ae.html" TargetMode="External"/><Relationship Id="rId13" Type="http://schemas.openxmlformats.org/officeDocument/2006/relationships/hyperlink" Target="https://arxiv.org/abs/2610.177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面向混合长短请求的 LLM 推理准入与尾延迟控制系统 开发流程计划</dc:title>
  <dc:subject>本科毕业设计</dc:subject>
  <dc:creator/>
  <cp:keywords>LLM C++ Linux 推理服务 调度 尾延迟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1.2</cp:version>
</cp:coreProperties>
</file>