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40" w:after="400"/>
        <w:jc w:val="center"/>
      </w:pPr>
      <w:r>
        <w:t>面向混合长短请求的 LLM 推理准入与尾延迟控制系统设计与实现</w:t>
      </w:r>
    </w:p>
    <w:p>
      <w:pPr>
        <w:pStyle w:val="Subtitle"/>
        <w:spacing w:after="480"/>
        <w:jc w:val="center"/>
      </w:pPr>
      <w:r>
        <w:t>本科毕业设计开题报告</w:t>
      </w:r>
    </w:p>
    <w:p>
      <w:pPr>
        <w:pStyle w:val="CoverText"/>
        <w:spacing w:after="260"/>
      </w:pPr>
      <w:r>
        <w:t>福州大学计算机与大数据学院 软件学院</w:t>
      </w:r>
    </w:p>
    <w:p>
      <w:pPr>
        <w:pStyle w:val="CoverText"/>
        <w:spacing w:after="260"/>
      </w:pPr>
      <w:r>
        <w:t>专业：软件工程　年级：2023 级 2027 届</w:t>
      </w:r>
    </w:p>
    <w:p>
      <w:pPr>
        <w:pStyle w:val="CoverText"/>
        <w:spacing w:after="260"/>
      </w:pPr>
      <w:r>
        <w:t>学生姓名：____________　学号：____________　指导教师：____________</w:t>
      </w:r>
    </w:p>
    <w:p>
      <w:pPr>
        <w:pStyle w:val="CoverText"/>
        <w:widowControl/>
      </w:pPr>
      <w:r>
        <w:t>题目来源：自选　编制日期：2026 年 10 月 19 日　文档版本：V1.2</w:t>
      </w:r>
    </w:p>
    <w:p>
      <w:pPr>
        <w:pStyle w:val="CoverText"/>
        <w:widowControl/>
      </w:pPr>
      <w:r>
        <w:t>研究周期：2026 年 10 月 19 日至 2027 年 5 月 16 日，学校正式节点以学院通知为准。</w:t>
      </w:r>
    </w:p>
    <w:p>
      <w:pPr>
        <w:pStyle w:val="Heading1"/>
        <w:pageBreakBefore/>
      </w:pPr>
      <w:r>
        <w:t>一 课题概述</w:t>
      </w:r>
    </w:p>
    <w:p>
      <w:pPr>
        <w:widowControl/>
      </w:pPr>
      <w:r>
        <w:t>本课题研究同一大语言模型推理实例混合处理交互请求与后台任务时的准入和尾延迟控制。在固定版本的 llama.cpp 中实现 C++ 调度扩展，将轻量输出长度估计、在线误差校准、软工作量预算与后台老化纳入统一决策，检验其能否降低交互请求 P95 首 token 延迟，并控制吞吐、拒绝率和后台完成代价。</w:t>
      </w:r>
    </w:p>
    <w:p>
      <w:pPr>
        <w:widowControl/>
      </w:pPr>
      <w:r>
        <w:t>成果包括系统补丁、同轨迹实验工具、可复核数据与毕业论文。研究范围限定当前单 GPU、单模型和两类请求；连续批处理、KV 管理及预测调度作为已有能力使用，贡献由具体设计取舍、对照结果和适用边界支持。</w:t>
      </w:r>
    </w:p>
    <w:p>
      <w:pPr>
        <w:pStyle w:val="Heading1"/>
      </w:pPr>
      <w:r>
        <w:t>二 研究背景与意义</w:t>
      </w:r>
    </w:p>
    <w:p>
      <w:pPr>
        <w:pStyle w:val="Heading2"/>
        <w:widowControl/>
      </w:pPr>
      <w:r>
        <w:rPr>
          <w:color w:val="000000"/>
        </w:rPr>
        <w:t>2.1 问题背景</w:t>
      </w:r>
    </w:p>
    <w:p>
      <w:pPr>
        <w:widowControl/>
      </w:pPr>
      <w:r>
        <w:t>问答、代码补全等交互业务与摘要、批处理等后台任务可能共享同一推理实例。平均时延不足以反映少量严重等待，因此需要同时观察尾延迟、完成比例与吞吐。</w:t>
      </w:r>
    </w:p>
    <w:p>
      <w:pPr>
        <w:widowControl/>
      </w:pPr>
      <w:r>
        <w:t>自回归推理包括输入处理 prefill 与逐 token 生成 decode。长输入增加输入处理工作，长输出持续占用生成机会与 KV；输出长度又受到提示词、采样及结束条件影响。业务类别与请求长度分别记录，交互请求不默认等于短请求。</w:t>
      </w:r>
    </w:p>
    <w:p>
      <w:pPr>
        <w:widowControl/>
      </w:pPr>
      <w:r>
        <w:t>短任务优先可能增加后台等待，固定配额在比例变化时可能损失效率，预测误差则可能使准入过于激进或保守。研究需要在相同到达轨迹和资源约束下，区分队列、执行阶段与容量的作用。</w:t>
      </w:r>
    </w:p>
    <w:p>
      <w:pPr>
        <w:pStyle w:val="Heading2"/>
      </w:pPr>
      <w:r>
        <w:t>2.2 研究意义</w:t>
      </w:r>
    </w:p>
    <w:p>
      <w:pPr>
        <w:widowControl/>
      </w:pPr>
      <w:r>
        <w:t>本课题通过真实引擎中的受控比较，分析轻量机制的必要性、收益及失效条件，为单实例混合服务提供实现与测量参考。工程工作覆盖 C++ 源码接入、请求状态机、资源记账和 Linux 性能分析；性能数值及机制结论均限定于实际测试条件。</w:t>
      </w:r>
    </w:p>
    <w:p>
      <w:pPr>
        <w:pStyle w:val="Heading1"/>
      </w:pPr>
      <w:r>
        <w:t>三 国内外研究现状</w:t>
      </w:r>
    </w:p>
    <w:p>
      <w:pPr>
        <w:pStyle w:val="Heading2"/>
        <w:widowControl/>
      </w:pPr>
      <w:r>
        <w:rPr>
          <w:color w:val="000000"/>
        </w:rPr>
        <w:t>3.1 批处理与上下文管理</w:t>
      </w:r>
    </w:p>
    <w:p>
      <w:pPr>
        <w:widowControl/>
      </w:pPr>
      <w:r>
        <w:t>Orca 提出迭代级调度，允许执行进度不同的请求动态进入批次[1]。PagedAttention 改善 KV 存储组织与共享，vLLM 据此提升服务效率[2]。SGLang 利用结构化生成程序及前缀复用优化工作负载执行[3]。本课题复用这些方向对应的引擎能力，并固定缓存配置以隔离调度效果。</w:t>
      </w:r>
    </w:p>
    <w:p>
      <w:pPr>
        <w:pStyle w:val="Heading2"/>
        <w:widowControl/>
      </w:pPr>
      <w:r>
        <w:rPr>
          <w:color w:val="000000"/>
        </w:rPr>
        <w:t>3.2 阶段干扰与服务质量</w:t>
      </w:r>
    </w:p>
    <w:p>
      <w:pPr>
        <w:widowControl/>
      </w:pPr>
      <w:r>
        <w:t>Sarathi-Serve 通过分块 prefill 和批次组织研究吞吐与延迟权衡[4]；DistServe 将 prefill 与 decode 分离部署，面向延迟约束提高有效服务能力[5]。两者说明服务质量不仅取决于入口排序，还受批次执行影响。本课题保留单实例部署，动态 prefill 仅在接入点可验证时作为扩展。</w:t>
      </w:r>
    </w:p>
    <w:p>
      <w:pPr>
        <w:pStyle w:val="Heading2"/>
        <w:widowControl/>
      </w:pPr>
      <w:r>
        <w:rPr>
          <w:color w:val="000000"/>
        </w:rPr>
        <w:t>3.3 国内相关研究与联合研究</w:t>
      </w:r>
    </w:p>
    <w:p>
      <w:pPr>
        <w:widowControl/>
      </w:pPr>
      <w:r>
        <w:t>国内团队参与的 DistServe 与 TIE 分别关注服务架构和长度不确定性[5][6]。前者改变阶段部署，后者将输出分布尾部风险纳入调度；本课题控制单实例的准入时机，须分别比较机制而非按机构罗列成果。</w:t>
      </w:r>
    </w:p>
    <w:p>
      <w:pPr>
        <w:widowControl/>
      </w:pPr>
      <w:r>
        <w:t>相关工作按状态、触发条件、动作和保证进行比较。待核验的中文候选文献在取得全文并确认出处后决定是否引用，调研记录由开发计划管理。</w:t>
      </w:r>
    </w:p>
    <w:p>
      <w:pPr>
        <w:pStyle w:val="Heading2"/>
        <w:widowControl/>
      </w:pPr>
      <w:r>
        <w:rPr>
          <w:color w:val="000000"/>
        </w:rPr>
        <w:t>3.4 长度不确定性与公平调度</w:t>
      </w:r>
    </w:p>
    <w:p>
      <w:pPr>
        <w:widowControl/>
      </w:pPr>
      <w:r>
        <w:t>TIE 使用分布尾部风险进行调度评价[6]，Beyond Prediction 研究尾延迟与负载变化[7]，Robust KV 将输出不确定性和分布变化纳入容量管理[8]，MAPS 结合预测校准与内存感知调度[9]。QBA 在服务感知模拟器中结合预测短优先、配额周期与老化晋升[10]。</w:t>
      </w:r>
    </w:p>
    <w:p>
      <w:pPr>
        <w:widowControl/>
      </w:pPr>
      <w:r>
        <w:t>这些工作已覆盖预测、校准与老化。本课题不把这些组件单独作为新方法，而是在保守硬容量下比较软准入与后台服务约束的效果。启发式残差分位数估计不自动具备 conformal 覆盖保证；QBA 类规则的适配须列明与原文的差异。</w:t>
      </w:r>
    </w:p>
    <w:p>
      <w:pPr>
        <w:pStyle w:val="Heading2"/>
        <w:widowControl/>
      </w:pPr>
      <w:r>
        <w:rPr>
          <w:color w:val="000000"/>
        </w:rPr>
        <w:t>3.5 本课题定位</w:t>
      </w:r>
    </w:p>
    <w:p>
      <w:pPr>
        <w:widowControl/>
      </w:pPr>
      <w:r>
        <w:t>本课题以真实引擎实现、同信息对照和消融为主体，回答组合机制是否优于简单规则以及代价何在。状态机和一次性回收属于工程基础；研究贡献须进一步说明特定困难、设计选择与可测后果。</w:t>
      </w:r>
    </w:p>
    <w:p>
      <w:pPr>
        <w:pStyle w:val="Heading1"/>
        <w:widowControl/>
      </w:pPr>
      <w:r>
        <w:rPr>
          <w:color w:val="000000"/>
        </w:rPr>
        <w:t>四 研究目标与内容</w:t>
      </w:r>
    </w:p>
    <w:p>
      <w:pPr>
        <w:pStyle w:val="Heading2"/>
        <w:widowControl/>
      </w:pPr>
      <w:r>
        <w:rPr>
          <w:color w:val="000000"/>
        </w:rPr>
        <w:t>4.1 研究问题</w:t>
      </w:r>
    </w:p>
    <w:p>
      <w:pPr>
        <w:widowControl/>
      </w:pPr>
      <w:r>
        <w:t>RQ1：交互与后台混合运行时，排队、prefill、decode 和容量如何影响交互尾延迟，简单策略能解决多少问题？</w:t>
      </w:r>
    </w:p>
    <w:p>
      <w:pPr>
        <w:widowControl/>
      </w:pPr>
      <w:r>
        <w:t>RQ2：在相同预测信息与硬容量下，在线校准和软预算是否优于固定余量或长度排序，其开销与保守性代价如何？</w:t>
      </w:r>
    </w:p>
    <w:p>
      <w:pPr>
        <w:widowControl/>
      </w:pPr>
      <w:r>
        <w:t>RQ3：后台老化与服务机会约束如何改变交互延迟、后台完成时延和吞吐，该权衡在突发与分布变化下是否稳定？</w:t>
      </w:r>
    </w:p>
    <w:p>
      <w:pPr>
        <w:pStyle w:val="Heading2"/>
        <w:widowControl/>
      </w:pPr>
      <w:r>
        <w:rPr>
          <w:color w:val="000000"/>
        </w:rPr>
        <w:t>4.2 需求与范围</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3005"/>
        <w:gridCol w:w="5159"/>
      </w:tblGrid>
      <w:tr>
        <w:trPr>
          <w:cantSplit/>
          <w:tblHeader/>
        </w:trPr>
        <w:tc>
          <w:tcPr>
            <w:tcW w:type="dxa" w:w="1191"/>
            <w:vAlign w:val="center"/>
            <w:tcMar>
              <w:top w:w="80" w:type="dxa"/>
              <w:bottom w:w="80" w:type="dxa"/>
              <w:left w:w="90" w:type="dxa"/>
              <w:right w:w="90" w:type="dxa"/>
            </w:tcMar>
            <w:shd w:fill="E8EDF2"/>
          </w:tcPr>
          <w:p>
            <w:pPr>
              <w:keepNext/>
              <w:spacing w:before="0" w:after="60" w:line="276" w:lineRule="auto"/>
              <w:ind w:firstLine="0"/>
            </w:pPr>
            <w:r>
              <w:rPr>
                <w:rFonts w:ascii="Times New Roman" w:hAnsi="Times New Roman" w:eastAsia="宋体"/>
                <w:b/>
                <w:sz w:val="20"/>
              </w:rPr>
              <w:t>编号</w:t>
            </w:r>
          </w:p>
        </w:tc>
        <w:tc>
          <w:tcPr>
            <w:tcW w:type="dxa" w:w="3005"/>
            <w:vAlign w:val="center"/>
            <w:tcMar>
              <w:top w:w="80" w:type="dxa"/>
              <w:bottom w:w="80" w:type="dxa"/>
              <w:left w:w="90" w:type="dxa"/>
              <w:right w:w="90" w:type="dxa"/>
            </w:tcMar>
            <w:shd w:fill="E8EDF2"/>
          </w:tcPr>
          <w:p>
            <w:pPr>
              <w:keepNext/>
              <w:spacing w:before="0" w:after="60" w:line="276" w:lineRule="auto"/>
              <w:ind w:firstLine="0"/>
            </w:pPr>
            <w:r>
              <w:rPr>
                <w:rFonts w:ascii="Times New Roman" w:hAnsi="Times New Roman" w:eastAsia="宋体"/>
                <w:b/>
                <w:sz w:val="20"/>
              </w:rPr>
              <w:t>需求</w:t>
            </w:r>
          </w:p>
        </w:tc>
        <w:tc>
          <w:tcPr>
            <w:tcW w:type="dxa" w:w="5159"/>
            <w:vAlign w:val="center"/>
            <w:tcMar>
              <w:top w:w="80" w:type="dxa"/>
              <w:bottom w:w="80" w:type="dxa"/>
              <w:left w:w="90" w:type="dxa"/>
              <w:right w:w="90" w:type="dxa"/>
            </w:tcMar>
            <w:shd w:fill="E8EDF2"/>
          </w:tcPr>
          <w:p>
            <w:pPr>
              <w:keepNext/>
              <w:spacing w:before="0" w:after="60" w:line="276" w:lineRule="auto"/>
              <w:ind w:firstLine="0"/>
            </w:pPr>
            <w:r>
              <w:rPr>
                <w:rFonts w:ascii="Times New Roman" w:hAnsi="Times New Roman" w:eastAsia="宋体"/>
                <w:b/>
                <w:sz w:val="20"/>
              </w:rPr>
              <w:t>主要证据</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R01</w:t>
            </w:r>
          </w:p>
        </w:tc>
        <w:tc>
          <w:tcPr>
            <w:tcW w:type="dxa" w:w="300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两类请求接入与唯一身份</w:t>
            </w:r>
          </w:p>
        </w:tc>
        <w:tc>
          <w:tcPr>
            <w:tcW w:type="dxa" w:w="5159"/>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请求、类别与终态对账</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R02</w:t>
            </w:r>
          </w:p>
        </w:tc>
        <w:tc>
          <w:tcPr>
            <w:tcW w:type="dxa" w:w="300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长度估计及误差感知软决策</w:t>
            </w:r>
          </w:p>
        </w:tc>
        <w:tc>
          <w:tcPr>
            <w:tcW w:type="dxa" w:w="5159"/>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决策日志、预测扰动与校准消融</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R03</w:t>
            </w:r>
          </w:p>
        </w:tc>
        <w:tc>
          <w:tcPr>
            <w:tcW w:type="dxa" w:w="300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硬容量守卫与回收</w:t>
            </w:r>
          </w:p>
        </w:tc>
        <w:tc>
          <w:tcPr>
            <w:tcW w:type="dxa" w:w="5159"/>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容量边界、取消和失败测试</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R04</w:t>
            </w:r>
          </w:p>
        </w:tc>
        <w:tc>
          <w:tcPr>
            <w:tcW w:type="dxa" w:w="300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后台老化与服务机会</w:t>
            </w:r>
          </w:p>
        </w:tc>
        <w:tc>
          <w:tcPr>
            <w:tcW w:type="dxa" w:w="5159"/>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等待、完成代价及去老化消融</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R05</w:t>
            </w:r>
          </w:p>
        </w:tc>
        <w:tc>
          <w:tcPr>
            <w:tcW w:type="dxa" w:w="300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可信时序与指标导出</w:t>
            </w:r>
          </w:p>
        </w:tc>
        <w:tc>
          <w:tcPr>
            <w:tcW w:type="dxa" w:w="5159"/>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人工小轨迹核对、全体请求计数</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R06</w:t>
            </w:r>
          </w:p>
        </w:tc>
        <w:tc>
          <w:tcPr>
            <w:tcW w:type="dxa" w:w="300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策略切换与复现</w:t>
            </w:r>
          </w:p>
        </w:tc>
        <w:tc>
          <w:tcPr>
            <w:tcW w:type="dxa" w:w="5159"/>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同轨迹、固定版本及重跑记录</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R07</w:t>
            </w:r>
          </w:p>
        </w:tc>
        <w:tc>
          <w:tcPr>
            <w:tcW w:type="dxa" w:w="300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交互收益与代价联合评价</w:t>
            </w:r>
          </w:p>
        </w:tc>
        <w:tc>
          <w:tcPr>
            <w:tcW w:type="dxa" w:w="5159"/>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主对照、消融和不确定性</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R08 受控扩展</w:t>
            </w:r>
          </w:p>
        </w:tc>
        <w:tc>
          <w:tcPr>
            <w:tcW w:type="dxa" w:w="300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动态每轮 prefill 预算</w:t>
            </w:r>
          </w:p>
        </w:tc>
        <w:tc>
          <w:tcPr>
            <w:tcW w:type="dxa" w:w="5159"/>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执行上下界、decode 与后台服务、固定预算消融</w:t>
            </w:r>
          </w:p>
        </w:tc>
      </w:tr>
    </w:tbl>
    <w:p>
      <w:pPr>
        <w:widowControl/>
      </w:pPr>
      <w:r>
        <w:t>首期采用当前笔记本的 WSL2 环境、单 GPU、单个稠密文本模型及固定量化配置。类别由回放器或可信调用方提供。范围不含模型训练、算子开发、多机调度、KV 主动抢占、分层存储及商业平台。</w:t>
      </w:r>
    </w:p>
    <w:p>
      <w:pPr>
        <w:pStyle w:val="Heading1"/>
        <w:widowControl/>
      </w:pPr>
      <w:r>
        <w:rPr>
          <w:color w:val="000000"/>
        </w:rPr>
        <w:t>五 方法与系统设计</w:t>
      </w:r>
    </w:p>
    <w:p>
      <w:pPr>
        <w:pStyle w:val="Heading2"/>
        <w:widowControl/>
      </w:pPr>
      <w:r>
        <w:rPr>
          <w:color w:val="000000"/>
        </w:rPr>
        <w:t>5.1 技术路线与模块</w:t>
      </w:r>
    </w:p>
    <w:p>
      <w:pPr>
        <w:widowControl/>
      </w:pPr>
      <w:r>
        <w:t>技术路线为文献与源码分析、最小预实验、需求和实验冻结、机制实现、对照与消融、结果分析。系统链路为回放器 → 接入与类别队列 → 估计与误差统计 → 硬容量及软准入 → 引擎执行 → 回收与观测。</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7030"/>
      </w:tblGrid>
      <w:tr>
        <w:trPr>
          <w:cantSplit/>
          <w:tblHeader/>
        </w:trPr>
        <w:tc>
          <w:tcPr>
            <w:tcW w:type="dxa" w:w="2324"/>
            <w:vAlign w:val="center"/>
            <w:tcMar>
              <w:top w:w="80" w:type="dxa"/>
              <w:bottom w:w="80" w:type="dxa"/>
              <w:left w:w="90" w:type="dxa"/>
              <w:right w:w="90" w:type="dxa"/>
            </w:tcMar>
            <w:shd w:fill="E8EDF2"/>
          </w:tcPr>
          <w:p>
            <w:pPr>
              <w:keepNext/>
              <w:spacing w:before="0" w:after="60" w:line="276" w:lineRule="auto"/>
              <w:ind w:firstLine="0"/>
            </w:pPr>
            <w:r>
              <w:rPr>
                <w:rFonts w:ascii="Times New Roman" w:hAnsi="Times New Roman" w:eastAsia="宋体"/>
                <w:b/>
                <w:sz w:val="20"/>
              </w:rPr>
              <w:t>模块</w:t>
            </w:r>
          </w:p>
        </w:tc>
        <w:tc>
          <w:tcPr>
            <w:tcW w:type="dxa" w:w="7030"/>
            <w:vAlign w:val="center"/>
            <w:tcMar>
              <w:top w:w="80" w:type="dxa"/>
              <w:bottom w:w="80" w:type="dxa"/>
              <w:left w:w="90" w:type="dxa"/>
              <w:right w:w="90" w:type="dxa"/>
            </w:tcMar>
            <w:shd w:fill="E8EDF2"/>
          </w:tcPr>
          <w:p>
            <w:pPr>
              <w:keepNext/>
              <w:spacing w:before="0" w:after="60" w:line="276" w:lineRule="auto"/>
              <w:ind w:firstLine="0"/>
            </w:pPr>
            <w:r>
              <w:rPr>
                <w:rFonts w:ascii="Times New Roman" w:hAnsi="Times New Roman" w:eastAsia="宋体"/>
                <w:b/>
                <w:sz w:val="20"/>
              </w:rPr>
              <w:t>职责</w:t>
            </w:r>
          </w:p>
        </w:tc>
      </w:tr>
      <w:tr>
        <w:trPr>
          <w:cantSplit/>
        </w:trPr>
        <w:tc>
          <w:tcPr>
            <w:tcW w:type="dxa" w:w="232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接入与状态管理</w:t>
            </w:r>
          </w:p>
        </w:tc>
        <w:tc>
          <w:tcPr>
            <w:tcW w:type="dxa" w:w="703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解析类别、ID、时限和输出上限，维护生命周期</w:t>
            </w:r>
          </w:p>
        </w:tc>
      </w:tr>
      <w:tr>
        <w:trPr>
          <w:cantSplit/>
        </w:trPr>
        <w:tc>
          <w:tcPr>
            <w:tcW w:type="dxa" w:w="232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估计与校准</w:t>
            </w:r>
          </w:p>
        </w:tc>
        <w:tc>
          <w:tcPr>
            <w:tcW w:type="dxa" w:w="703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分桶统计、正向误差余量与样本不足回退</w:t>
            </w:r>
          </w:p>
        </w:tc>
      </w:tr>
      <w:tr>
        <w:trPr>
          <w:cantSplit/>
        </w:trPr>
        <w:tc>
          <w:tcPr>
            <w:tcW w:type="dxa" w:w="232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准入与公平控制</w:t>
            </w:r>
          </w:p>
        </w:tc>
        <w:tc>
          <w:tcPr>
            <w:tcW w:type="dxa" w:w="703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软负载判断、候选选择、后台保护</w:t>
            </w:r>
          </w:p>
        </w:tc>
      </w:tr>
      <w:tr>
        <w:trPr>
          <w:cantSplit/>
        </w:trPr>
        <w:tc>
          <w:tcPr>
            <w:tcW w:type="dxa" w:w="232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容量与执行适配</w:t>
            </w:r>
          </w:p>
        </w:tc>
        <w:tc>
          <w:tcPr>
            <w:tcW w:type="dxa" w:w="703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硬预留、固定/可选动态执行预算、终态回收</w:t>
            </w:r>
          </w:p>
        </w:tc>
      </w:tr>
      <w:tr>
        <w:trPr>
          <w:cantSplit/>
        </w:trPr>
        <w:tc>
          <w:tcPr>
            <w:tcW w:type="dxa" w:w="232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观测与实验</w:t>
            </w:r>
          </w:p>
        </w:tc>
        <w:tc>
          <w:tcPr>
            <w:tcW w:type="dxa" w:w="703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事件导出、固定轨迹回放、统计和复现</w:t>
            </w:r>
          </w:p>
        </w:tc>
      </w:tr>
    </w:tbl>
    <w:p>
      <w:pPr>
        <w:widowControl/>
      </w:pPr>
      <w:r>
        <w:t>核心模块以 C++ 接入冻结引擎，脚本负责实验自动化与分析。保留原始引擎和策略开关，具体修改文件在源码定位后确定。</w:t>
      </w:r>
    </w:p>
    <w:p>
      <w:pPr>
        <w:pStyle w:val="Heading2"/>
        <w:widowControl/>
      </w:pPr>
      <w:r>
        <w:rPr>
          <w:color w:val="000000"/>
        </w:rPr>
        <w:t>5.2 硬容量与软预算</w:t>
      </w:r>
    </w:p>
    <w:p>
      <w:pPr>
        <w:widowControl/>
      </w:pPr>
      <w:r>
        <w:t>请求 i 的硬预留 H_i＝L_i＋M_i，其中 L_i 为含模板与特殊 token 的实际输入长度，M_i 为调用方明确给出的最大生成长度。预留按引擎分配粒度取整，全部活跃请求预留总和不超过已扣安全余量的 C_safe，并满足单序列与槽位限制；共享前缀收益不抵扣该保守账本。</w:t>
      </w:r>
    </w:p>
    <w:p>
      <w:pPr>
        <w:widowControl/>
      </w:pPr>
      <w:r>
        <w:t>预测只进入软工作量和可选 prefill 预算。估计器按类别与输入长度分桶，用已完成样本更新正向误差余量；样本不足采用预注册默认值，生成超出预测时调整软剩余量。硬预留与用户输出上限保持不变。prefill 与 decode 成本分别标定，避免直接等价计算两类 token。</w:t>
      </w:r>
    </w:p>
    <w:p>
      <w:pPr>
        <w:widowControl/>
      </w:pPr>
      <w:r>
        <w:t>硬容量约束是逻辑边界，不能覆盖模型权重、工作区和其他进程的全部显存占用。实验同时记录实际显存与容量失败。逻辑释放不等于显存立即返还操作系统。</w:t>
      </w:r>
    </w:p>
    <w:p>
      <w:pPr>
        <w:pStyle w:val="Heading2"/>
        <w:widowControl/>
      </w:pPr>
      <w:r>
        <w:rPr>
          <w:color w:val="000000"/>
        </w:rPr>
        <w:t>5.3 公平性与生命周期</w:t>
      </w:r>
    </w:p>
    <w:p>
      <w:pPr>
        <w:widowControl/>
      </w:pPr>
      <w:r>
        <w:t>后台请求达到等待阈值后进入保护集合，暂停会持续占用其所需容量的新准入；现有请求结束且容量足够时，优先接纳受保护的可容纳请求。已准入后台获得非零 prefill 和正常 decode 机会。公平性讨论以到达负载可服务、现有请求可结束、单请求可容纳为前提。</w:t>
      </w:r>
    </w:p>
    <w:p>
      <w:pPr>
        <w:widowControl/>
      </w:pPr>
      <w:r>
        <w:t>生命周期覆盖接收、等待、准入、prefill、decode 和互斥终态。回收依次确认执行停止、序列按接口语义清理、槽位可安全复用，再一次性归还硬账本；取消与完成竞争须纳入测试。</w:t>
      </w:r>
    </w:p>
    <w:p>
      <w:pPr>
        <w:widowControl/>
      </w:pPr>
      <w:r>
        <w:t>R08 在 G0—G2 验证控制点与服务机会后决定去留。无法可靠接入时，所有策略共用固定 prefill 设置，并删除该扩展的贡献、消融和验收声明。</w:t>
      </w:r>
    </w:p>
    <w:p>
      <w:pPr>
        <w:pStyle w:val="Heading1"/>
        <w:widowControl/>
      </w:pPr>
      <w:r>
        <w:rPr>
          <w:color w:val="000000"/>
        </w:rPr>
        <w:t>六 实验设计</w:t>
      </w:r>
    </w:p>
    <w:p>
      <w:pPr>
        <w:pStyle w:val="Heading2"/>
        <w:widowControl/>
      </w:pPr>
      <w:r>
        <w:rPr>
          <w:color w:val="000000"/>
        </w:rPr>
        <w:t>6.1 环境与数据</w:t>
      </w:r>
    </w:p>
    <w:p>
      <w:pPr>
        <w:widowControl/>
      </w:pPr>
      <w:r>
        <w:t>实验设备已于 2026 年 10 月 19 日读取核实，当前尚无 llama.cpp 构建、模型推理或性能结果。</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7200"/>
      </w:tblGrid>
      <w:tr>
        <w:trPr>
          <w:cantSplit/>
          <w:tblHeader/>
        </w:trPr>
        <w:tc>
          <w:tcPr>
            <w:tcW w:type="dxa" w:w="2154"/>
            <w:vAlign w:val="center"/>
            <w:tcMar>
              <w:top w:w="80" w:type="dxa"/>
              <w:bottom w:w="80" w:type="dxa"/>
              <w:left w:w="90" w:type="dxa"/>
              <w:right w:w="90" w:type="dxa"/>
            </w:tcMar>
            <w:shd w:fill="E8EDF2"/>
          </w:tcPr>
          <w:p>
            <w:pPr>
              <w:keepNext/>
              <w:spacing w:before="0" w:after="60" w:line="276" w:lineRule="auto"/>
              <w:ind w:firstLine="0"/>
            </w:pPr>
            <w:r>
              <w:rPr>
                <w:rFonts w:ascii="Times New Roman" w:hAnsi="Times New Roman" w:eastAsia="宋体"/>
                <w:b/>
                <w:sz w:val="20"/>
              </w:rPr>
              <w:t>项目</w:t>
            </w:r>
          </w:p>
        </w:tc>
        <w:tc>
          <w:tcPr>
            <w:tcW w:type="dxa" w:w="7200"/>
            <w:vAlign w:val="center"/>
            <w:tcMar>
              <w:top w:w="80" w:type="dxa"/>
              <w:bottom w:w="80" w:type="dxa"/>
              <w:left w:w="90" w:type="dxa"/>
              <w:right w:w="90" w:type="dxa"/>
            </w:tcMar>
            <w:shd w:fill="E8EDF2"/>
          </w:tcPr>
          <w:p>
            <w:pPr>
              <w:keepNext/>
              <w:spacing w:before="0" w:after="60" w:line="276" w:lineRule="auto"/>
              <w:ind w:firstLine="0"/>
            </w:pPr>
            <w:r>
              <w:rPr>
                <w:rFonts w:ascii="Times New Roman" w:hAnsi="Times New Roman" w:eastAsia="宋体"/>
                <w:b/>
                <w:sz w:val="20"/>
              </w:rPr>
              <w:t>已确认配置</w:t>
            </w:r>
          </w:p>
        </w:tc>
      </w:tr>
      <w:tr>
        <w:trPr>
          <w:cantSplit/>
        </w:trPr>
        <w:tc>
          <w:tcPr>
            <w:tcW w:type="dxa" w:w="215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主机与 CPU</w:t>
            </w:r>
          </w:p>
        </w:tc>
        <w:tc>
          <w:tcPr>
            <w:tcW w:type="dxa" w:w="720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联想 82JW；Ryzen 7 5800H，8 核 16 线程</w:t>
            </w:r>
          </w:p>
        </w:tc>
      </w:tr>
      <w:tr>
        <w:trPr>
          <w:cantSplit/>
        </w:trPr>
        <w:tc>
          <w:tcPr>
            <w:tcW w:type="dxa" w:w="215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内存</w:t>
            </w:r>
          </w:p>
        </w:tc>
        <w:tc>
          <w:tcPr>
            <w:tcW w:type="dxa" w:w="720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16 GiB，2×8 GiB，3200 MT/s</w:t>
            </w:r>
          </w:p>
        </w:tc>
      </w:tr>
      <w:tr>
        <w:trPr>
          <w:cantSplit/>
        </w:trPr>
        <w:tc>
          <w:tcPr>
            <w:tcW w:type="dxa" w:w="215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显卡与驱动</w:t>
            </w:r>
          </w:p>
        </w:tc>
        <w:tc>
          <w:tcPr>
            <w:tcW w:type="dxa" w:w="720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RTX 3050 Ti Laptop，4096 MiB 专用显存；NVIDIA 561.17</w:t>
            </w:r>
          </w:p>
        </w:tc>
      </w:tr>
      <w:tr>
        <w:trPr>
          <w:cantSplit/>
        </w:trPr>
        <w:tc>
          <w:tcPr>
            <w:tcW w:type="dxa" w:w="215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系统</w:t>
            </w:r>
          </w:p>
        </w:tc>
        <w:tc>
          <w:tcPr>
            <w:tcW w:type="dxa" w:w="720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Windows 11 家庭中文版 10.0.26200；Ubuntu 24.04.5 LTS / WSL2</w:t>
            </w:r>
          </w:p>
        </w:tc>
      </w:tr>
      <w:tr>
        <w:trPr>
          <w:cantSplit/>
        </w:trPr>
        <w:tc>
          <w:tcPr>
            <w:tcW w:type="dxa" w:w="215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WSL 与工具</w:t>
            </w:r>
          </w:p>
        </w:tc>
        <w:tc>
          <w:tcPr>
            <w:tcW w:type="dxa" w:w="720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内核 6.18.54.1；可见内存约 7.68 GiB，swap 2 GiB；G++ 13.3、CMake 3.28.3、CUDA 编译工具 12.6.85</w:t>
            </w:r>
          </w:p>
        </w:tc>
      </w:tr>
      <w:tr>
        <w:trPr>
          <w:cantSplit/>
        </w:trPr>
        <w:tc>
          <w:tcPr>
            <w:tcW w:type="dxa" w:w="215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存储</w:t>
            </w:r>
          </w:p>
        </w:tc>
        <w:tc>
          <w:tcPr>
            <w:tcW w:type="dxa" w:w="720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C 盘约 200.1 GiB、采集时空闲 89.8 GiB；D 盘约 275.6 GiB、空闲 203.6 GiB</w:t>
            </w:r>
          </w:p>
        </w:tc>
      </w:tr>
    </w:tbl>
    <w:p>
      <w:pPr>
        <w:widowControl/>
      </w:pPr>
      <w:r>
        <w:t>G0 冻结引擎 SHA、构建与卸载参数、模型/分词器摘要、量化、ctx/parallel、缓存及采样配置，落实连续运行时段与数据目录。模型和上下文按 4 GiB 显存的实际容量选择；采用 CPU/GPU 混合卸载时，各策略保持相同设置。记录 WSL 与桌面竞争、供电模式及温度；结论限定该执行环境。</w:t>
      </w:r>
    </w:p>
    <w:p>
      <w:pPr>
        <w:widowControl/>
      </w:pPr>
      <w:r>
        <w:t>数据分为校准、开发和最终测试集，提示模板尽量跨集合分离。自然结束请求与固定输出长度控制实验分别解释，保存来源、许可证、实际长度和结束原因。在线更新只使用当时已完成的信息。</w:t>
      </w:r>
    </w:p>
    <w:p>
      <w:pPr>
        <w:pStyle w:val="Heading2"/>
        <w:widowControl/>
      </w:pPr>
      <w:r>
        <w:rPr>
          <w:color w:val="000000"/>
        </w:rPr>
        <w:t>6.2 对照与消融</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4535"/>
        <w:gridCol w:w="3628"/>
      </w:tblGrid>
      <w:tr>
        <w:trPr>
          <w:cantSplit/>
          <w:tblHeader/>
        </w:trPr>
        <w:tc>
          <w:tcPr>
            <w:tcW w:type="dxa" w:w="1191"/>
            <w:vAlign w:val="center"/>
            <w:tcMar>
              <w:top w:w="80" w:type="dxa"/>
              <w:bottom w:w="80" w:type="dxa"/>
              <w:left w:w="90" w:type="dxa"/>
              <w:right w:w="90" w:type="dxa"/>
            </w:tcMar>
            <w:shd w:fill="E8EDF2"/>
          </w:tcPr>
          <w:p>
            <w:pPr>
              <w:keepNext/>
              <w:spacing w:before="0" w:after="60" w:line="276" w:lineRule="auto"/>
              <w:ind w:firstLine="0"/>
            </w:pPr>
            <w:r>
              <w:rPr>
                <w:rFonts w:ascii="Times New Roman" w:hAnsi="Times New Roman" w:eastAsia="宋体"/>
                <w:b/>
                <w:sz w:val="20"/>
              </w:rPr>
              <w:t>编号</w:t>
            </w:r>
          </w:p>
        </w:tc>
        <w:tc>
          <w:tcPr>
            <w:tcW w:type="dxa" w:w="4535"/>
            <w:vAlign w:val="center"/>
            <w:tcMar>
              <w:top w:w="80" w:type="dxa"/>
              <w:bottom w:w="80" w:type="dxa"/>
              <w:left w:w="90" w:type="dxa"/>
              <w:right w:w="90" w:type="dxa"/>
            </w:tcMar>
            <w:shd w:fill="E8EDF2"/>
          </w:tcPr>
          <w:p>
            <w:pPr>
              <w:keepNext/>
              <w:spacing w:before="0" w:after="60" w:line="276" w:lineRule="auto"/>
              <w:ind w:firstLine="0"/>
            </w:pPr>
            <w:r>
              <w:rPr>
                <w:rFonts w:ascii="Times New Roman" w:hAnsi="Times New Roman" w:eastAsia="宋体"/>
                <w:b/>
                <w:sz w:val="20"/>
              </w:rPr>
              <w:t>策略</w:t>
            </w:r>
          </w:p>
        </w:tc>
        <w:tc>
          <w:tcPr>
            <w:tcW w:type="dxa" w:w="3628"/>
            <w:vAlign w:val="center"/>
            <w:tcMar>
              <w:top w:w="80" w:type="dxa"/>
              <w:bottom w:w="80" w:type="dxa"/>
              <w:left w:w="90" w:type="dxa"/>
              <w:right w:w="90" w:type="dxa"/>
            </w:tcMar>
            <w:shd w:fill="E8EDF2"/>
          </w:tcPr>
          <w:p>
            <w:pPr>
              <w:keepNext/>
              <w:spacing w:before="0" w:after="60" w:line="276" w:lineRule="auto"/>
              <w:ind w:firstLine="0"/>
            </w:pPr>
            <w:r>
              <w:rPr>
                <w:rFonts w:ascii="Times New Roman" w:hAnsi="Times New Roman" w:eastAsia="宋体"/>
                <w:b/>
                <w:sz w:val="20"/>
              </w:rPr>
              <w:t>比较目的</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B0</w:t>
            </w:r>
          </w:p>
        </w:tc>
        <w:tc>
          <w:tcPr>
            <w:tcW w:type="dxa" w:w="453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原始引擎</w:t>
            </w:r>
          </w:p>
        </w:tc>
        <w:tc>
          <w:tcPr>
            <w:tcW w:type="dxa" w:w="3628"/>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实际部署参考</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B1</w:t>
            </w:r>
          </w:p>
        </w:tc>
        <w:tc>
          <w:tcPr>
            <w:tcW w:type="dxa" w:w="453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公共硬守卫＋原始顺序</w:t>
            </w:r>
          </w:p>
        </w:tc>
        <w:tc>
          <w:tcPr>
            <w:tcW w:type="dxa" w:w="3628"/>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算法主比较基线</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B2-P / B2-Q</w:t>
            </w:r>
          </w:p>
        </w:tc>
        <w:tc>
          <w:tcPr>
            <w:tcW w:type="dxa" w:w="453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交互优先 / 固定服务配额</w:t>
            </w:r>
          </w:p>
        </w:tc>
        <w:tc>
          <w:tcPr>
            <w:tcW w:type="dxa" w:w="3628"/>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检查简单规则是否足够</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B3</w:t>
            </w:r>
          </w:p>
        </w:tc>
        <w:tc>
          <w:tcPr>
            <w:tcW w:type="dxa" w:w="453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固定软余量＋固定 prefill 预算</w:t>
            </w:r>
          </w:p>
        </w:tc>
        <w:tc>
          <w:tcPr>
            <w:tcW w:type="dxa" w:w="3628"/>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检查动态调整的必要性</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B4</w:t>
            </w:r>
          </w:p>
        </w:tc>
        <w:tc>
          <w:tcPr>
            <w:tcW w:type="dxa" w:w="453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同预测器的长度排序</w:t>
            </w:r>
          </w:p>
        </w:tc>
        <w:tc>
          <w:tcPr>
            <w:tcW w:type="dxa" w:w="3628"/>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检查误差与公平机制</w:t>
            </w:r>
          </w:p>
        </w:tc>
      </w:tr>
      <w:tr>
        <w:trPr>
          <w:cantSplit/>
        </w:trPr>
        <w:tc>
          <w:tcPr>
            <w:tcW w:type="dxa" w:w="1191"/>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M</w:t>
            </w:r>
          </w:p>
        </w:tc>
        <w:tc>
          <w:tcPr>
            <w:tcW w:type="dxa" w:w="4535"/>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校准、软准入与老化组合，按范围加入 R08</w:t>
            </w:r>
          </w:p>
        </w:tc>
        <w:tc>
          <w:tcPr>
            <w:tcW w:type="dxa" w:w="3628"/>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联合权衡</w:t>
            </w:r>
          </w:p>
        </w:tc>
      </w:tr>
    </w:tbl>
    <w:p>
      <w:pPr>
        <w:widowControl/>
      </w:pPr>
      <w:r>
        <w:t>B1—B4 与 M 共用硬守卫、回收和观测，模型、轨迹、输出上限及执行配置保持一致；B0—B1 单独报告容量守卫代价。至少适配一种最近邻规则，列明来源与差异，可单列 NN，或在规则确实等价时作为 B2 子配置，保留独立结果。</w:t>
      </w:r>
    </w:p>
    <w:p>
      <w:pPr>
        <w:widowControl/>
      </w:pPr>
      <w:r>
        <w:t>必要消融为移除误差校准、移除老化；R08 实现时再固定其预算。主比较验证 M 对 B1，组件价值结合简单基线与消融判断。</w:t>
      </w:r>
    </w:p>
    <w:p>
      <w:pPr>
        <w:pStyle w:val="Heading2"/>
        <w:widowControl/>
      </w:pPr>
      <w:r>
        <w:rPr>
          <w:color w:val="000000"/>
        </w:rPr>
        <w:t>6.3 工作负载与统计</w:t>
      </w:r>
    </w:p>
    <w:p>
      <w:pPr>
        <w:widowControl/>
      </w:pPr>
      <w:r>
        <w:t>正常场景包括稳定混合、后台突发、输入/输出长度交叉变化，G1 预注册其中唯一主场景。预测低估/高估、比例漂移、取消与观测开销用于鲁棒性分析；持续过载单独报告。</w:t>
      </w:r>
    </w:p>
    <w:p>
      <w:pPr>
        <w:widowControl/>
      </w:pPr>
      <w:r>
        <w:t>P0 先跑交互独占 E0 与同交互轨迹叠加后台 E1，可从每组 200 条交互请求、3 次重复起步；只用于探索现象与波动。后续按需补长度构成、阶段观测与外部准入探针，操作细则见《预实验方案：干扰复现与干预探针》。完整账本和阶段插桩不作为首轮前提。</w:t>
      </w:r>
    </w:p>
    <w:p>
      <w:pPr>
        <w:widowControl/>
      </w:pPr>
      <w:r>
        <w:t>正式实验初始规模为每场景至少 5 次独立重复、每次不少于 200 条交互及 100 条后台请求，按预实验时长与波动校准后冻结。开放到达、固定预热、重置估计器，策略顺序随机或轮换；以独立运行或时间块估计配对差异与区间。P95 为主指标，P99 仅在样本充分时补充；区间过宽报告证据不足。</w:t>
      </w:r>
    </w:p>
    <w:p>
      <w:pPr>
        <w:widowControl/>
      </w:pPr>
      <w:r>
        <w:t>等 token 量不等于等计算负载，各段 P95 不相加归因；阶段构成需结合基线变化解释。外部探针提供方向线索，不能替代内部算法对照。预实验数据标为 prestudy，与最终测试分开。</w:t>
      </w:r>
    </w:p>
    <w:p>
      <w:pPr>
        <w:pStyle w:val="Heading2"/>
        <w:widowControl/>
      </w:pPr>
      <w:r>
        <w:rPr>
          <w:color w:val="000000"/>
        </w:rPr>
        <w:t>6.4 指标与目标</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7200"/>
      </w:tblGrid>
      <w:tr>
        <w:trPr>
          <w:cantSplit/>
          <w:tblHeader/>
        </w:trPr>
        <w:tc>
          <w:tcPr>
            <w:tcW w:type="dxa" w:w="2154"/>
            <w:vAlign w:val="center"/>
            <w:tcMar>
              <w:top w:w="80" w:type="dxa"/>
              <w:bottom w:w="80" w:type="dxa"/>
              <w:left w:w="90" w:type="dxa"/>
              <w:right w:w="90" w:type="dxa"/>
            </w:tcMar>
            <w:shd w:fill="E8EDF2"/>
          </w:tcPr>
          <w:p>
            <w:pPr>
              <w:keepNext/>
              <w:spacing w:before="0" w:after="60" w:line="276" w:lineRule="auto"/>
              <w:ind w:firstLine="0"/>
            </w:pPr>
            <w:r>
              <w:rPr>
                <w:rFonts w:ascii="Times New Roman" w:hAnsi="Times New Roman" w:eastAsia="宋体"/>
                <w:b/>
                <w:sz w:val="20"/>
              </w:rPr>
              <w:t>指标</w:t>
            </w:r>
          </w:p>
        </w:tc>
        <w:tc>
          <w:tcPr>
            <w:tcW w:type="dxa" w:w="7200"/>
            <w:vAlign w:val="center"/>
            <w:tcMar>
              <w:top w:w="80" w:type="dxa"/>
              <w:bottom w:w="80" w:type="dxa"/>
              <w:left w:w="90" w:type="dxa"/>
              <w:right w:w="90" w:type="dxa"/>
            </w:tcMar>
            <w:shd w:fill="E8EDF2"/>
          </w:tcPr>
          <w:p>
            <w:pPr>
              <w:keepNext/>
              <w:spacing w:before="0" w:after="60" w:line="276" w:lineRule="auto"/>
              <w:ind w:firstLine="0"/>
            </w:pPr>
            <w:r>
              <w:rPr>
                <w:rFonts w:ascii="Times New Roman" w:hAnsi="Times New Roman" w:eastAsia="宋体"/>
                <w:b/>
                <w:sz w:val="20"/>
              </w:rPr>
              <w:t>口径</w:t>
            </w:r>
          </w:p>
        </w:tc>
      </w:tr>
      <w:tr>
        <w:trPr>
          <w:cantSplit/>
        </w:trPr>
        <w:tc>
          <w:tcPr>
            <w:tcW w:type="dxa" w:w="215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交互 TTFT</w:t>
            </w:r>
          </w:p>
        </w:tc>
        <w:tc>
          <w:tcPr>
            <w:tcW w:type="dxa" w:w="720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实际发送至收到首个生成内容，排除心跳、元数据和空块</w:t>
            </w:r>
          </w:p>
        </w:tc>
      </w:tr>
      <w:tr>
        <w:trPr>
          <w:cantSplit/>
        </w:trPr>
        <w:tc>
          <w:tcPr>
            <w:tcW w:type="dxa" w:w="215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逐 token 延迟</w:t>
            </w:r>
          </w:p>
        </w:tc>
        <w:tc>
          <w:tcPr>
            <w:tcW w:type="dxa" w:w="720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相邻生成 token 间隔，并列每请求平均值</w:t>
            </w:r>
          </w:p>
        </w:tc>
      </w:tr>
      <w:tr>
        <w:trPr>
          <w:cantSplit/>
        </w:trPr>
        <w:tc>
          <w:tcPr>
            <w:tcW w:type="dxa" w:w="215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后台完成与等待</w:t>
            </w:r>
          </w:p>
        </w:tc>
        <w:tc>
          <w:tcPr>
            <w:tcW w:type="dxa" w:w="720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内部队列等待与外部闸门等待分列；有闸门时完成时延从计划到达计时</w:t>
            </w:r>
          </w:p>
        </w:tc>
      </w:tr>
      <w:tr>
        <w:trPr>
          <w:cantSplit/>
        </w:trPr>
        <w:tc>
          <w:tcPr>
            <w:tcW w:type="dxa" w:w="215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输出吞吐</w:t>
            </w:r>
          </w:p>
        </w:tc>
        <w:tc>
          <w:tcPr>
            <w:tcW w:type="dxa" w:w="720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固定窗口内输出 token 数 / 窗口时长，排空另计</w:t>
            </w:r>
          </w:p>
        </w:tc>
      </w:tr>
      <w:tr>
        <w:trPr>
          <w:cantSplit/>
        </w:trPr>
        <w:tc>
          <w:tcPr>
            <w:tcW w:type="dxa" w:w="215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有效完成率</w:t>
            </w:r>
          </w:p>
        </w:tc>
        <w:tc>
          <w:tcPr>
            <w:tcW w:type="dxa" w:w="720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完成且满足预定服务目标的请求数 / 总到达数</w:t>
            </w:r>
          </w:p>
        </w:tc>
      </w:tr>
      <w:tr>
        <w:trPr>
          <w:cantSplit/>
        </w:trPr>
        <w:tc>
          <w:tcPr>
            <w:tcW w:type="dxa" w:w="2154"/>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终态与资源</w:t>
            </w:r>
          </w:p>
        </w:tc>
        <w:tc>
          <w:tcPr>
            <w:tcW w:type="dxa" w:w="7200"/>
            <w:vAlign w:val="center"/>
            <w:tcMar>
              <w:top w:w="80" w:type="dxa"/>
              <w:bottom w:w="80" w:type="dxa"/>
              <w:left w:w="90" w:type="dxa"/>
              <w:right w:w="90" w:type="dxa"/>
            </w:tcMar>
          </w:tcPr>
          <w:p>
            <w:pPr>
              <w:keepNext w:val="0"/>
              <w:spacing w:before="0" w:after="60" w:line="276" w:lineRule="auto"/>
              <w:ind w:firstLine="0"/>
            </w:pPr>
            <w:r>
              <w:rPr>
                <w:rFonts w:ascii="Times New Roman" w:hAnsi="Times New Roman" w:eastAsia="宋体"/>
                <w:b w:val="0"/>
                <w:sz w:val="20"/>
              </w:rPr>
              <w:t>完成、拒绝、超时、取消、失败、未完成，以及逻辑 KV、显存与调度开销</w:t>
            </w:r>
          </w:p>
        </w:tc>
      </w:tr>
    </w:tbl>
    <w:p>
      <w:pPr>
        <w:widowControl/>
      </w:pPr>
      <w:r>
        <w:t>暂定目标：预注册正常主场景中，M 相对 B1 的交互 P95 TTFT 改善至少 15%，吞吐下降不超过 5%，后台 P95 完成时延增加不超过 20%，拒绝率不增加、成功完成率不降低。绝对 SLO 由业务需求确定，相对改善与业务达标分开报告。目标、窗口与判定方法在 2026 年 11 月 29 日前依据预实验冻结；性能结果如实报告。</w:t>
      </w:r>
    </w:p>
    <w:p>
      <w:pPr>
        <w:widowControl/>
      </w:pPr>
      <w:r>
        <w:t>统一排空截止时间，终态与未完成计数覆盖全部请求；外部闸门下尚未释放的计划请求也计入分母。分位数与终态比例并列，分布推断中的截止未完成按右删失处理，取消、拒绝等原因分别保留。各策略保持相同输出上限，联合报告后台服务，避免选择性完成样本带来的误判。</w:t>
      </w:r>
    </w:p>
    <w:p>
      <w:pPr>
        <w:pStyle w:val="Heading2"/>
        <w:widowControl/>
      </w:pPr>
      <w:r>
        <w:rPr>
          <w:color w:val="000000"/>
        </w:rPr>
        <w:t>6.5 正确性与有效性</w:t>
      </w:r>
    </w:p>
    <w:p>
      <w:pPr>
        <w:widowControl/>
      </w:pPr>
      <w:r>
        <w:t>测试覆盖预算边界、预测低估、取消/完成竞争、异常返回和重复回收；小轨迹核对时序与计数，至少一次 2 小时运行检查资源增长与恢复。原始引擎与仅加观测版本比较，量化测量开销。客户端发送滞后、缓存、温度及实际输出长度均保留在运行记录中。</w:t>
      </w:r>
    </w:p>
    <w:p>
      <w:pPr>
        <w:pStyle w:val="Heading1"/>
        <w:widowControl/>
      </w:pPr>
      <w:r>
        <w:rPr>
          <w:color w:val="000000"/>
        </w:rPr>
        <w:t>七 可行性与范围控制</w:t>
      </w:r>
    </w:p>
    <w:p>
      <w:pPr>
        <w:pStyle w:val="Heading2"/>
        <w:widowControl/>
      </w:pPr>
      <w:r>
        <w:rPr>
          <w:color w:val="000000"/>
        </w:rPr>
        <w:t>7.1 研究基础</w:t>
      </w:r>
    </w:p>
    <w:p>
      <w:pPr>
        <w:widowControl/>
      </w:pPr>
      <w:r>
        <w:t>已形成方案与操作稿，并核实硬件、WSL GPU 可见性及构建工具版本。G0 仍需完成 llama.cpp 编译、模型加载、接入/取消/回收路径定位及初步干扰实验。llama-bench 用于基础性能标定，服务排队和尾延迟由请求回放测量[11][12]。</w:t>
      </w:r>
    </w:p>
    <w:p>
      <w:pPr>
        <w:pStyle w:val="Heading2"/>
        <w:widowControl/>
      </w:pPr>
      <w:r>
        <w:rPr>
          <w:color w:val="000000"/>
        </w:rPr>
        <w:t>7.2 工作量</w:t>
      </w:r>
    </w:p>
    <w:p>
      <w:pPr>
        <w:widowControl/>
      </w:pPr>
      <w:r>
        <w:t>初始预算 250 人时，其中任务 230、缓冲 20。首轮原型后按接口、实现、实验、分析与全周期论文分项校准；GPU 自动运行机时单列。超预算先删 R08 和非核心附加场景，保留主要基线、最近邻与必要消融；阶段预算与变更规则统一见开发计划。</w:t>
      </w:r>
    </w:p>
    <w:p>
      <w:pPr>
        <w:pStyle w:val="Heading2"/>
        <w:widowControl/>
      </w:pPr>
      <w:r>
        <w:rPr>
          <w:color w:val="000000"/>
        </w:rPr>
        <w:t>7.3 决策分支</w:t>
      </w:r>
    </w:p>
    <w:p>
      <w:pPr>
        <w:widowControl/>
      </w:pPr>
      <w:r>
        <w:t>G0 判断环境、接入路径和初步测量；G2 判断容量、回收、软预算与公平控制设计。证据不足先修测量或补重复；有代表性的测试未见干扰时收窄问题或重新论证；软规则很少改变决策时检验其冗余边界；R08 不可可靠接入时删除该扩展。每次切换记录触发证据、保留资产及新验收办法，细则见开发计划 §4.3。</w:t>
      </w:r>
    </w:p>
    <w:p>
      <w:pPr>
        <w:widowControl/>
      </w:pPr>
      <w:r>
        <w:t>备用命题区分软硬两侧：预测误差影响软准入，硬预留代价则需另控容量、输出上限或实际长度与上限差距。</w:t>
      </w:r>
    </w:p>
    <w:p>
      <w:pPr>
        <w:pStyle w:val="Heading1"/>
        <w:widowControl/>
      </w:pPr>
      <w:r>
        <w:rPr>
          <w:color w:val="000000"/>
        </w:rPr>
        <w:t>八 成果与进度</w:t>
      </w:r>
    </w:p>
    <w:p>
      <w:pPr>
        <w:widowControl/>
      </w:pPr>
      <w:r>
        <w:t>交付系统补丁和构建说明、回放轨迹及配置、原始日志与统计脚本、毕业论文和演示材料。图表追溯至运行 ID，至少一组主实验可重跑。工程验收以生命周期、预算、观测和复现为基础，性能目标作为待检验假设。</w:t>
      </w:r>
    </w:p>
    <w:p>
      <w:pPr>
        <w:widowControl/>
      </w:pPr>
      <w:r>
        <w:t>P0 文献与可行性（2026-10-19—11-08）；P1 需求与预注册（11-09—11-29）；P2 设计与开题（11-30—12-20）；P3 基线与观测（12-21—2027-01-17）；P4 核心策略（01-18—02-28）；P5 实验（03-01—03-28，03-31 冻结）；P6 论文修订（04-01—04-25）；P7 归档答辩（04-26—05-16）。具体人时与里程碑见开发计划 §2。</w:t>
      </w:r>
    </w:p>
    <w:p>
      <w:pPr>
        <w:widowControl/>
      </w:pPr>
      <w:r>
        <w:t>学生独立完成研究、开发与论文，导师进行阶段评审。论文材料贯穿开发积累；2027 年 2 月 1—14 日安排低负载任务，具体假期依学校通知。</w:t>
      </w:r>
    </w:p>
    <w:p>
      <w:pPr>
        <w:pStyle w:val="Heading1"/>
        <w:widowControl/>
      </w:pPr>
      <w:r>
        <w:rPr>
          <w:color w:val="000000"/>
        </w:rPr>
        <w:t>九 论文结构</w:t>
      </w:r>
    </w:p>
    <w:p>
      <w:pPr>
        <w:widowControl/>
      </w:pPr>
      <w:r>
        <w:t>论文拟设七章：绪论；相关技术与研究现状；需求与问题建模；系统与调度方法设计；系统实现；测试与实验分析；总结与展望。结果章节同时解释收益、代价与边界，格式按学院模板执行。</w:t>
      </w:r>
    </w:p>
    <w:p>
      <w:pPr>
        <w:pStyle w:val="Heading1"/>
        <w:pageBreakBefore/>
      </w:pPr>
      <w:r>
        <w:t>参考文献</w:t>
      </w:r>
    </w:p>
    <w:p>
      <w:pPr>
        <w:pStyle w:val="Reference"/>
      </w:pPr>
      <w:r>
        <w:t xml:space="preserve">[1] YU G I, JEONG J S, KIM G W, et al. Orca: A Distributed Serving System for Transformer-Based Generative Models[C]//16th USENIX Symposium on Operating Systems Design and Implementation. USENIX Association, 2022: 521-538. </w:t>
      </w:r>
      <w:hyperlink r:id="rId10">
        <w:r>
          <w:rPr>
            <w:rFonts w:eastAsia="宋体" w:ascii="Times New Roman" w:hAnsi="Times New Roman"/>
            <w:color w:val="000000"/>
          </w:rPr>
          <w:t>https://www.usenix.org/conference/osdi22/presentation/yu</w:t>
        </w:r>
      </w:hyperlink>
      <w:r>
        <w:t>.</w:t>
      </w:r>
    </w:p>
    <w:p>
      <w:pPr>
        <w:pStyle w:val="Reference"/>
      </w:pPr>
      <w:r>
        <w:t xml:space="preserve">[2] KWON W, LI Z, ZHUANG S, et al. Efficient Memory Management for Large Language Model Serving with PagedAttention[C]//Proceedings of the 29th Symposium on Operating Systems Principles. 2023. </w:t>
      </w:r>
      <w:hyperlink r:id="rId11">
        <w:r>
          <w:rPr>
            <w:rFonts w:eastAsia="宋体" w:ascii="Times New Roman" w:hAnsi="Times New Roman"/>
            <w:color w:val="000000"/>
          </w:rPr>
          <w:t>https://arxiv.org/abs/2309.06180</w:t>
        </w:r>
      </w:hyperlink>
      <w:r>
        <w:t>.</w:t>
      </w:r>
    </w:p>
    <w:p>
      <w:pPr>
        <w:pStyle w:val="Reference"/>
      </w:pPr>
      <w:r>
        <w:t xml:space="preserve">[3] ZHENG L, YIN L, XIE Z, et al. SGLang: Efficient Execution of Structured Language Model Programs[C]//Advances in Neural Information Processing Systems 37. 2024: 62557-62583. </w:t>
      </w:r>
      <w:hyperlink r:id="rId12">
        <w:r>
          <w:rPr>
            <w:rFonts w:eastAsia="宋体" w:ascii="Times New Roman" w:hAnsi="Times New Roman"/>
            <w:color w:val="000000"/>
          </w:rPr>
          <w:t>https://proceedings.neurips.cc/paper_files/paper/2024/hash/724be4472168f31ba1c9ac630f15dec8-Abstract-Conference.html</w:t>
        </w:r>
      </w:hyperlink>
      <w:r>
        <w:t>.</w:t>
      </w:r>
    </w:p>
    <w:p>
      <w:pPr>
        <w:pStyle w:val="Reference"/>
      </w:pPr>
      <w:r>
        <w:t xml:space="preserve">[4] AGRAWAL A, KEDIA N, PANWAR A, et al. Taming Throughput-Latency Tradeoff in LLM Inference with Sarathi-Serve[C]//18th USENIX Symposium on Operating Systems Design and Implementation. USENIX Association, 2024: 117-134. </w:t>
      </w:r>
      <w:hyperlink r:id="rId13">
        <w:r>
          <w:rPr>
            <w:rFonts w:eastAsia="宋体" w:ascii="Times New Roman" w:hAnsi="Times New Roman"/>
            <w:color w:val="000000"/>
          </w:rPr>
          <w:t>https://www.usenix.org/conference/osdi24/presentation/agrawal</w:t>
        </w:r>
      </w:hyperlink>
      <w:r>
        <w:t>.</w:t>
      </w:r>
    </w:p>
    <w:p>
      <w:pPr>
        <w:pStyle w:val="Reference"/>
      </w:pPr>
      <w:r>
        <w:t xml:space="preserve">[5] ZHONG Y, LIU S, CHEN J, et al. DistServe: Disaggregating Prefill and Decoding for Goodput-optimized Large Language Model Serving[C]//18th USENIX Symposium on Operating Systems Design and Implementation. USENIX Association, 2024: 193-210. </w:t>
      </w:r>
      <w:hyperlink r:id="rId14">
        <w:r>
          <w:rPr>
            <w:rFonts w:eastAsia="宋体" w:ascii="Times New Roman" w:hAnsi="Times New Roman"/>
            <w:color w:val="000000"/>
          </w:rPr>
          <w:t>https://www.usenix.org/conference/osdi24/presentation/zhong-yinmin</w:t>
        </w:r>
      </w:hyperlink>
      <w:r>
        <w:t>.</w:t>
      </w:r>
    </w:p>
    <w:p>
      <w:pPr>
        <w:pStyle w:val="Reference"/>
      </w:pPr>
      <w:r>
        <w:t xml:space="preserve">[6] ZHENG H, ZHANG Y, FU F, et al. Scheduling LLM Inference with Uncertainty-Aware Output Length Predictions[C]//Proceedings of the 43rd International Conference on Machine Learning. PMLR, 2026, 306: 163894-163918. </w:t>
      </w:r>
      <w:hyperlink r:id="rId15">
        <w:r>
          <w:rPr>
            <w:rFonts w:eastAsia="宋体" w:ascii="Times New Roman" w:hAnsi="Times New Roman"/>
            <w:color w:val="000000"/>
          </w:rPr>
          <w:t>https://proceedings.mlr.press/v306/zheng26ae.html</w:t>
        </w:r>
      </w:hyperlink>
      <w:r>
        <w:t>.</w:t>
      </w:r>
    </w:p>
    <w:p>
      <w:pPr>
        <w:pStyle w:val="Reference"/>
      </w:pPr>
      <w:r>
        <w:t xml:space="preserve">[7] LI Y, CHEN Y, CHEN J, et al. Beyond Prediction: Tail-Aware Scheduling for LLM Inference[C]//Proceedings of the 43rd International Conference on Machine Learning. PMLR, 2026, 306: 66188-66203. </w:t>
      </w:r>
      <w:hyperlink r:id="rId16">
        <w:r>
          <w:rPr>
            <w:rFonts w:eastAsia="宋体" w:ascii="Times New Roman" w:hAnsi="Times New Roman"/>
            <w:color w:val="000000"/>
          </w:rPr>
          <w:t>https://proceedings.mlr.press/v306/li26n.html</w:t>
        </w:r>
      </w:hyperlink>
      <w:r>
        <w:t>.</w:t>
      </w:r>
    </w:p>
    <w:p>
      <w:pPr>
        <w:pStyle w:val="Reference"/>
      </w:pPr>
      <w:r>
        <w:t xml:space="preserve">[8] CHENG J, DO D T, NGUYEN D T. Robust KV Cache Management for LLM Serving under Output Token Length Uncertainty[EB/OL]. arXiv:2607.16892, 2026[2026-10-19]. </w:t>
      </w:r>
      <w:hyperlink r:id="rId17">
        <w:r>
          <w:rPr>
            <w:rFonts w:eastAsia="宋体" w:ascii="Times New Roman" w:hAnsi="Times New Roman"/>
            <w:color w:val="000000"/>
          </w:rPr>
          <w:t>https://arxiv.org/abs/2607.16892</w:t>
        </w:r>
      </w:hyperlink>
      <w:r>
        <w:t>.</w:t>
      </w:r>
      <w:r>
        <w:t xml:space="preserve"> 预印本.</w:t>
      </w:r>
    </w:p>
    <w:p>
      <w:pPr>
        <w:pStyle w:val="Reference"/>
      </w:pPr>
      <w:r>
        <w:t xml:space="preserve">[9] ZHANG T, CHEN Y, ZHAO Y, et al. MAPS: Memory-Aware Predictive Scheduling Framework for Large Language Model Serving[C]//Proceedings of the 43rd International Conference on Machine Learning. PMLR, 2026, 306: 154599-154616. </w:t>
      </w:r>
      <w:hyperlink r:id="rId18">
        <w:r>
          <w:rPr>
            <w:rFonts w:eastAsia="宋体" w:ascii="Times New Roman" w:hAnsi="Times New Roman"/>
            <w:color w:val="000000"/>
          </w:rPr>
          <w:t>https://proceedings.mlr.press/v306/zhang26s.html</w:t>
        </w:r>
      </w:hyperlink>
      <w:r>
        <w:t>.</w:t>
      </w:r>
    </w:p>
    <w:p>
      <w:pPr>
        <w:pStyle w:val="Reference"/>
      </w:pPr>
      <w:r>
        <w:t xml:space="preserve">[10] ZHANG H, CHE A, QI H, et al. Quota-Based Aging for Prediction-Guided Scheduling in LLM Serving[EB/OL]. arXiv:2610.17795, 2026[2026-10-19]. </w:t>
      </w:r>
      <w:hyperlink r:id="rId19">
        <w:r>
          <w:rPr>
            <w:rFonts w:eastAsia="宋体" w:ascii="Times New Roman" w:hAnsi="Times New Roman"/>
            <w:color w:val="000000"/>
          </w:rPr>
          <w:t>https://arxiv.org/abs/2610.17795</w:t>
        </w:r>
      </w:hyperlink>
      <w:r>
        <w:t>.</w:t>
      </w:r>
      <w:r>
        <w:t xml:space="preserve"> 引用公开预印本版本.</w:t>
      </w:r>
    </w:p>
    <w:p>
      <w:pPr>
        <w:pStyle w:val="Reference"/>
      </w:pPr>
      <w:r>
        <w:t xml:space="preserve">[11] ggml-org. llama.cpp HTTP Server Documentation[EB/OL]. [2026-10-19]. </w:t>
      </w:r>
      <w:hyperlink r:id="rId20">
        <w:r>
          <w:rPr>
            <w:rFonts w:eastAsia="宋体" w:ascii="Times New Roman" w:hAnsi="Times New Roman"/>
            <w:color w:val="000000"/>
          </w:rPr>
          <w:t>https://github.com/ggml-org/llama.cpp/blob/master/tools/server/README.md</w:t>
        </w:r>
      </w:hyperlink>
      <w:r>
        <w:t>.</w:t>
      </w:r>
    </w:p>
    <w:p>
      <w:pPr>
        <w:pStyle w:val="Reference"/>
      </w:pPr>
      <w:r>
        <w:t xml:space="preserve">[12] ggml-org. llama-bench Documentation[EB/OL]. [2026-10-19]. </w:t>
      </w:r>
      <w:hyperlink r:id="rId21">
        <w:r>
          <w:rPr>
            <w:rFonts w:eastAsia="宋体" w:ascii="Times New Roman" w:hAnsi="Times New Roman"/>
            <w:color w:val="000000"/>
          </w:rPr>
          <w:t>https://github.com/ggml-org/llama.cpp/blob/master/tools/llama-bench/README.md</w:t>
        </w:r>
      </w:hyperlink>
      <w:r>
        <w:t>.</w:t>
      </w:r>
    </w:p>
    <w:p>
      <w:pPr>
        <w:pStyle w:val="Heading1"/>
      </w:pPr>
      <w:r>
        <w:t>指导教师意见</w:t>
      </w:r>
    </w:p>
    <w:p>
      <w:pPr/>
      <w:r>
        <w:t>________________________________________________________________</w:t>
      </w:r>
    </w:p>
    <w:p>
      <w:pPr/>
      <w:r>
        <w:t>________________________________________________________________</w:t>
      </w:r>
    </w:p>
    <w:p>
      <w:pPr/>
      <w:r>
        <w:t>指导教师签字：________________　日期：________________</w:t>
      </w:r>
    </w:p>
    <w:sectPr w:rsidR="00FC693F" w:rsidRPr="0006063C" w:rsidSect="00034616">
      <w:footerReference w:type="default" r:id="rId9"/>
      <w:pgSz w:w="11906" w:h="16838"/>
      <w:pgMar w:top="1304" w:right="1247" w:bottom="1191" w:left="1304"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300" w:lineRule="auto"/>
      <w:ind w:firstLine="440"/>
    </w:pPr>
    <w:rPr>
      <w:rFonts w:ascii="Times New Roman" w:hAnsi="Times New Roman" w:eastAsia="宋体"/>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ind w:firstLine="0"/>
      <w:outlineLvl w:val="0"/>
    </w:pPr>
    <w:rPr>
      <w:rFonts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ind w:firstLine="0"/>
      <w:outlineLvl w:val="1"/>
    </w:pPr>
    <w:rPr>
      <w:rFonts w:ascii="Times New Roman" w:hAnsi="Times New Roman" w:eastAsia="黑体"/>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ind w:firstLine="0"/>
      <w:contextualSpacing/>
    </w:pPr>
    <w:rPr>
      <w:rFonts w:ascii="Times New Roman" w:hAnsi="Times New Roman" w:eastAsia="黑体"/>
      <w:b/>
      <w:i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ind w:firstLine="0"/>
    </w:pPr>
    <w:rPr>
      <w:rFonts w:ascii="Times New Roman" w:hAnsi="Times New Roman" w:eastAsia="黑体"/>
      <w:b/>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宋体"/>
      <w:b w:val="0"/>
      <w:i w:val="0"/>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eastAsia="宋体"/>
      <w:b w:val="0"/>
      <w:i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80" w:line="276" w:lineRule="auto"/>
      <w:ind w:firstLine="0"/>
    </w:pPr>
    <w:rPr>
      <w:rFonts w:ascii="Times New Roman" w:hAnsi="Times New Roman" w:eastAsia="宋体"/>
      <w:b w:val="0"/>
      <w:i w:val="0"/>
      <w:color w:val="000000"/>
      <w:sz w:val="19"/>
    </w:rPr>
  </w:style>
  <w:style w:type="paragraph" w:customStyle="1" w:styleId="Reference">
    <w:name w:val="Reference"/>
    <w:pPr>
      <w:spacing w:after="80" w:line="276" w:lineRule="auto"/>
      <w:ind w:left="369" w:hanging="369"/>
    </w:pPr>
    <w:rPr>
      <w:rFonts w:ascii="Times New Roman" w:hAnsi="Times New Roman" w:eastAsia="宋体"/>
      <w:b w:val="0"/>
      <w:i w:val="0"/>
      <w:color w:val="000000"/>
      <w:sz w:val="19"/>
    </w:rPr>
  </w:style>
  <w:style w:type="paragraph" w:customStyle="1" w:styleId="CoverText">
    <w:name w:val="Cover Text"/>
    <w:pPr>
      <w:spacing w:after="80" w:line="276" w:lineRule="auto"/>
      <w:ind w:firstLine="0"/>
    </w:pPr>
    <w:rPr>
      <w:rFonts w:ascii="Times New Roman" w:hAnsi="Times New Roman" w:eastAsia="宋体"/>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usenix.org/conference/osdi22/presentation/yu" TargetMode="External"/><Relationship Id="rId11" Type="http://schemas.openxmlformats.org/officeDocument/2006/relationships/hyperlink" Target="https://arxiv.org/abs/2309.06180" TargetMode="External"/><Relationship Id="rId12" Type="http://schemas.openxmlformats.org/officeDocument/2006/relationships/hyperlink" Target="https://proceedings.neurips.cc/paper_files/paper/2024/hash/724be4472168f31ba1c9ac630f15dec8-Abstract-Conference.html" TargetMode="External"/><Relationship Id="rId13" Type="http://schemas.openxmlformats.org/officeDocument/2006/relationships/hyperlink" Target="https://www.usenix.org/conference/osdi24/presentation/agrawal" TargetMode="External"/><Relationship Id="rId14" Type="http://schemas.openxmlformats.org/officeDocument/2006/relationships/hyperlink" Target="https://www.usenix.org/conference/osdi24/presentation/zhong-yinmin" TargetMode="External"/><Relationship Id="rId15" Type="http://schemas.openxmlformats.org/officeDocument/2006/relationships/hyperlink" Target="https://proceedings.mlr.press/v306/zheng26ae.html" TargetMode="External"/><Relationship Id="rId16" Type="http://schemas.openxmlformats.org/officeDocument/2006/relationships/hyperlink" Target="https://proceedings.mlr.press/v306/li26n.html" TargetMode="External"/><Relationship Id="rId17" Type="http://schemas.openxmlformats.org/officeDocument/2006/relationships/hyperlink" Target="https://arxiv.org/abs/2607.16892" TargetMode="External"/><Relationship Id="rId18" Type="http://schemas.openxmlformats.org/officeDocument/2006/relationships/hyperlink" Target="https://proceedings.mlr.press/v306/zhang26s.html" TargetMode="External"/><Relationship Id="rId19" Type="http://schemas.openxmlformats.org/officeDocument/2006/relationships/hyperlink" Target="https://arxiv.org/abs/2610.17795" TargetMode="External"/><Relationship Id="rId20" Type="http://schemas.openxmlformats.org/officeDocument/2006/relationships/hyperlink" Target="https://github.com/ggml-org/llama.cpp/blob/master/tools/server/README.md" TargetMode="External"/><Relationship Id="rId21" Type="http://schemas.openxmlformats.org/officeDocument/2006/relationships/hyperlink" Target="https://github.com/ggml-org/llama.cpp/blob/master/tools/llama-bench/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面向混合长短请求的 LLM 推理准入与尾延迟控制系统 开题报告</dc:title>
  <dc:subject>本科毕业设计</dc:subject>
  <dc:creator/>
  <cp:keywords>LLM C++ Linux 推理服务 调度 尾延迟</cp:keywords>
  <dc:description>generated by python-docx</dc:description>
  <cp:lastModifiedBy/>
  <cp:revision>1</cp:revision>
  <dcterms:created xsi:type="dcterms:W3CDTF">2013-12-23T23:15:00Z</dcterms:created>
  <dcterms:modified xsi:type="dcterms:W3CDTF">2013-12-23T23:15:00Z</dcterms:modified>
  <cp:category/>
  <cp:version>1.2</cp:version>
</cp:coreProperties>
</file>