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7887">
      <w:pPr>
        <w:pStyle w:val="31"/>
        <w:spacing w:before="0" w:after="200" w:line="240" w:lineRule="auto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EGDM HGPPO 完整实验结果汇总报告</w:t>
      </w:r>
    </w:p>
    <w:p w14:paraId="3130C537">
      <w:pPr>
        <w:spacing w:before="0" w:after="360" w:line="276" w:lineRule="auto"/>
        <w:jc w:val="center"/>
      </w:pPr>
      <w:r>
        <w:rPr>
          <w:rFonts w:ascii="微软雅黑" w:hAnsi="微软雅黑" w:eastAsia="微软雅黑"/>
          <w:b w:val="0"/>
          <w:color w:val="404040"/>
          <w:sz w:val="24"/>
        </w:rPr>
        <w:t>实验结论与下一步方案</w:t>
      </w:r>
    </w:p>
    <w:p w14:paraId="475C771A">
      <w:pPr>
        <w:spacing w:before="0" w:after="320" w:line="276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报告日期：2026-09-28</w:t>
      </w:r>
    </w:p>
    <w:p w14:paraId="310A5949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一 报告结论</w:t>
      </w:r>
    </w:p>
    <w:p w14:paraId="54D9139D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当前代码包已经完成主模型、传统基线、学习型基线、精确参考、XL 泛化、敏感性、结构因素和消融评估数据的生成与汇总。结果文件可以用于和导师讨论，但不宜直接写成“EGDM HGPPO 全面优于所有基线”。</w:t>
      </w:r>
    </w:p>
    <w:p w14:paraId="380244C2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主模型在六个固定测试算例上全部可行，并优于部分学习型基线；但是 Periodic ATC、RH ALNS 和 RH MILP 的 TWT 明显更低。消融结果显示事件门控、阶段节点和持续时间感知 GAE 被移除后通常变差，但周期门控、同构 GAT 和去掉势函数塑形的结果反而优于完整模型。</w:t>
      </w:r>
    </w:p>
    <w:p w14:paraId="0EA7B424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因此，当前最稳妥的论文表述是：EGDM HGPPO 能够在动态人机协同装配环境中完成可行的在线调度和资源重构，并对部分学习型基线表现出优势；其相对于强传统基线的整体优越性尚未被当前数据证明。</w:t>
      </w:r>
    </w:p>
    <w:p w14:paraId="11C6594C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已完成数据可用于导师确认：主对比表 66 行，敏感性 2970 行，结构因素 99 行，消融结果 48 个有效测试行。</w:t>
      </w:r>
    </w:p>
    <w:p w14:paraId="114B5F23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消融中的 sequential dispatch 和 single critic 没有有效 best model，原因是固定验证仍有算例超过决策上限，不应伪造为正常 TWT。</w:t>
      </w:r>
    </w:p>
    <w:p w14:paraId="1138429F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正式实验采用单 seed 0，每个结构组合主要使用一个固定算例，因此统计结论属于描述性结论。</w:t>
      </w:r>
    </w:p>
    <w:p w14:paraId="478DBF90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二 实验完成状态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03"/>
        <w:gridCol w:w="6888"/>
      </w:tblGrid>
      <w:tr w14:paraId="003C7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B90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实验部分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1E6A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1E0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数据说明</w:t>
            </w:r>
          </w:p>
        </w:tc>
      </w:tr>
      <w:tr w14:paraId="6CFDA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3AE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主模型训练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A691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698A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200 轮；seed 0；best_model.pt 已用于正式评估</w:t>
            </w:r>
          </w:p>
        </w:tc>
      </w:tr>
      <w:tr w14:paraId="16FAA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B210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传统基线对比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3E8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6A2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Fixed EDD、Periodic ATC、Threshold EDD、Bottleneck Rule、RH MILP、RH ALNS</w:t>
            </w:r>
          </w:p>
        </w:tc>
      </w:tr>
      <w:tr w14:paraId="6CB17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5438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学习型基线训练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1AA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8C3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MLP PPO、GAT PPO、HGT PPO Flat、HGT MAPPO</w:t>
            </w:r>
          </w:p>
        </w:tc>
      </w:tr>
      <w:tr w14:paraId="4980C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BAE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正式固定测试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2316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A0D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 个 S/M/L 测试算例，11 种方法，共 66 行</w:t>
            </w:r>
          </w:p>
        </w:tc>
      </w:tr>
      <w:tr w14:paraId="63769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2735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精确参考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6D43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已完成但未得最优解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6AFA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两个 S 级算例均达到时间上限，不能作为严格最优值</w:t>
            </w:r>
          </w:p>
        </w:tc>
      </w:tr>
      <w:tr w14:paraId="2B1E6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72B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XL 泛化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91D9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A52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 个 XL 算例，EGDM HGPPO 均可完成；没有对照方法</w:t>
            </w:r>
          </w:p>
        </w:tc>
      </w:tr>
      <w:tr w14:paraId="79707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D5F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敏感性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15DD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F77A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45 个参数单元，270 个实例，11 种方法，共 2970 行</w:t>
            </w:r>
          </w:p>
        </w:tc>
      </w:tr>
      <w:tr w14:paraId="596FF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5F08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结构因素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85E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E05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 个控制单元，11 种方法，共 99 行；HGT MAPPO 有 1 次未终止</w:t>
            </w:r>
          </w:p>
        </w:tc>
      </w:tr>
      <w:tr w14:paraId="36CB1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832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消融评估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077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已完成但有缺失变体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061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 个变体有有效结果；2 个变体缺少 best_model.pt</w:t>
            </w:r>
          </w:p>
        </w:tc>
      </w:tr>
      <w:tr w14:paraId="09DD4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1756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统计汇总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131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已完成</w:t>
            </w:r>
          </w:p>
        </w:tc>
        <w:tc>
          <w:tcPr>
            <w:tcW w:w="69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B24A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stats_summary.csv 已重新生成，包含六类结果来源</w:t>
            </w:r>
          </w:p>
        </w:tc>
      </w:tr>
    </w:tbl>
    <w:p w14:paraId="3F14F18B">
      <w:pPr>
        <w:spacing w:after="40"/>
      </w:pPr>
    </w:p>
    <w:p w14:paraId="73B0B390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三 统一实验设置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8304"/>
      </w:tblGrid>
      <w:tr w14:paraId="22951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5F79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51A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当前设置</w:t>
            </w:r>
          </w:p>
        </w:tc>
      </w:tr>
      <w:tr w14:paraId="681BA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849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训练协议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180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Scheme 2；无课程训练；每轮重新随机生成 S/M/L 在线实例</w:t>
            </w:r>
          </w:p>
        </w:tc>
      </w:tr>
      <w:tr w14:paraId="6E215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2D2A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265B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正式训练 seed 0，单次训练</w:t>
            </w:r>
          </w:p>
        </w:tc>
      </w:tr>
      <w:tr w14:paraId="78BF5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79D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训练预算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4D14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200 PPO iterations；每轮 4096 events；32 parallel environments</w:t>
            </w:r>
          </w:p>
        </w:tc>
      </w:tr>
      <w:tr w14:paraId="1A6F6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DB63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PPO 设置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063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3 PPO epochs；逻辑 minibatch 512；物理 replay microbatch 128</w:t>
            </w:r>
          </w:p>
        </w:tc>
      </w:tr>
      <w:tr w14:paraId="10D63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AEC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验证与测试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185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固定验证集用于 checkpoint 选择；独立固定测试集用于正式比较</w:t>
            </w:r>
          </w:p>
        </w:tc>
      </w:tr>
      <w:tr w14:paraId="6CB60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D577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主要目标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4EEE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最小化总加权拖期时间 TWT</w:t>
            </w:r>
          </w:p>
        </w:tc>
      </w:tr>
      <w:tr w14:paraId="263D8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90B4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公平性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BC00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学习型基线使用相同 seed、训练轮数、事件预算和在线结构分布</w:t>
            </w:r>
          </w:p>
        </w:tc>
      </w:tr>
    </w:tbl>
    <w:p w14:paraId="73AB5456">
      <w:pPr>
        <w:spacing w:after="40"/>
      </w:pPr>
    </w:p>
    <w:p w14:paraId="12EF2D03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验证集和测试集的实例 ID 没有重叠，主对比表中每种方法均覆盖相同的六个测试实例。奖励恒等式误差在正式对比中约为 7.6e-10 以内，说明 TWT 奖励累计与最终 TWT 的实现基本一致。</w:t>
      </w:r>
    </w:p>
    <w:p w14:paraId="67DF8200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四 主模型与基线对比</w:t>
      </w:r>
    </w:p>
    <w:p w14:paraId="28CA0656">
      <w:pPr>
        <w:spacing w:before="80" w:after="60" w:line="276" w:lineRule="auto"/>
      </w:pPr>
      <w:r>
        <w:rPr>
          <w:rFonts w:ascii="微软雅黑" w:hAnsi="微软雅黑" w:eastAsia="微软雅黑"/>
          <w:b/>
          <w:color w:val="404040"/>
          <w:sz w:val="18"/>
        </w:rPr>
        <w:t>表 1 六个固定测试算例上的主对比结果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936"/>
        <w:gridCol w:w="1080"/>
        <w:gridCol w:w="1584"/>
        <w:gridCol w:w="1584"/>
        <w:gridCol w:w="1728"/>
      </w:tblGrid>
      <w:tr w14:paraId="0C3A2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C72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5350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算例数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112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可行数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33E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 TWT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53A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平均耗时 s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C88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平均决策 ms</w:t>
            </w:r>
          </w:p>
        </w:tc>
      </w:tr>
      <w:tr w14:paraId="11116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BAC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EGDM-HGPPO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21BF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3672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D5D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54,561.81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99BB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118.74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BCED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61.86</w:t>
            </w:r>
          </w:p>
        </w:tc>
      </w:tr>
      <w:tr w14:paraId="681BC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7EFB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Periodic-ATC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876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9D5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6259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27,012.90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2A1F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13.93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02A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2.66</w:t>
            </w:r>
          </w:p>
        </w:tc>
      </w:tr>
      <w:tr w14:paraId="1EDC5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C19A3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RH-ALNS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50B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C874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E9F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29,438.36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B2B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20.48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397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5.52</w:t>
            </w:r>
          </w:p>
        </w:tc>
      </w:tr>
      <w:tr w14:paraId="7376B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B3F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RH-MILP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20A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58E6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36C1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30,846.56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9F6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18.47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8E5C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5.48</w:t>
            </w:r>
          </w:p>
        </w:tc>
      </w:tr>
      <w:tr w14:paraId="3F772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319F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Bottleneck-Rule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D5C4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87E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2B7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42,575.73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ADE9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20.00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05BD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6.73</w:t>
            </w:r>
          </w:p>
        </w:tc>
      </w:tr>
      <w:tr w14:paraId="02E3B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458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Threshold-EDD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437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284E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9D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42,575.73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1B2F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19.97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96A5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6.69</w:t>
            </w:r>
          </w:p>
        </w:tc>
      </w:tr>
      <w:tr w14:paraId="1543A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A9B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Fixed-EDD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BA5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599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1830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52,979.92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C88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9.88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291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0.27</w:t>
            </w:r>
          </w:p>
        </w:tc>
      </w:tr>
      <w:tr w14:paraId="052C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A321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GAT-PPO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F42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265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716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53,643.85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395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69.86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1DED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59.43</w:t>
            </w:r>
          </w:p>
        </w:tc>
      </w:tr>
      <w:tr w14:paraId="4FE93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1A1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MLP-PPO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189E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EB5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90C4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62,240.77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A58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82.84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AA8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57.30</w:t>
            </w:r>
          </w:p>
        </w:tc>
      </w:tr>
      <w:tr w14:paraId="01F06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8B0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HGT-MAPPO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8640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54B1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58C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73,394.27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266A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149.20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0F1B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57.15</w:t>
            </w:r>
          </w:p>
        </w:tc>
      </w:tr>
      <w:tr w14:paraId="51B6F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ABA0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HGT-PPO-Flat</w:t>
            </w:r>
          </w:p>
        </w:tc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AB30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ED8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6/6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DB4A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75,398.53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10E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88.81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48CC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61.39</w:t>
            </w:r>
          </w:p>
        </w:tc>
      </w:tr>
    </w:tbl>
    <w:p w14:paraId="56282A0A">
      <w:pPr>
        <w:spacing w:after="40"/>
      </w:pPr>
    </w:p>
    <w:p w14:paraId="77596C12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主模型 EGDM HGPPO 的平均 TWT 为 54,561.81，六个算例全部可行。它优于 MLP PPO、HGT PPO Flat 和 HGT MAPPO，也与 GAT PPO 接近；但 Periodic ATC、RH ALNS、RH MILP 和 Bottleneck Rule 的平均 TWT 更低。传统强基线在相同固定算例上针对当前状态直接决策，因此目前不能据此宣称 EGDM HGPPO 全面优于基线。</w:t>
      </w:r>
    </w:p>
    <w:p w14:paraId="6F3123D7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配对结果方面，EGDM HGPPO 在六个实例上分别以 0/6、0/6、0/6 的胜负结果落后 Periodic ATC、RH ALNS、RH MILP；与 GAT PPO 为 3 胜 3 负，与 MLP PPO、HGT PPO Flat、HGT MAPPO 分别为 5 胜 1 负、6 胜 0 负、5 胜 1 负。</w:t>
      </w:r>
    </w:p>
    <w:p w14:paraId="546A0BC2">
      <w:pPr>
        <w:spacing w:before="80" w:after="60" w:line="276" w:lineRule="auto"/>
      </w:pPr>
      <w:r>
        <w:rPr>
          <w:rFonts w:ascii="微软雅黑" w:hAnsi="微软雅黑" w:eastAsia="微软雅黑"/>
          <w:b/>
          <w:color w:val="404040"/>
          <w:sz w:val="18"/>
        </w:rPr>
        <w:t>表 2 按规模汇总的主要方法平均 TWT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56"/>
        <w:gridCol w:w="1656"/>
        <w:gridCol w:w="1512"/>
        <w:gridCol w:w="1512"/>
        <w:gridCol w:w="1440"/>
        <w:gridCol w:w="1440"/>
      </w:tblGrid>
      <w:tr w14:paraId="6C436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1D1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规模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3A57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EGDM HGPPO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A5D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Periodic ATC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0B0E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RH ALNS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24B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RH MILP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A86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GAT PPO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DE5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MLP PPO</w:t>
            </w:r>
          </w:p>
        </w:tc>
      </w:tr>
      <w:tr w14:paraId="68182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0822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S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6773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4,493.61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7A15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2,952.34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E83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2,893.45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CE21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3,030.25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173C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3,304.67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459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4,042.78</w:t>
            </w:r>
          </w:p>
        </w:tc>
      </w:tr>
      <w:tr w14:paraId="1C01C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949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M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B86F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20,291.06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C526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7,511.95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820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8,771.13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58F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12,021.38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BF0C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26,967.54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E68F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28,653.20</w:t>
            </w:r>
          </w:p>
        </w:tc>
      </w:tr>
      <w:tr w14:paraId="5BB24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8309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L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999C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138,900.76</w:t>
            </w:r>
          </w:p>
        </w:tc>
        <w:tc>
          <w:tcPr>
            <w:tcW w:w="165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8C4B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70,574.42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87F8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76,650.49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87A3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77,488.05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9E5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130,659.35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1CB5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154,026.35</w:t>
            </w:r>
          </w:p>
        </w:tc>
      </w:tr>
    </w:tbl>
    <w:p w14:paraId="7020D1D9">
      <w:pPr>
        <w:spacing w:after="40"/>
      </w:pPr>
    </w:p>
    <w:p w14:paraId="0248E4BF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从规模维度看，EGDM HGPPO 在 M 规模上优于 Fixed EDD、Bottleneck Rule、GAT PPO 和 MLP PPO，但仍落后于 Periodic ATC、RH ALNS 和 RH MILP；在 S、L 规模上也没有形成对传统强基线的优势。</w:t>
      </w:r>
    </w:p>
    <w:p w14:paraId="1DD337E2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五 精确参考与最优性限制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4"/>
        <w:gridCol w:w="1834"/>
        <w:gridCol w:w="1740"/>
        <w:gridCol w:w="784"/>
        <w:gridCol w:w="1834"/>
      </w:tblGrid>
      <w:tr w14:paraId="39B5C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BB9B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算例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F8E0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求解器目标值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ADA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MIP gap</w:t>
            </w:r>
          </w:p>
        </w:tc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C65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最优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5104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耗时 s</w:t>
            </w:r>
          </w:p>
        </w:tc>
      </w:tr>
      <w:tr w14:paraId="6382E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8652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test_S_06_04_02_20_D1_rho065_tight_000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11E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10988.051670550054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538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0.999593167721091</w:t>
            </w:r>
          </w:p>
        </w:tc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97C9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False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09CF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3600.7050479000027</w:t>
            </w:r>
          </w:p>
        </w:tc>
      </w:tr>
      <w:tr w14:paraId="0C601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B260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test_S_07_04_04_35_D2_rho080_medium_000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D60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未找到可行解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5B33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-</w:t>
            </w:r>
          </w:p>
        </w:tc>
        <w:tc>
          <w:tcPr>
            <w:tcW w:w="10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19A9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False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2BD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3614.749246100022</w:t>
            </w:r>
          </w:p>
        </w:tc>
      </w:tr>
    </w:tbl>
    <w:p w14:paraId="2ECE4D9E">
      <w:pPr>
        <w:spacing w:after="40"/>
      </w:pPr>
    </w:p>
    <w:p w14:paraId="08921FAA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两个精确参考算例均触发约一小时的时间上限。第一个算例虽然得到可行解，但 MIP gap 约为 99.96%，没有证明最优；第二个算例没有得到可行解。因此 ref_exact.csv 只能作为求解器运行记录，不能作为完整的最优性基准。</w:t>
      </w:r>
    </w:p>
    <w:p w14:paraId="0F9FB22B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六 XL 泛化实验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440"/>
        <w:gridCol w:w="1440"/>
        <w:gridCol w:w="1872"/>
        <w:gridCol w:w="1872"/>
      </w:tblGrid>
      <w:tr w14:paraId="73BCB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9A27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D91E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XL 算例数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C4FC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可行数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4AB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 TWT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9EF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平均耗时 s</w:t>
            </w:r>
          </w:p>
        </w:tc>
      </w:tr>
      <w:tr w14:paraId="4F550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E944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EGDM-HGPPO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57F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3B9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2/2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961B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368,767.99</w:t>
            </w:r>
          </w:p>
        </w:tc>
        <w:tc>
          <w:tcPr>
            <w:tcW w:w="18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16C7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1,325.77</w:t>
            </w:r>
          </w:p>
        </w:tc>
      </w:tr>
    </w:tbl>
    <w:p w14:paraId="109D8FA7">
      <w:pPr>
        <w:spacing w:after="40"/>
      </w:pPr>
    </w:p>
    <w:p w14:paraId="38838AB3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XL 实验包含两个超出 S/M/L 训练范围的测试算例，EGDM HGPPO 两个算例均完成。当前 XL 实验没有同步运行传统和学习型对照方法，因此只能说明模型具备运行到 XL 规模的能力，不能说明其泛化性能优于其他方法。</w:t>
      </w:r>
    </w:p>
    <w:p w14:paraId="57A28094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七 敏感性实验</w:t>
      </w:r>
    </w:p>
    <w:p w14:paraId="734A139A">
      <w:pPr>
        <w:spacing w:before="0" w:after="10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敏感性实验共有 45 个因素组合、270 个固定实例和 11 种方法，共 2970 行。因素包括 relocation multiplier、worker skill density 和 robot capability density。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080"/>
        <w:gridCol w:w="1440"/>
        <w:gridCol w:w="1944"/>
        <w:gridCol w:w="1944"/>
      </w:tblGrid>
      <w:tr w14:paraId="01861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9E7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FAE6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行数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5B16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可行数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BDD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 TWT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C33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平均耗时 s</w:t>
            </w:r>
          </w:p>
        </w:tc>
      </w:tr>
      <w:tr w14:paraId="3B5EC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7EC3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Periodic-ATC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418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4A9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84D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25,617.21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9F98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11.64</w:t>
            </w:r>
          </w:p>
        </w:tc>
      </w:tr>
      <w:tr w14:paraId="3EFFC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330B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RH-ALNS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8771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87A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4986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27,713.05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2EF9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18.06</w:t>
            </w:r>
          </w:p>
        </w:tc>
      </w:tr>
      <w:tr w14:paraId="067C0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A552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RH-MILP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FAB5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D115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3289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30,442.15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21D8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16.09</w:t>
            </w:r>
          </w:p>
        </w:tc>
      </w:tr>
      <w:tr w14:paraId="7670B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95EC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Threshold-EDD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F512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0CFB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C24E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37,706.25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E445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16.14</w:t>
            </w:r>
          </w:p>
        </w:tc>
      </w:tr>
      <w:tr w14:paraId="5E1B6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56B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Bottleneck-Rule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D59C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165A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134C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37,706.25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B951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16.08</w:t>
            </w:r>
          </w:p>
        </w:tc>
      </w:tr>
      <w:tr w14:paraId="52050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3CE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EGDM-HGPPO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B858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F24B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9F5B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54,883.14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39A5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89.48</w:t>
            </w:r>
          </w:p>
        </w:tc>
      </w:tr>
      <w:tr w14:paraId="15F77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78A9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Fixed-EDD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66B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5A0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518B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55,389.30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EA15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9.00</w:t>
            </w:r>
          </w:p>
        </w:tc>
      </w:tr>
      <w:tr w14:paraId="1240D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844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GAT-PPO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DBEC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4DF3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0F0E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55,599.82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F6A3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47.00</w:t>
            </w:r>
          </w:p>
        </w:tc>
      </w:tr>
      <w:tr w14:paraId="0DE2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3A9F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MLP-PPO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DFB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3D1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3175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62,215.96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CCF3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55.24</w:t>
            </w:r>
          </w:p>
        </w:tc>
      </w:tr>
      <w:tr w14:paraId="6475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6ABE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HGT-PPO-Flat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CB2B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1BC5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61B9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75,220.37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DB05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79.30</w:t>
            </w:r>
          </w:p>
        </w:tc>
      </w:tr>
      <w:tr w14:paraId="4E455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1D78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HGT-MAPPO</w:t>
            </w:r>
          </w:p>
        </w:tc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E94F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270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EF27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242/270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6AF8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86,552.21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E9C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6"/>
              </w:rPr>
              <w:t>159.83</w:t>
            </w:r>
          </w:p>
        </w:tc>
      </w:tr>
    </w:tbl>
    <w:p w14:paraId="10020170">
      <w:pPr>
        <w:spacing w:after="40"/>
      </w:pPr>
    </w:p>
    <w:p w14:paraId="32DA8A55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敏感性结果与主对比方向一致：Periodic ATC、RH ALNS 和 RH MILP 的平均 TWT 仍低于 EGDM HGPPO。EGDM HGPPO 在 270 个敏感性实例中全部可行；HGT MAPPO 有 28 个实例超过 6000 次决策上限，报告时应同时保留可行率。</w:t>
      </w:r>
    </w:p>
    <w:p w14:paraId="24C84491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八 结构因素实验</w:t>
      </w:r>
    </w:p>
    <w:p w14:paraId="4DFC1B22">
      <w:pPr>
        <w:spacing w:before="0" w:after="10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结构因素实验设置 9 个控制单元，分别考察 S、M、R、J 等结构因素变化下的性能影响，共 99 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1296"/>
        <w:gridCol w:w="1584"/>
        <w:gridCol w:w="2304"/>
      </w:tblGrid>
      <w:tr w14:paraId="708AF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9B28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53FA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行数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AB2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可行数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E087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 TWT</w:t>
            </w:r>
          </w:p>
        </w:tc>
      </w:tr>
      <w:tr w14:paraId="55374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209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Periodic-ATC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FEA0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D69F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B85C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20,763.33</w:t>
            </w:r>
          </w:p>
        </w:tc>
      </w:tr>
      <w:tr w14:paraId="79ED6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4787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RH-ALNS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A152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D54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BD48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22,687.57</w:t>
            </w:r>
          </w:p>
        </w:tc>
      </w:tr>
      <w:tr w14:paraId="0BA5F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C6E9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RH-MILP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E7B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2201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D21D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26,415.26</w:t>
            </w:r>
          </w:p>
        </w:tc>
      </w:tr>
      <w:tr w14:paraId="6D4B0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97BF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HGT-MAPPO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EBA1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3793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8/9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8BA5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33,402.72</w:t>
            </w:r>
          </w:p>
        </w:tc>
      </w:tr>
      <w:tr w14:paraId="7F6E7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BA18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Threshold-EDD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0DE8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35F2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AD75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34,792.62</w:t>
            </w:r>
          </w:p>
        </w:tc>
      </w:tr>
      <w:tr w14:paraId="7B6B0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056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Bottleneck-Rule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4A46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6F11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30C7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34,792.62</w:t>
            </w:r>
          </w:p>
        </w:tc>
      </w:tr>
      <w:tr w14:paraId="442BB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5E6A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EGDM-HGPPO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D31D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C147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5457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41,989.63</w:t>
            </w:r>
          </w:p>
        </w:tc>
      </w:tr>
      <w:tr w14:paraId="79711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C2621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Fixed-EDD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4999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199C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6587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47,928.10</w:t>
            </w:r>
          </w:p>
        </w:tc>
      </w:tr>
      <w:tr w14:paraId="25B19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6A8D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MLP-PPO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B998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2C0C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BAF5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50,294.06</w:t>
            </w:r>
          </w:p>
        </w:tc>
      </w:tr>
      <w:tr w14:paraId="6B0D6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CD4DF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HGT-PPO-Flat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F70C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A6B9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127F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53,751.56</w:t>
            </w:r>
          </w:p>
        </w:tc>
      </w:tr>
      <w:tr w14:paraId="353B2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6988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GAT-PPO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988A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610A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9/9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AE8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58,828.69</w:t>
            </w:r>
          </w:p>
        </w:tc>
      </w:tr>
    </w:tbl>
    <w:p w14:paraId="3F3DCB28">
      <w:pPr>
        <w:spacing w:after="40"/>
      </w:pPr>
    </w:p>
    <w:p w14:paraId="5A14087B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EGDM HGPPO 在 9 个结构因素实例上全部可行，但平均 TWT 仍高于 Periodic ATC、RH ALNS 和 RH MILP。HGT MAPPO 有 1 个结构实例未终止。该实验可以用于分析参数影响，不宜单独作为算法全面优越性的证据。</w:t>
      </w:r>
    </w:p>
    <w:p w14:paraId="65C44E92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九 消融实验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1296"/>
        <w:gridCol w:w="2232"/>
        <w:gridCol w:w="2088"/>
      </w:tblGrid>
      <w:tr w14:paraId="269FC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9E1F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变体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B1777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测试行数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37598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可行性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DF783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平均 TWT</w:t>
            </w:r>
          </w:p>
        </w:tc>
      </w:tr>
      <w:tr w14:paraId="09EDE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EA7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full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BDA29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B04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6654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54,532.05</w:t>
            </w:r>
          </w:p>
        </w:tc>
      </w:tr>
      <w:tr w14:paraId="10C80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E556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periodic_gate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2550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AAE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7C5D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49,994.95</w:t>
            </w:r>
          </w:p>
        </w:tc>
      </w:tr>
      <w:tr w14:paraId="0C522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69DD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homogeneous_gat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821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31A1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AC026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51,028.12</w:t>
            </w:r>
          </w:p>
        </w:tc>
      </w:tr>
      <w:tr w14:paraId="1B1B8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C056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without_potential_shaping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1BFB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653A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8A28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52,380.73</w:t>
            </w:r>
          </w:p>
        </w:tc>
      </w:tr>
      <w:tr w14:paraId="672DA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AD29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without_stage_nodes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A90B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E8991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A366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56,681.78</w:t>
            </w:r>
          </w:p>
        </w:tc>
      </w:tr>
      <w:tr w14:paraId="5B8E1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99E1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without_duration_aware_gae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938D5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5FF2E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2397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57,469.80</w:t>
            </w:r>
          </w:p>
        </w:tc>
      </w:tr>
      <w:tr w14:paraId="7DE53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5869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without_event_gate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3477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B40D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095FB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76,502.08</w:t>
            </w:r>
          </w:p>
        </w:tc>
      </w:tr>
      <w:tr w14:paraId="7A0C9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C4DF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flat_reconfiguration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BF37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DC04D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5/6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D97CA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135,081.07</w:t>
            </w:r>
          </w:p>
        </w:tc>
      </w:tr>
      <w:tr w14:paraId="55F41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B779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sequential_dispatch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0719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B5B60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无有效 checkpoint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54832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未评估</w:t>
            </w:r>
          </w:p>
        </w:tc>
      </w:tr>
      <w:tr w14:paraId="44D5A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E25E6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single_critic</w:t>
            </w:r>
          </w:p>
        </w:tc>
        <w:tc>
          <w:tcPr>
            <w:tcW w:w="12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6122C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6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B9A1F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无有效 checkpoint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DF4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A7904"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未评估</w:t>
            </w:r>
          </w:p>
        </w:tc>
      </w:tr>
    </w:tbl>
    <w:p w14:paraId="3FAE4992">
      <w:pPr>
        <w:spacing w:after="40"/>
      </w:pPr>
    </w:p>
    <w:p w14:paraId="01B09DDD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消融结果的主要信息是：去掉事件门控后平均 TWT 上升到 76,502.08，明显差于完整模型；去掉阶段节点或持续时间感知 GAE 后也变差。这支持这些组件具有正向作用。另一方面，periodic_gate、homogeneous_gat 和 without_potential_shaping 的平均 TWT 分别为 49,994.95、51,028.12 和 52,380.73，低于完整模型 54,532.05，说明在当前单 seed、六个测试算例条件下，完整模型并没有表现出所有组件组合的最优性。</w:t>
      </w:r>
    </w:p>
    <w:p w14:paraId="038A941C"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完整模型在主对比文件与消融文件中被分别评估。5 个实例的 TWT 完全一致，另一个 L 级实例分别为 201,125.59 和 200,947.04，差 178.55（约 0.09%）。因此主对比与消融中的 full 行应各自按其来源解释；在论文合并统计前，建议核对重复评估的推理确定性并固定统一引用值。</w:t>
      </w:r>
    </w:p>
    <w:p w14:paraId="522F7E7B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flat_reconfiguration 有 5/6 个算例完成，另一个算例超过 6000 次决策上限，平均 TWT 不宜与完整模型作无条件比较。sequential_dispatch 和 single_critic 只有 final/latest checkpoint，固定验证中仍出现非终止，因此不能把它们当成正常的 TWT 结果。</w:t>
      </w:r>
    </w:p>
    <w:p w14:paraId="63B7DA72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十 结果可信性与论文限制</w:t>
      </w:r>
    </w:p>
    <w:p w14:paraId="4C4D35D9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主对比表中 11 种方法使用相同的六个固定测试实例，所有主对比行均可行，方法和实例没有重复错配。</w:t>
      </w:r>
    </w:p>
    <w:p w14:paraId="55639405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验证集和测试集实例 ID 没有重叠，正式评估脚本使用验证选择的 best_model.pt。</w:t>
      </w:r>
    </w:p>
    <w:p w14:paraId="426A55C0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主对比与消融报告分别重复评估了完整模型；其中 5 个实例结果完全一致，1 个 L 级实例相差约 0.09%，合并统计前建议核对推理确定性并固定引用值。</w:t>
      </w:r>
    </w:p>
    <w:p w14:paraId="170BD81B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主模型第 40 轮固定验证曾出现 1/6 个实例未终止，第 80、120、160、200 轮均完成；验证均值在第 120 轮较低，第 160 轮回升，训练曲线不是单调下降。</w:t>
      </w:r>
    </w:p>
    <w:p w14:paraId="2BF51CCC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正式训练只有一个 seed，每个结构组合主要只有一个固定测试实例，统计结果应写成描述性比较，不应报告置信区间或显著性结论。</w:t>
      </w:r>
    </w:p>
    <w:p w14:paraId="184D2AFF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传统强基线在当前测试分布中明显优于 EGDM HGPPO，论文不能使用“全面优于所有基线”的表述。</w:t>
      </w:r>
    </w:p>
    <w:p w14:paraId="5856E6A6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精确参考求解器未证明最优，不能据此报告严格 optimality gap 结论。</w:t>
      </w:r>
    </w:p>
    <w:p w14:paraId="659B5C1C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十一 建议确认事项</w:t>
      </w:r>
    </w:p>
    <w:p w14:paraId="55B4EF3C">
      <w:pPr>
        <w:spacing w:before="0" w:after="8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建议把本报告和以下两个核心结果文件一起交导师：</w:t>
      </w:r>
    </w:p>
    <w:p w14:paraId="244F20BD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result\eval_results.csv：主模型与全部基线的 66 行正式测试结果。</w:t>
      </w:r>
    </w:p>
    <w:p w14:paraId="1585369F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result\ablation_results.csv：完整模型和消融变体的固定测试结果及 missing_checkpoint 状态。</w:t>
      </w:r>
    </w:p>
    <w:p w14:paraId="13691A14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result\stats_summary.csv：所有已完成评估文件的汇总统计。</w:t>
      </w:r>
    </w:p>
    <w:p w14:paraId="45404023">
      <w:pPr>
        <w:spacing w:before="0" w:after="80" w:line="276" w:lineRule="auto"/>
      </w:pPr>
      <w:r>
        <w:rPr>
          <w:rFonts w:ascii="微软雅黑" w:hAnsi="微软雅黑" w:eastAsia="微软雅黑"/>
          <w:b/>
          <w:color w:val="000000"/>
          <w:sz w:val="20"/>
        </w:rPr>
        <w:t>请导师重点确认以下三个问题：</w:t>
      </w:r>
      <w:bookmarkStart w:id="0" w:name="_GoBack"/>
      <w:bookmarkEnd w:id="0"/>
    </w:p>
    <w:p w14:paraId="628F643D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sequential_dispatch 和 single_critic 是否保留为未稳定收敛的消融结果，还是需要在完全相同的协议下重新训练。</w:t>
      </w:r>
    </w:p>
    <w:p w14:paraId="5D0B5C6B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论文是否把贡献重点放在动态在线调度、人机资源重构和部分学习型基线优势，而不宣称全面优于传统强基线。</w:t>
      </w:r>
    </w:p>
    <w:p w14:paraId="0A0DC25B">
      <w:pPr>
        <w:pStyle w:val="16"/>
        <w:spacing w:before="0" w:after="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是否需要后续增加多 seed、多实例或更大规模对照，以增强统计稳健性和 Q2 级期刊竞争力。</w:t>
      </w:r>
    </w:p>
    <w:p w14:paraId="6B6D2AE1">
      <w:pPr>
        <w:spacing w:before="0" w:after="160" w:line="276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可直接向导师汇报：目前全部实验数据已经整理完成，主模型能够稳定完成正式测试并对部分学习型基线有优势，但 Periodic ATC、RH ALNS 和 RH MILP 仍然更强；消融结果支持事件门控、阶段节点和持续时间感知 GAE 的作用，但部分简化变体反而更好，两个变体未稳定收敛。希望请老师确认下一步是调整算法、保留当前结果写作，还是补充实验。</w:t>
      </w:r>
    </w:p>
    <w:p w14:paraId="786C0E42">
      <w:pPr>
        <w:pStyle w:val="3"/>
        <w:spacing w:before="240" w:after="140" w:line="276" w:lineRule="auto"/>
      </w:pPr>
      <w:r>
        <w:rPr>
          <w:rFonts w:ascii="微软雅黑" w:hAnsi="微软雅黑" w:eastAsia="微软雅黑"/>
          <w:b/>
          <w:color w:val="000000"/>
          <w:sz w:val="28"/>
        </w:rPr>
        <w:t>十二 结果文件位置</w:t>
      </w:r>
    </w:p>
    <w:p w14:paraId="1E93BF8F">
      <w:pPr>
        <w:spacing w:before="0" w:after="100" w:line="276" w:lineRule="auto"/>
      </w:pPr>
      <w:r>
        <w:rPr>
          <w:rFonts w:ascii="微软雅黑" w:hAnsi="微软雅黑" w:eastAsia="微软雅黑"/>
          <w:b w:val="0"/>
          <w:color w:val="000000"/>
          <w:sz w:val="18"/>
        </w:rPr>
        <w:t>所有文件均位于当前代码包的 result 目录：eval_results.csv（主模型与基线对比）、ref_exact.csv（精确参考求解记录）、generalization.csv（XL 泛化）、sensitivity.csv（敏感性）、structural_effects.csv（结构因素）、ablation_results.csv（消融结果）和 stats_summary.csv（统计汇总）。</w:t>
      </w:r>
    </w:p>
    <w:p w14:paraId="2013D790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本报告只汇总当前代码包已经生成的实验数据，不把未完成或未验证的模型结果写成正常性能结论。</w:t>
      </w:r>
    </w:p>
    <w:sectPr>
      <w:footerReference r:id="rId5" w:type="default"/>
      <w:pgSz w:w="12240" w:h="15840"/>
      <w:pgMar w:top="979" w:right="1037" w:bottom="936" w:left="1037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F6283">
    <w:pPr>
      <w:pStyle w:val="24"/>
      <w:spacing w:before="0" w:after="0" w:line="276" w:lineRule="auto"/>
      <w:jc w:val="center"/>
    </w:pPr>
    <w:r>
      <w:rPr>
        <w:rFonts w:ascii="微软雅黑" w:hAnsi="微软雅黑" w:eastAsia="微软雅黑"/>
        <w:b w:val="0"/>
        <w:color w:val="666666"/>
        <w:sz w:val="16"/>
      </w:rPr>
      <w:t>EGDM HGPPO 完整实验结果汇总报告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B1F7D"/>
    <w:rsid w:val="41171329"/>
    <w:rsid w:val="4FEE65F2"/>
    <w:rsid w:val="6D78204A"/>
    <w:rsid w:val="7B9003DA"/>
    <w:rsid w:val="7E61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3248</Words>
  <Characters>5918</Characters>
  <Lines>0</Lines>
  <Paragraphs>0</Paragraphs>
  <TotalTime>3</TotalTime>
  <ScaleCrop>false</ScaleCrop>
  <LinksUpToDate>false</LinksUpToDate>
  <CharactersWithSpaces>6316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邹崇禹</cp:lastModifiedBy>
  <dcterms:modified xsi:type="dcterms:W3CDTF">2026-09-28T10:40:20Z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eyJoZGlkIjoiZDZlOWRkMDc0MGExMDJjYTBjYjJjMjVhOTBkMWMzZjUiLCJ1c2VySWQiOiI4NDEzMDExMDYifQ==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F3D5B566BC414FEAA8460A61AA71CF47_12</vt:lpwstr>
  </property>
</Properties>
</file>