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74CA8">
      <w:pPr>
        <w:pStyle w:val="2"/>
        <w:bidi w:val="0"/>
        <w:jc w:val="center"/>
      </w:pPr>
      <w:r>
        <w:rPr>
          <w:rFonts w:ascii="Times New Roman" w:hAnsi="Times New Roman" w:eastAsia="黑体"/>
          <w:b/>
          <w:color w:val="1F4E79"/>
          <w:sz w:val="44"/>
        </w:rPr>
        <w:t>基于 RV1126B 的端侧视觉健康守护系统</w:t>
      </w:r>
    </w:p>
    <w:p w14:paraId="2F2D7178">
      <w:pPr>
        <w:pStyle w:val="2"/>
        <w:widowControl/>
        <w:rPr>
          <w:color w:val="auto"/>
        </w:rPr>
      </w:pPr>
      <w:r>
        <w:rPr>
          <w:rFonts w:ascii="Times New Roman" w:hAnsi="Times New Roman" w:eastAsia="黑体"/>
          <w:color w:val="auto"/>
        </w:rPr>
        <w:t>摘要</w:t>
      </w:r>
    </w:p>
    <w:p w14:paraId="79CDAE57">
      <w:pPr>
        <w:widowControl/>
        <w:spacing w:after="100" w:line="283" w:lineRule="auto"/>
        <w:ind w:firstLine="420"/>
        <w:jc w:val="both"/>
      </w:pPr>
      <w:r>
        <w:rPr>
          <w:rFonts w:ascii="Times New Roman" w:hAnsi="Times New Roman" w:eastAsia="宋体"/>
          <w:sz w:val="21"/>
        </w:rPr>
        <w:t>面向学生自习和办公桌面场景，本作品设计了一套基于 RV1126B的端侧视觉健康守护系统。系统以摄像头作为主要输入，在端侧完成图像采集、图像预处理、RKNN/NPU推理、状态判断和多端反馈，用于提供坐姿提醒、饮水提醒、语音提示和非接触式交互辅助。</w:t>
      </w:r>
    </w:p>
    <w:p w14:paraId="491F17E4">
      <w:pPr>
        <w:widowControl/>
        <w:spacing w:after="100" w:line="283" w:lineRule="auto"/>
        <w:ind w:firstLine="420"/>
        <w:jc w:val="both"/>
      </w:pPr>
      <w:r>
        <w:rPr>
          <w:rFonts w:ascii="Times New Roman" w:hAnsi="Times New Roman" w:eastAsia="宋体"/>
          <w:sz w:val="21"/>
        </w:rPr>
        <w:t>系统集成手势识别、姿态估计和饮品检测三类视觉能力。手势识别用于Start、Stop、Confirm、Rock等交互控制；姿态估计输出人体框和关键点，用于坐姿状态判断；饮品检测输出杯/瓶候选区域，用于饮水状态判断。业务层通过稳定计数、冷却、释放锁和定时提醒等机制，将模型输出转化为更适合桌面场景的交互事件和提醒状态。</w:t>
      </w:r>
    </w:p>
    <w:p w14:paraId="323A19AA">
      <w:pPr>
        <w:widowControl/>
        <w:spacing w:after="100" w:line="283" w:lineRule="auto"/>
        <w:ind w:firstLine="420"/>
        <w:jc w:val="both"/>
      </w:pPr>
      <w:r>
        <w:rPr>
          <w:rFonts w:ascii="Times New Roman" w:hAnsi="Times New Roman" w:eastAsia="宋体"/>
          <w:sz w:val="21"/>
        </w:rPr>
        <w:t>输出侧采用本地显示、语音提示、视频查看和状态同步相结合的方式：ST7789/LVGL用于状态反馈与提醒界面，本地音频用于坐姿和饮水提示音播报，HTTP-FLV用于主程序视频输出，RTSP relay用于上位机VLC查看，MQTT用于状态、事件和遥测信息同步。作品不依赖云端识别，重点体现端侧 AI 推理、多模型协同、状态机融合和嵌入式系统集成能力。</w:t>
      </w:r>
    </w:p>
    <w:p w14:paraId="6AAFF7EF">
      <w:pPr>
        <w:pStyle w:val="2"/>
        <w:widowControl/>
        <w:rPr>
          <w:color w:val="auto"/>
        </w:rPr>
      </w:pPr>
      <w:r>
        <w:rPr>
          <w:rFonts w:ascii="Times New Roman" w:hAnsi="Times New Roman" w:eastAsia="黑体"/>
          <w:color w:val="auto"/>
        </w:rPr>
        <w:t>第一部分  作品概述</w:t>
      </w:r>
    </w:p>
    <w:p w14:paraId="1B14400B">
      <w:pPr>
        <w:pStyle w:val="3"/>
        <w:widowControl/>
        <w:rPr>
          <w:color w:val="auto"/>
        </w:rPr>
      </w:pPr>
      <w:r>
        <w:rPr>
          <w:rFonts w:ascii="Times New Roman" w:hAnsi="Times New Roman" w:eastAsia="黑体"/>
          <w:color w:val="auto"/>
        </w:rPr>
        <w:t>1.1 功能与特性</w:t>
      </w:r>
    </w:p>
    <w:p w14:paraId="74BBF124">
      <w:pPr>
        <w:widowControl/>
        <w:spacing w:after="100" w:line="283" w:lineRule="auto"/>
        <w:ind w:firstLine="420"/>
        <w:jc w:val="both"/>
      </w:pPr>
      <w:r>
        <w:rPr>
          <w:rFonts w:ascii="Times New Roman" w:hAnsi="Times New Roman" w:eastAsia="宋体"/>
          <w:sz w:val="21"/>
        </w:rPr>
        <w:t>本作品面向桌面学习和办公环境，构建从视觉采集、端侧推理、状态判断到本地声画反馈的完整链路。主要功能如下：</w:t>
      </w:r>
    </w:p>
    <w:p w14:paraId="317AE8F5">
      <w:pPr>
        <w:pStyle w:val="6"/>
        <w:widowControl/>
        <w:spacing w:after="60" w:line="283" w:lineRule="auto"/>
      </w:pPr>
      <w:r>
        <w:rPr>
          <w:rFonts w:ascii="Times New Roman" w:hAnsi="Times New Roman" w:eastAsia="宋体"/>
          <w:sz w:val="21"/>
        </w:rPr>
        <w:t>视觉采集：通过摄像头获取用户上半身和桌面饮品区域画面，为手势、姿态和饮品检测提供输入。</w:t>
      </w:r>
    </w:p>
    <w:p w14:paraId="1CC58882">
      <w:pPr>
        <w:pStyle w:val="6"/>
        <w:widowControl/>
        <w:spacing w:after="60" w:line="283" w:lineRule="auto"/>
      </w:pPr>
      <w:r>
        <w:rPr>
          <w:rFonts w:ascii="Times New Roman" w:hAnsi="Times New Roman" w:eastAsia="宋体"/>
          <w:sz w:val="21"/>
        </w:rPr>
        <w:t>手势交互：支持 Start、Stop、Confirm、Rock 等非接触手势，用于启动、暂停、确认和互动反馈。</w:t>
      </w:r>
    </w:p>
    <w:p w14:paraId="2470FBF9">
      <w:pPr>
        <w:pStyle w:val="6"/>
        <w:widowControl/>
        <w:spacing w:after="60" w:line="283" w:lineRule="auto"/>
      </w:pPr>
      <w:r>
        <w:rPr>
          <w:rFonts w:ascii="Times New Roman" w:hAnsi="Times New Roman" w:eastAsia="宋体"/>
          <w:sz w:val="21"/>
        </w:rPr>
        <w:t>坐姿提醒：基于人体框和关键点对低头、前伸、后仰等状态进行工程规则判断，并生成提醒状态。</w:t>
      </w:r>
    </w:p>
    <w:p w14:paraId="27F930D7">
      <w:pPr>
        <w:pStyle w:val="6"/>
        <w:widowControl/>
        <w:spacing w:after="60" w:line="283" w:lineRule="auto"/>
      </w:pPr>
      <w:r>
        <w:rPr>
          <w:rFonts w:ascii="Times New Roman" w:hAnsi="Times New Roman" w:eastAsia="宋体"/>
          <w:sz w:val="21"/>
        </w:rPr>
        <w:t>饮水提醒：结合杯/瓶位置、头部关键点和定时器进行饮水状态判断，实现视觉判断与定时提醒结合。</w:t>
      </w:r>
    </w:p>
    <w:p w14:paraId="1019E617">
      <w:pPr>
        <w:pStyle w:val="6"/>
        <w:widowControl/>
        <w:spacing w:after="60" w:line="283" w:lineRule="auto"/>
      </w:pPr>
      <w:r>
        <w:rPr>
          <w:rFonts w:ascii="Times New Roman" w:hAnsi="Times New Roman" w:eastAsia="宋体"/>
          <w:sz w:val="21"/>
        </w:rPr>
        <w:t>多端反馈：通过 ST7789/LVGL 本地显示、语音提示、HTTP-FLV 视频输出、RTSP relay 视频查看和 MQTT 状态同步形成可观察的反馈链路。</w:t>
      </w:r>
    </w:p>
    <w:p w14:paraId="5DADC1E2">
      <w:pPr>
        <w:widowControl/>
        <w:spacing w:before="120" w:after="60"/>
        <w:jc w:val="center"/>
      </w:pPr>
      <w:r>
        <w:rPr>
          <w:rFonts w:ascii="Times New Roman" w:hAnsi="Times New Roman" w:eastAsia="黑体"/>
          <w:sz w:val="21"/>
        </w:rPr>
        <w:t>图1-1 系统功能示意图</w:t>
      </w:r>
    </w:p>
    <w:p w14:paraId="034F3F4E">
      <w:pPr>
        <w:spacing w:after="40"/>
        <w:jc w:val="center"/>
      </w:pPr>
      <w:r>
        <w:drawing>
          <wp:inline distT="0" distB="0" distL="114300" distR="114300">
            <wp:extent cx="5516880" cy="2129790"/>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rcRect t="9515" b="17195"/>
                    <a:stretch>
                      <a:fillRect/>
                    </a:stretch>
                  </pic:blipFill>
                  <pic:spPr>
                    <a:xfrm>
                      <a:off x="0" y="0"/>
                      <a:ext cx="5516880" cy="2129790"/>
                    </a:xfrm>
                    <a:prstGeom prst="rect">
                      <a:avLst/>
                    </a:prstGeom>
                    <a:noFill/>
                    <a:ln>
                      <a:noFill/>
                    </a:ln>
                  </pic:spPr>
                </pic:pic>
              </a:graphicData>
            </a:graphic>
          </wp:inline>
        </w:drawing>
      </w:r>
    </w:p>
    <w:p w14:paraId="4B274934">
      <w:pPr>
        <w:pStyle w:val="3"/>
        <w:widowControl/>
        <w:rPr>
          <w:color w:val="auto"/>
        </w:rPr>
      </w:pPr>
      <w:r>
        <w:rPr>
          <w:rFonts w:ascii="Times New Roman" w:hAnsi="Times New Roman" w:eastAsia="黑体"/>
          <w:color w:val="auto"/>
        </w:rPr>
        <w:t>1.2 应用领域</w:t>
      </w:r>
    </w:p>
    <w:p w14:paraId="6E0355EB">
      <w:pPr>
        <w:widowControl/>
        <w:spacing w:after="100" w:line="283" w:lineRule="auto"/>
        <w:ind w:firstLine="420"/>
        <w:jc w:val="both"/>
        <w:rPr>
          <w:rFonts w:ascii="Times New Roman" w:hAnsi="Times New Roman" w:eastAsia="宋体"/>
          <w:sz w:val="21"/>
          <w:lang w:val="en-US" w:eastAsia="zh-CN"/>
        </w:rPr>
      </w:pPr>
      <w:r>
        <w:rPr>
          <w:rFonts w:ascii="Times New Roman" w:hAnsi="Times New Roman" w:eastAsia="宋体"/>
          <w:sz w:val="21"/>
          <w:lang w:val="en-US" w:eastAsia="zh-CN"/>
        </w:rPr>
        <w:t>本作品主要适用于</w:t>
      </w:r>
      <w:r>
        <w:rPr>
          <w:rFonts w:hint="eastAsia" w:ascii="Times New Roman" w:hAnsi="Times New Roman" w:eastAsia="宋体"/>
          <w:sz w:val="21"/>
          <w:lang w:val="en-US" w:eastAsia="zh-CN"/>
        </w:rPr>
        <w:t>两</w:t>
      </w:r>
      <w:r>
        <w:rPr>
          <w:rFonts w:ascii="Times New Roman" w:hAnsi="Times New Roman" w:eastAsia="宋体"/>
          <w:sz w:val="21"/>
          <w:lang w:val="en-US" w:eastAsia="zh-CN"/>
        </w:rPr>
        <w:t>类场景。</w:t>
      </w:r>
    </w:p>
    <w:p w14:paraId="7BD11352">
      <w:pPr>
        <w:widowControl/>
        <w:spacing w:after="100" w:line="283" w:lineRule="auto"/>
        <w:ind w:firstLine="420"/>
        <w:jc w:val="both"/>
      </w:pPr>
      <w:r>
        <w:rPr>
          <w:rFonts w:ascii="Times New Roman" w:hAnsi="Times New Roman" w:eastAsia="宋体"/>
          <w:sz w:val="21"/>
        </w:rPr>
        <w:t>在学生自习场景中，系统可放置在学习桌面，通过非接触手势启动或暂停监测，并对坐姿和饮水状态进行提醒，减少用户手动操作。</w:t>
      </w:r>
    </w:p>
    <w:p w14:paraId="2D07D3BA">
      <w:pPr>
        <w:widowControl/>
        <w:spacing w:after="100" w:line="283" w:lineRule="auto"/>
        <w:ind w:firstLine="420"/>
        <w:jc w:val="both"/>
      </w:pPr>
      <w:r>
        <w:rPr>
          <w:rFonts w:ascii="Times New Roman" w:hAnsi="Times New Roman" w:eastAsia="宋体"/>
          <w:sz w:val="21"/>
        </w:rPr>
        <w:t>在办公桌面场景中，系统在本地完成视觉识别和状态判断，适合需要现场反馈和本地化处理的桌面提醒应用。</w:t>
      </w:r>
    </w:p>
    <w:p w14:paraId="0698F4E9">
      <w:pPr>
        <w:widowControl/>
        <w:spacing w:after="100" w:line="283" w:lineRule="auto"/>
        <w:jc w:val="both"/>
      </w:pPr>
    </w:p>
    <w:p w14:paraId="11CEDCB4">
      <w:pPr>
        <w:widowControl/>
        <w:spacing w:before="120" w:after="60"/>
        <w:jc w:val="center"/>
        <w:rPr>
          <w:color w:val="0000FF"/>
        </w:rPr>
      </w:pPr>
      <w:r>
        <w:rPr>
          <w:rFonts w:ascii="Times New Roman" w:hAnsi="Times New Roman" w:eastAsia="黑体"/>
          <w:color w:val="0000FF"/>
          <w:sz w:val="21"/>
        </w:rPr>
        <w:t>图1-2 桌面使用场景示意图</w:t>
      </w:r>
    </w:p>
    <w:tbl>
      <w:tblPr>
        <w:tblStyle w:val="11"/>
        <w:tblW w:w="0" w:type="auto"/>
        <w:jc w:val="center"/>
        <w:tblLayout w:type="autofit"/>
        <w:tblCellMar>
          <w:top w:w="0" w:type="dxa"/>
          <w:left w:w="108" w:type="dxa"/>
          <w:bottom w:w="0" w:type="dxa"/>
          <w:right w:w="108" w:type="dxa"/>
        </w:tblCellMar>
      </w:tblPr>
      <w:tblGrid>
        <w:gridCol w:w="8220"/>
      </w:tblGrid>
      <w:tr w14:paraId="6197399F">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w14:paraId="3C54E1E7">
            <w:pPr>
              <w:spacing w:before="360" w:after="360"/>
              <w:jc w:val="center"/>
            </w:pPr>
            <w:r>
              <w:rPr>
                <w:rFonts w:ascii="Times New Roman" w:hAnsi="Times New Roman" w:eastAsia="宋体"/>
                <w:i/>
                <w:color w:val="666666"/>
                <w:sz w:val="21"/>
              </w:rPr>
              <w:t>此处插入桌面使用场景示意图</w:t>
            </w:r>
          </w:p>
        </w:tc>
      </w:tr>
    </w:tbl>
    <w:p w14:paraId="1AB3B83D">
      <w:pPr>
        <w:spacing w:after="40"/>
      </w:pPr>
    </w:p>
    <w:p w14:paraId="116FC598">
      <w:pPr>
        <w:pStyle w:val="3"/>
        <w:widowControl/>
        <w:rPr>
          <w:color w:val="auto"/>
        </w:rPr>
      </w:pPr>
      <w:r>
        <w:rPr>
          <w:rFonts w:ascii="Times New Roman" w:hAnsi="Times New Roman" w:eastAsia="黑体"/>
          <w:color w:val="auto"/>
        </w:rPr>
        <w:t>1.3 主要技术特点</w:t>
      </w:r>
    </w:p>
    <w:p w14:paraId="1422D038">
      <w:pPr>
        <w:pStyle w:val="5"/>
        <w:widowControl/>
        <w:spacing w:after="60" w:line="283" w:lineRule="auto"/>
      </w:pPr>
      <w:r>
        <w:rPr>
          <w:rFonts w:ascii="Times New Roman" w:hAnsi="Times New Roman" w:eastAsia="宋体"/>
          <w:sz w:val="21"/>
        </w:rPr>
        <w:t>RV1126B端侧推理：基于RV1126B平台部署 RKNN模型，在本地NPU推理链路中完成视觉识别。</w:t>
      </w:r>
    </w:p>
    <w:p w14:paraId="118A9CA5">
      <w:pPr>
        <w:pStyle w:val="5"/>
        <w:widowControl/>
        <w:spacing w:after="60" w:line="283" w:lineRule="auto"/>
      </w:pPr>
      <w:r>
        <w:rPr>
          <w:rFonts w:ascii="Times New Roman" w:hAnsi="Times New Roman" w:eastAsia="宋体"/>
          <w:sz w:val="21"/>
        </w:rPr>
        <w:t>端侧图像预处理与坐标映射：对摄像头画面进行尺寸变换和坐标映射，为多模型输入和结果反算提供统一基础。</w:t>
      </w:r>
    </w:p>
    <w:p w14:paraId="7ADAE126">
      <w:pPr>
        <w:pStyle w:val="5"/>
        <w:widowControl/>
        <w:spacing w:after="60" w:line="283" w:lineRule="auto"/>
      </w:pPr>
      <w:r>
        <w:rPr>
          <w:rFonts w:ascii="Times New Roman" w:hAnsi="Times New Roman" w:eastAsia="宋体"/>
          <w:sz w:val="21"/>
        </w:rPr>
        <w:t>多模型协同：手势识别、姿态估计和饮品检测共同参与桌面状态判断，避免停留在单一模型演示层面。</w:t>
      </w:r>
    </w:p>
    <w:p w14:paraId="0416B57E">
      <w:pPr>
        <w:pStyle w:val="5"/>
        <w:widowControl/>
        <w:spacing w:after="60" w:line="283" w:lineRule="auto"/>
      </w:pPr>
      <w:r>
        <w:rPr>
          <w:rFonts w:ascii="Times New Roman" w:hAnsi="Times New Roman" w:eastAsia="宋体"/>
          <w:sz w:val="21"/>
        </w:rPr>
        <w:t>状态机防抖与事件融合：通过稳定计数、冷却、释放锁和定时提醒机制降低误触发，并提升交互稳定性。</w:t>
      </w:r>
    </w:p>
    <w:p w14:paraId="7D3730E0">
      <w:pPr>
        <w:pStyle w:val="5"/>
        <w:widowControl/>
        <w:spacing w:after="60" w:line="283" w:lineRule="auto"/>
      </w:pPr>
      <w:r>
        <w:rPr>
          <w:rFonts w:ascii="Times New Roman" w:hAnsi="Times New Roman" w:eastAsia="宋体"/>
          <w:sz w:val="21"/>
        </w:rPr>
        <w:t>多端反馈链路：结合本地屏幕、语音提示、视频流、RTSP relay和MQTT状态同步，形成端侧可观察的反馈闭环。</w:t>
      </w:r>
    </w:p>
    <w:p w14:paraId="2BEF07A4">
      <w:pPr>
        <w:pStyle w:val="3"/>
        <w:widowControl/>
        <w:rPr>
          <w:color w:val="auto"/>
        </w:rPr>
      </w:pPr>
      <w:r>
        <w:rPr>
          <w:rFonts w:ascii="Times New Roman" w:hAnsi="Times New Roman" w:eastAsia="黑体"/>
          <w:color w:val="auto"/>
        </w:rPr>
        <w:t>1.4 主要配置指标</w:t>
      </w:r>
    </w:p>
    <w:p w14:paraId="24FA6099">
      <w:pPr>
        <w:widowControl/>
        <w:spacing w:after="100" w:line="283" w:lineRule="auto"/>
        <w:ind w:firstLine="420"/>
        <w:jc w:val="both"/>
      </w:pPr>
      <w:r>
        <w:rPr>
          <w:rFonts w:ascii="Times New Roman" w:hAnsi="Times New Roman" w:eastAsia="宋体"/>
          <w:sz w:val="21"/>
        </w:rPr>
        <w:t>本节列出系统设计中已明确的配置参数和接口参数。运行表现和资源占用等测试数据应在测试章节中结合记录统一呈现。</w:t>
      </w:r>
    </w:p>
    <w:p w14:paraId="5361F4B1">
      <w:pPr>
        <w:widowControl/>
        <w:spacing w:before="120" w:after="60"/>
        <w:jc w:val="center"/>
      </w:pPr>
      <w:r>
        <w:rPr>
          <w:rFonts w:ascii="Times New Roman" w:hAnsi="Times New Roman" w:eastAsia="黑体"/>
          <w:sz w:val="21"/>
        </w:rPr>
        <w:t>表1-1 主要配置与接口参数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663"/>
        <w:gridCol w:w="2864"/>
        <w:gridCol w:w="2482"/>
      </w:tblGrid>
      <w:tr w14:paraId="42B4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40DF473">
            <w:pPr>
              <w:spacing w:after="0" w:line="264" w:lineRule="auto"/>
              <w:jc w:val="center"/>
            </w:pPr>
            <w:r>
              <w:rPr>
                <w:rFonts w:ascii="Times New Roman" w:hAnsi="Times New Roman" w:eastAsia="宋体"/>
                <w:b/>
                <w:sz w:val="20"/>
              </w:rPr>
              <w:t>参数类别</w:t>
            </w:r>
          </w:p>
        </w:tc>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2D2632EF">
            <w:pPr>
              <w:spacing w:after="0" w:line="264" w:lineRule="auto"/>
              <w:jc w:val="center"/>
            </w:pPr>
            <w:r>
              <w:rPr>
                <w:rFonts w:ascii="Times New Roman" w:hAnsi="Times New Roman" w:eastAsia="宋体"/>
                <w:b/>
                <w:sz w:val="20"/>
              </w:rPr>
              <w:t>指标</w:t>
            </w:r>
          </w:p>
        </w:tc>
        <w:tc>
          <w:tcPr>
            <w:tcW w:w="294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12CC4E18">
            <w:pPr>
              <w:spacing w:after="0" w:line="264" w:lineRule="auto"/>
              <w:jc w:val="center"/>
            </w:pPr>
            <w:r>
              <w:rPr>
                <w:rFonts w:ascii="Times New Roman" w:hAnsi="Times New Roman" w:eastAsia="宋体"/>
                <w:b/>
                <w:sz w:val="20"/>
              </w:rPr>
              <w:t>配置/接口</w:t>
            </w:r>
          </w:p>
        </w:tc>
        <w:tc>
          <w:tcPr>
            <w:tcW w:w="260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515A3CB">
            <w:pPr>
              <w:spacing w:after="0" w:line="264" w:lineRule="auto"/>
              <w:jc w:val="center"/>
            </w:pPr>
            <w:r>
              <w:rPr>
                <w:rFonts w:ascii="Times New Roman" w:hAnsi="Times New Roman" w:eastAsia="宋体"/>
                <w:b/>
                <w:sz w:val="20"/>
              </w:rPr>
              <w:t>说明</w:t>
            </w:r>
          </w:p>
        </w:tc>
      </w:tr>
      <w:tr w14:paraId="0C42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730BF676">
            <w:pPr>
              <w:spacing w:after="0" w:line="264" w:lineRule="auto"/>
              <w:jc w:val="center"/>
            </w:pPr>
            <w:r>
              <w:rPr>
                <w:rFonts w:ascii="Times New Roman" w:hAnsi="Times New Roman" w:eastAsia="宋体"/>
                <w:b w:val="0"/>
                <w:sz w:val="19"/>
              </w:rPr>
              <w:t>摄像头输入</w:t>
            </w:r>
          </w:p>
        </w:tc>
        <w:tc>
          <w:tcPr>
            <w:tcW w:w="1701" w:type="dxa"/>
            <w:tcBorders>
              <w:top w:val="single" w:color="A6A6A6" w:sz="6" w:space="0"/>
              <w:left w:val="single" w:color="A6A6A6" w:sz="6" w:space="0"/>
              <w:bottom w:val="single" w:color="A6A6A6" w:sz="6" w:space="0"/>
              <w:right w:val="single" w:color="A6A6A6" w:sz="6" w:space="0"/>
            </w:tcBorders>
            <w:vAlign w:val="center"/>
          </w:tcPr>
          <w:p w14:paraId="394417F8">
            <w:pPr>
              <w:spacing w:after="0" w:line="264" w:lineRule="auto"/>
              <w:jc w:val="center"/>
            </w:pPr>
            <w:r>
              <w:rPr>
                <w:rFonts w:ascii="Times New Roman" w:hAnsi="Times New Roman" w:eastAsia="宋体"/>
                <w:b w:val="0"/>
                <w:sz w:val="19"/>
              </w:rPr>
              <w:t>分辨率与格式</w:t>
            </w:r>
          </w:p>
        </w:tc>
        <w:tc>
          <w:tcPr>
            <w:tcW w:w="2948" w:type="dxa"/>
            <w:tcBorders>
              <w:top w:val="single" w:color="A6A6A6" w:sz="6" w:space="0"/>
              <w:left w:val="single" w:color="A6A6A6" w:sz="6" w:space="0"/>
              <w:bottom w:val="single" w:color="A6A6A6" w:sz="6" w:space="0"/>
              <w:right w:val="single" w:color="A6A6A6" w:sz="6" w:space="0"/>
            </w:tcBorders>
            <w:vAlign w:val="center"/>
          </w:tcPr>
          <w:p w14:paraId="74B329C1">
            <w:pPr>
              <w:spacing w:after="0" w:line="264" w:lineRule="auto"/>
              <w:jc w:val="left"/>
            </w:pPr>
            <w:r>
              <w:rPr>
                <w:rFonts w:ascii="Times New Roman" w:hAnsi="Times New Roman" w:eastAsia="宋体"/>
                <w:b w:val="0"/>
                <w:sz w:val="19"/>
              </w:rPr>
              <w:t>640×480，NV12</w:t>
            </w:r>
          </w:p>
        </w:tc>
        <w:tc>
          <w:tcPr>
            <w:tcW w:w="2608" w:type="dxa"/>
            <w:tcBorders>
              <w:top w:val="single" w:color="A6A6A6" w:sz="6" w:space="0"/>
              <w:left w:val="single" w:color="A6A6A6" w:sz="6" w:space="0"/>
              <w:bottom w:val="single" w:color="A6A6A6" w:sz="6" w:space="0"/>
              <w:right w:val="single" w:color="A6A6A6" w:sz="6" w:space="0"/>
            </w:tcBorders>
            <w:vAlign w:val="center"/>
          </w:tcPr>
          <w:p w14:paraId="04509EF7">
            <w:pPr>
              <w:spacing w:after="0" w:line="264" w:lineRule="auto"/>
              <w:jc w:val="left"/>
            </w:pPr>
            <w:r>
              <w:rPr>
                <w:rFonts w:ascii="Times New Roman" w:hAnsi="Times New Roman" w:eastAsia="宋体"/>
                <w:b w:val="0"/>
                <w:sz w:val="19"/>
              </w:rPr>
              <w:t>视频采集配置</w:t>
            </w:r>
          </w:p>
        </w:tc>
      </w:tr>
      <w:tr w14:paraId="4E95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08D63DF7">
            <w:pPr>
              <w:spacing w:after="0" w:line="264" w:lineRule="auto"/>
              <w:jc w:val="center"/>
            </w:pPr>
            <w:r>
              <w:rPr>
                <w:rFonts w:ascii="Times New Roman" w:hAnsi="Times New Roman" w:eastAsia="宋体"/>
                <w:b w:val="0"/>
                <w:sz w:val="19"/>
              </w:rPr>
              <w:t>手势模型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700004DA">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64C84C07">
            <w:pPr>
              <w:spacing w:after="0" w:line="264" w:lineRule="auto"/>
              <w:jc w:val="left"/>
            </w:pPr>
            <w:r>
              <w:rPr>
                <w:rFonts w:ascii="Times New Roman" w:hAnsi="Times New Roman" w:eastAsia="宋体"/>
                <w:b w:val="0"/>
                <w:sz w:val="19"/>
              </w:rPr>
              <w:t>224×224</w:t>
            </w:r>
          </w:p>
        </w:tc>
        <w:tc>
          <w:tcPr>
            <w:tcW w:w="2608" w:type="dxa"/>
            <w:tcBorders>
              <w:top w:val="single" w:color="A6A6A6" w:sz="6" w:space="0"/>
              <w:left w:val="single" w:color="A6A6A6" w:sz="6" w:space="0"/>
              <w:bottom w:val="single" w:color="A6A6A6" w:sz="6" w:space="0"/>
              <w:right w:val="single" w:color="A6A6A6" w:sz="6" w:space="0"/>
            </w:tcBorders>
            <w:vAlign w:val="center"/>
          </w:tcPr>
          <w:p w14:paraId="02F44E89">
            <w:pPr>
              <w:spacing w:after="0" w:line="264" w:lineRule="auto"/>
              <w:jc w:val="left"/>
            </w:pPr>
            <w:r>
              <w:rPr>
                <w:rFonts w:ascii="Times New Roman" w:hAnsi="Times New Roman" w:eastAsia="宋体"/>
                <w:b w:val="0"/>
                <w:sz w:val="19"/>
              </w:rPr>
              <w:t>模型输入配置</w:t>
            </w:r>
          </w:p>
        </w:tc>
      </w:tr>
      <w:tr w14:paraId="2277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4F94389B">
            <w:pPr>
              <w:spacing w:after="0" w:line="264" w:lineRule="auto"/>
              <w:jc w:val="center"/>
            </w:pPr>
            <w:r>
              <w:rPr>
                <w:rFonts w:ascii="Times New Roman" w:hAnsi="Times New Roman" w:eastAsia="宋体"/>
                <w:b w:val="0"/>
                <w:sz w:val="19"/>
              </w:rPr>
              <w:t>姿态模型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766C4E95">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5D88DDA2">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w14:paraId="7A698306">
            <w:pPr>
              <w:spacing w:after="0" w:line="264" w:lineRule="auto"/>
              <w:jc w:val="left"/>
            </w:pPr>
            <w:r>
              <w:rPr>
                <w:rFonts w:ascii="Times New Roman" w:hAnsi="Times New Roman" w:eastAsia="宋体"/>
                <w:b w:val="0"/>
                <w:sz w:val="19"/>
              </w:rPr>
              <w:t>模型输入配置</w:t>
            </w:r>
          </w:p>
        </w:tc>
      </w:tr>
      <w:tr w14:paraId="2EAA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3EC46F2E">
            <w:pPr>
              <w:spacing w:after="0" w:line="264" w:lineRule="auto"/>
              <w:jc w:val="center"/>
            </w:pPr>
            <w:r>
              <w:rPr>
                <w:rFonts w:ascii="Times New Roman" w:hAnsi="Times New Roman" w:eastAsia="宋体"/>
                <w:b w:val="0"/>
                <w:sz w:val="19"/>
              </w:rPr>
              <w:t>饮品模型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79CF2622">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181D5EAF">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w14:paraId="073A2639">
            <w:pPr>
              <w:spacing w:after="0" w:line="264" w:lineRule="auto"/>
              <w:jc w:val="left"/>
            </w:pPr>
            <w:r>
              <w:rPr>
                <w:rFonts w:ascii="Times New Roman" w:hAnsi="Times New Roman" w:eastAsia="宋体"/>
                <w:b w:val="0"/>
                <w:sz w:val="19"/>
              </w:rPr>
              <w:t>模型输入配置</w:t>
            </w:r>
          </w:p>
        </w:tc>
      </w:tr>
      <w:tr w14:paraId="35C2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31A5485F">
            <w:pPr>
              <w:spacing w:after="0" w:line="264" w:lineRule="auto"/>
              <w:jc w:val="center"/>
            </w:pPr>
            <w:r>
              <w:rPr>
                <w:rFonts w:ascii="Times New Roman" w:hAnsi="Times New Roman" w:eastAsia="宋体"/>
                <w:b w:val="0"/>
                <w:sz w:val="19"/>
              </w:rPr>
              <w:t>本地显示</w:t>
            </w:r>
          </w:p>
        </w:tc>
        <w:tc>
          <w:tcPr>
            <w:tcW w:w="1701" w:type="dxa"/>
            <w:tcBorders>
              <w:top w:val="single" w:color="A6A6A6" w:sz="6" w:space="0"/>
              <w:left w:val="single" w:color="A6A6A6" w:sz="6" w:space="0"/>
              <w:bottom w:val="single" w:color="A6A6A6" w:sz="6" w:space="0"/>
              <w:right w:val="single" w:color="A6A6A6" w:sz="6" w:space="0"/>
            </w:tcBorders>
            <w:vAlign w:val="center"/>
          </w:tcPr>
          <w:p w14:paraId="5D9DD148">
            <w:pPr>
              <w:spacing w:after="0" w:line="264" w:lineRule="auto"/>
              <w:jc w:val="center"/>
            </w:pPr>
            <w:r>
              <w:rPr>
                <w:rFonts w:ascii="Times New Roman" w:hAnsi="Times New Roman" w:eastAsia="宋体"/>
                <w:b w:val="0"/>
                <w:sz w:val="19"/>
              </w:rPr>
              <w:t>屏幕规格</w:t>
            </w:r>
          </w:p>
        </w:tc>
        <w:tc>
          <w:tcPr>
            <w:tcW w:w="2948" w:type="dxa"/>
            <w:tcBorders>
              <w:top w:val="single" w:color="A6A6A6" w:sz="6" w:space="0"/>
              <w:left w:val="single" w:color="A6A6A6" w:sz="6" w:space="0"/>
              <w:bottom w:val="single" w:color="A6A6A6" w:sz="6" w:space="0"/>
              <w:right w:val="single" w:color="A6A6A6" w:sz="6" w:space="0"/>
            </w:tcBorders>
            <w:vAlign w:val="center"/>
          </w:tcPr>
          <w:p w14:paraId="1FE46535">
            <w:pPr>
              <w:spacing w:after="0" w:line="264" w:lineRule="auto"/>
              <w:jc w:val="left"/>
            </w:pPr>
            <w:r>
              <w:rPr>
                <w:rFonts w:ascii="Times New Roman" w:hAnsi="Times New Roman" w:eastAsia="宋体"/>
                <w:b w:val="0"/>
                <w:sz w:val="19"/>
              </w:rPr>
              <w:t>ST7789，240×240</w:t>
            </w:r>
          </w:p>
        </w:tc>
        <w:tc>
          <w:tcPr>
            <w:tcW w:w="2608" w:type="dxa"/>
            <w:tcBorders>
              <w:top w:val="single" w:color="A6A6A6" w:sz="6" w:space="0"/>
              <w:left w:val="single" w:color="A6A6A6" w:sz="6" w:space="0"/>
              <w:bottom w:val="single" w:color="A6A6A6" w:sz="6" w:space="0"/>
              <w:right w:val="single" w:color="A6A6A6" w:sz="6" w:space="0"/>
            </w:tcBorders>
            <w:vAlign w:val="center"/>
          </w:tcPr>
          <w:p w14:paraId="2FED6E85">
            <w:pPr>
              <w:spacing w:after="0" w:line="264" w:lineRule="auto"/>
              <w:jc w:val="left"/>
            </w:pPr>
            <w:r>
              <w:rPr>
                <w:rFonts w:ascii="Times New Roman" w:hAnsi="Times New Roman" w:eastAsia="宋体"/>
                <w:b w:val="0"/>
                <w:sz w:val="19"/>
              </w:rPr>
              <w:t>本地状态反馈</w:t>
            </w:r>
          </w:p>
        </w:tc>
      </w:tr>
      <w:tr w14:paraId="1B63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244CD072">
            <w:pPr>
              <w:spacing w:after="0" w:line="264" w:lineRule="auto"/>
              <w:jc w:val="center"/>
            </w:pPr>
            <w:r>
              <w:rPr>
                <w:rFonts w:ascii="Times New Roman" w:hAnsi="Times New Roman" w:eastAsia="宋体"/>
                <w:b w:val="0"/>
                <w:sz w:val="19"/>
              </w:rPr>
              <w:t>语音提示</w:t>
            </w:r>
          </w:p>
        </w:tc>
        <w:tc>
          <w:tcPr>
            <w:tcW w:w="1701" w:type="dxa"/>
            <w:tcBorders>
              <w:top w:val="single" w:color="A6A6A6" w:sz="6" w:space="0"/>
              <w:left w:val="single" w:color="A6A6A6" w:sz="6" w:space="0"/>
              <w:bottom w:val="single" w:color="A6A6A6" w:sz="6" w:space="0"/>
              <w:right w:val="single" w:color="A6A6A6" w:sz="6" w:space="0"/>
            </w:tcBorders>
            <w:vAlign w:val="center"/>
          </w:tcPr>
          <w:p w14:paraId="68E13A35">
            <w:pPr>
              <w:spacing w:after="0" w:line="264" w:lineRule="auto"/>
              <w:jc w:val="center"/>
            </w:pPr>
            <w:r>
              <w:rPr>
                <w:rFonts w:ascii="Times New Roman" w:hAnsi="Times New Roman" w:eastAsia="宋体"/>
                <w:b w:val="0"/>
                <w:sz w:val="19"/>
              </w:rPr>
              <w:t>音频输出</w:t>
            </w:r>
          </w:p>
        </w:tc>
        <w:tc>
          <w:tcPr>
            <w:tcW w:w="2948" w:type="dxa"/>
            <w:tcBorders>
              <w:top w:val="single" w:color="A6A6A6" w:sz="6" w:space="0"/>
              <w:left w:val="single" w:color="A6A6A6" w:sz="6" w:space="0"/>
              <w:bottom w:val="single" w:color="A6A6A6" w:sz="6" w:space="0"/>
              <w:right w:val="single" w:color="A6A6A6" w:sz="6" w:space="0"/>
            </w:tcBorders>
            <w:vAlign w:val="center"/>
          </w:tcPr>
          <w:p w14:paraId="10228943">
            <w:pPr>
              <w:spacing w:after="0" w:line="264" w:lineRule="auto"/>
              <w:jc w:val="left"/>
            </w:pPr>
            <w:r>
              <w:rPr>
                <w:rFonts w:ascii="Times New Roman" w:hAnsi="Times New Roman" w:eastAsia="宋体"/>
                <w:b w:val="0"/>
                <w:sz w:val="19"/>
              </w:rPr>
              <w:t>本地 wav 音频</w:t>
            </w:r>
          </w:p>
        </w:tc>
        <w:tc>
          <w:tcPr>
            <w:tcW w:w="2608" w:type="dxa"/>
            <w:tcBorders>
              <w:top w:val="single" w:color="A6A6A6" w:sz="6" w:space="0"/>
              <w:left w:val="single" w:color="A6A6A6" w:sz="6" w:space="0"/>
              <w:bottom w:val="single" w:color="A6A6A6" w:sz="6" w:space="0"/>
              <w:right w:val="single" w:color="A6A6A6" w:sz="6" w:space="0"/>
            </w:tcBorders>
            <w:vAlign w:val="center"/>
          </w:tcPr>
          <w:p w14:paraId="42910B43">
            <w:pPr>
              <w:spacing w:after="0" w:line="264" w:lineRule="auto"/>
              <w:jc w:val="left"/>
            </w:pPr>
            <w:r>
              <w:rPr>
                <w:rFonts w:ascii="Times New Roman" w:hAnsi="Times New Roman" w:eastAsia="宋体"/>
                <w:b w:val="0"/>
                <w:sz w:val="19"/>
              </w:rPr>
              <w:t>坐姿和饮水提示音播报</w:t>
            </w:r>
          </w:p>
        </w:tc>
      </w:tr>
      <w:tr w14:paraId="2555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0C548763">
            <w:pPr>
              <w:spacing w:after="0" w:line="264" w:lineRule="auto"/>
              <w:jc w:val="center"/>
            </w:pPr>
            <w:r>
              <w:rPr>
                <w:rFonts w:ascii="Times New Roman" w:hAnsi="Times New Roman" w:eastAsia="宋体"/>
                <w:b w:val="0"/>
                <w:sz w:val="19"/>
              </w:rPr>
              <w:t>视频输出</w:t>
            </w:r>
          </w:p>
        </w:tc>
        <w:tc>
          <w:tcPr>
            <w:tcW w:w="1701" w:type="dxa"/>
            <w:tcBorders>
              <w:top w:val="single" w:color="A6A6A6" w:sz="6" w:space="0"/>
              <w:left w:val="single" w:color="A6A6A6" w:sz="6" w:space="0"/>
              <w:bottom w:val="single" w:color="A6A6A6" w:sz="6" w:space="0"/>
              <w:right w:val="single" w:color="A6A6A6" w:sz="6" w:space="0"/>
            </w:tcBorders>
            <w:vAlign w:val="center"/>
          </w:tcPr>
          <w:p w14:paraId="3AF44D8D">
            <w:pPr>
              <w:spacing w:after="0" w:line="264" w:lineRule="auto"/>
              <w:jc w:val="center"/>
            </w:pPr>
            <w:r>
              <w:rPr>
                <w:rFonts w:ascii="Times New Roman" w:hAnsi="Times New Roman" w:eastAsia="宋体"/>
                <w:b w:val="0"/>
                <w:sz w:val="19"/>
              </w:rPr>
              <w:t>HTTP-FLV</w:t>
            </w:r>
          </w:p>
        </w:tc>
        <w:tc>
          <w:tcPr>
            <w:tcW w:w="2948" w:type="dxa"/>
            <w:tcBorders>
              <w:top w:val="single" w:color="A6A6A6" w:sz="6" w:space="0"/>
              <w:left w:val="single" w:color="A6A6A6" w:sz="6" w:space="0"/>
              <w:bottom w:val="single" w:color="A6A6A6" w:sz="6" w:space="0"/>
              <w:right w:val="single" w:color="A6A6A6" w:sz="6" w:space="0"/>
            </w:tcBorders>
            <w:vAlign w:val="center"/>
          </w:tcPr>
          <w:p w14:paraId="4327C249">
            <w:pPr>
              <w:spacing w:after="0" w:line="264" w:lineRule="auto"/>
              <w:jc w:val="left"/>
            </w:pPr>
            <w:r>
              <w:rPr>
                <w:rFonts w:ascii="Times New Roman" w:hAnsi="Times New Roman" w:eastAsia="宋体"/>
                <w:b w:val="0"/>
                <w:sz w:val="19"/>
              </w:rPr>
              <w:t>8080/live.flv</w:t>
            </w:r>
          </w:p>
        </w:tc>
        <w:tc>
          <w:tcPr>
            <w:tcW w:w="2608" w:type="dxa"/>
            <w:tcBorders>
              <w:top w:val="single" w:color="A6A6A6" w:sz="6" w:space="0"/>
              <w:left w:val="single" w:color="A6A6A6" w:sz="6" w:space="0"/>
              <w:bottom w:val="single" w:color="A6A6A6" w:sz="6" w:space="0"/>
              <w:right w:val="single" w:color="A6A6A6" w:sz="6" w:space="0"/>
            </w:tcBorders>
            <w:vAlign w:val="center"/>
          </w:tcPr>
          <w:p w14:paraId="08F17A0E">
            <w:pPr>
              <w:spacing w:after="0" w:line="264" w:lineRule="auto"/>
              <w:jc w:val="left"/>
            </w:pPr>
            <w:r>
              <w:rPr>
                <w:rFonts w:ascii="Times New Roman" w:hAnsi="Times New Roman" w:eastAsia="宋体"/>
                <w:b w:val="0"/>
                <w:sz w:val="19"/>
              </w:rPr>
              <w:t>主程序视频输出接口</w:t>
            </w:r>
          </w:p>
        </w:tc>
      </w:tr>
      <w:tr w14:paraId="4C05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1678A66E">
            <w:pPr>
              <w:spacing w:after="0" w:line="264" w:lineRule="auto"/>
              <w:jc w:val="center"/>
            </w:pPr>
            <w:r>
              <w:rPr>
                <w:rFonts w:ascii="Times New Roman" w:hAnsi="Times New Roman" w:eastAsia="宋体"/>
                <w:b w:val="0"/>
                <w:sz w:val="19"/>
              </w:rPr>
              <w:t>视频查看</w:t>
            </w:r>
          </w:p>
        </w:tc>
        <w:tc>
          <w:tcPr>
            <w:tcW w:w="1701" w:type="dxa"/>
            <w:tcBorders>
              <w:top w:val="single" w:color="A6A6A6" w:sz="6" w:space="0"/>
              <w:left w:val="single" w:color="A6A6A6" w:sz="6" w:space="0"/>
              <w:bottom w:val="single" w:color="A6A6A6" w:sz="6" w:space="0"/>
              <w:right w:val="single" w:color="A6A6A6" w:sz="6" w:space="0"/>
            </w:tcBorders>
            <w:vAlign w:val="center"/>
          </w:tcPr>
          <w:p w14:paraId="513AE0EB">
            <w:pPr>
              <w:spacing w:after="0" w:line="264" w:lineRule="auto"/>
              <w:jc w:val="center"/>
            </w:pPr>
            <w:r>
              <w:rPr>
                <w:rFonts w:ascii="Times New Roman" w:hAnsi="Times New Roman" w:eastAsia="宋体"/>
                <w:b w:val="0"/>
                <w:sz w:val="19"/>
              </w:rPr>
              <w:t>RTSP relay</w:t>
            </w:r>
          </w:p>
        </w:tc>
        <w:tc>
          <w:tcPr>
            <w:tcW w:w="2948" w:type="dxa"/>
            <w:tcBorders>
              <w:top w:val="single" w:color="A6A6A6" w:sz="6" w:space="0"/>
              <w:left w:val="single" w:color="A6A6A6" w:sz="6" w:space="0"/>
              <w:bottom w:val="single" w:color="A6A6A6" w:sz="6" w:space="0"/>
              <w:right w:val="single" w:color="A6A6A6" w:sz="6" w:space="0"/>
            </w:tcBorders>
            <w:vAlign w:val="center"/>
          </w:tcPr>
          <w:p w14:paraId="01F107EC">
            <w:pPr>
              <w:spacing w:after="0" w:line="264" w:lineRule="auto"/>
              <w:jc w:val="left"/>
            </w:pPr>
            <w:r>
              <w:rPr>
                <w:rFonts w:ascii="Times New Roman" w:hAnsi="Times New Roman" w:eastAsia="宋体"/>
                <w:b w:val="0"/>
                <w:sz w:val="19"/>
              </w:rPr>
              <w:t>8554/live</w:t>
            </w:r>
          </w:p>
        </w:tc>
        <w:tc>
          <w:tcPr>
            <w:tcW w:w="2608" w:type="dxa"/>
            <w:tcBorders>
              <w:top w:val="single" w:color="A6A6A6" w:sz="6" w:space="0"/>
              <w:left w:val="single" w:color="A6A6A6" w:sz="6" w:space="0"/>
              <w:bottom w:val="single" w:color="A6A6A6" w:sz="6" w:space="0"/>
              <w:right w:val="single" w:color="A6A6A6" w:sz="6" w:space="0"/>
            </w:tcBorders>
            <w:vAlign w:val="center"/>
          </w:tcPr>
          <w:p w14:paraId="25D234D6">
            <w:pPr>
              <w:spacing w:after="0" w:line="264" w:lineRule="auto"/>
              <w:jc w:val="left"/>
            </w:pPr>
            <w:r>
              <w:rPr>
                <w:rFonts w:ascii="Times New Roman" w:hAnsi="Times New Roman" w:eastAsia="宋体"/>
                <w:b w:val="0"/>
                <w:sz w:val="19"/>
              </w:rPr>
              <w:t>独立转换后供 VLC 查看</w:t>
            </w:r>
          </w:p>
        </w:tc>
      </w:tr>
      <w:tr w14:paraId="64B3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109B925F">
            <w:pPr>
              <w:spacing w:after="0" w:line="264" w:lineRule="auto"/>
              <w:jc w:val="center"/>
            </w:pPr>
            <w:r>
              <w:rPr>
                <w:rFonts w:ascii="Times New Roman" w:hAnsi="Times New Roman" w:eastAsia="宋体"/>
                <w:b w:val="0"/>
                <w:sz w:val="19"/>
              </w:rPr>
              <w:t>状态同步</w:t>
            </w:r>
          </w:p>
        </w:tc>
        <w:tc>
          <w:tcPr>
            <w:tcW w:w="1701" w:type="dxa"/>
            <w:tcBorders>
              <w:top w:val="single" w:color="A6A6A6" w:sz="6" w:space="0"/>
              <w:left w:val="single" w:color="A6A6A6" w:sz="6" w:space="0"/>
              <w:bottom w:val="single" w:color="A6A6A6" w:sz="6" w:space="0"/>
              <w:right w:val="single" w:color="A6A6A6" w:sz="6" w:space="0"/>
            </w:tcBorders>
            <w:vAlign w:val="center"/>
          </w:tcPr>
          <w:p w14:paraId="00692FC5">
            <w:pPr>
              <w:spacing w:after="0" w:line="264" w:lineRule="auto"/>
              <w:jc w:val="center"/>
            </w:pPr>
            <w:r>
              <w:rPr>
                <w:rFonts w:ascii="Times New Roman" w:hAnsi="Times New Roman" w:eastAsia="宋体"/>
                <w:b w:val="0"/>
                <w:sz w:val="19"/>
              </w:rPr>
              <w:t>MQTT 主题</w:t>
            </w:r>
          </w:p>
        </w:tc>
        <w:tc>
          <w:tcPr>
            <w:tcW w:w="2948" w:type="dxa"/>
            <w:tcBorders>
              <w:top w:val="single" w:color="A6A6A6" w:sz="6" w:space="0"/>
              <w:left w:val="single" w:color="A6A6A6" w:sz="6" w:space="0"/>
              <w:bottom w:val="single" w:color="A6A6A6" w:sz="6" w:space="0"/>
              <w:right w:val="single" w:color="A6A6A6" w:sz="6" w:space="0"/>
            </w:tcBorders>
            <w:vAlign w:val="center"/>
          </w:tcPr>
          <w:p w14:paraId="3D456A7C">
            <w:pPr>
              <w:spacing w:after="0" w:line="264" w:lineRule="auto"/>
              <w:jc w:val="left"/>
            </w:pPr>
            <w:r>
              <w:rPr>
                <w:rFonts w:ascii="Times New Roman" w:hAnsi="Times New Roman" w:eastAsia="宋体"/>
                <w:b w:val="0"/>
                <w:sz w:val="19"/>
              </w:rPr>
              <w:t>rv1126b/status；rv1126b/event；rv1126b/telemetry</w:t>
            </w:r>
          </w:p>
        </w:tc>
        <w:tc>
          <w:tcPr>
            <w:tcW w:w="2608" w:type="dxa"/>
            <w:tcBorders>
              <w:top w:val="single" w:color="A6A6A6" w:sz="6" w:space="0"/>
              <w:left w:val="single" w:color="A6A6A6" w:sz="6" w:space="0"/>
              <w:bottom w:val="single" w:color="A6A6A6" w:sz="6" w:space="0"/>
              <w:right w:val="single" w:color="A6A6A6" w:sz="6" w:space="0"/>
            </w:tcBorders>
            <w:vAlign w:val="center"/>
          </w:tcPr>
          <w:p w14:paraId="01D62F78">
            <w:pPr>
              <w:spacing w:after="0" w:line="264" w:lineRule="auto"/>
              <w:jc w:val="left"/>
            </w:pPr>
            <w:r>
              <w:rPr>
                <w:rFonts w:ascii="Times New Roman" w:hAnsi="Times New Roman" w:eastAsia="宋体"/>
                <w:b w:val="0"/>
                <w:sz w:val="19"/>
              </w:rPr>
              <w:t>状态、事件和遥测同步</w:t>
            </w:r>
          </w:p>
        </w:tc>
      </w:tr>
      <w:tr w14:paraId="1054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7609B00B">
            <w:pPr>
              <w:spacing w:after="0" w:line="264" w:lineRule="auto"/>
              <w:jc w:val="center"/>
            </w:pPr>
            <w:r>
              <w:rPr>
                <w:rFonts w:ascii="Times New Roman" w:hAnsi="Times New Roman" w:eastAsia="宋体"/>
                <w:b w:val="0"/>
                <w:sz w:val="19"/>
              </w:rPr>
              <w:t>饮水提醒</w:t>
            </w:r>
          </w:p>
        </w:tc>
        <w:tc>
          <w:tcPr>
            <w:tcW w:w="1701" w:type="dxa"/>
            <w:tcBorders>
              <w:top w:val="single" w:color="A6A6A6" w:sz="6" w:space="0"/>
              <w:left w:val="single" w:color="A6A6A6" w:sz="6" w:space="0"/>
              <w:bottom w:val="single" w:color="A6A6A6" w:sz="6" w:space="0"/>
              <w:right w:val="single" w:color="A6A6A6" w:sz="6" w:space="0"/>
            </w:tcBorders>
            <w:vAlign w:val="center"/>
          </w:tcPr>
          <w:p w14:paraId="1658786D">
            <w:pPr>
              <w:spacing w:after="0" w:line="264" w:lineRule="auto"/>
              <w:jc w:val="center"/>
            </w:pPr>
            <w:r>
              <w:rPr>
                <w:rFonts w:ascii="Times New Roman" w:hAnsi="Times New Roman" w:eastAsia="宋体"/>
                <w:b w:val="0"/>
                <w:sz w:val="19"/>
              </w:rPr>
              <w:t>定时间隔</w:t>
            </w:r>
          </w:p>
        </w:tc>
        <w:tc>
          <w:tcPr>
            <w:tcW w:w="2948" w:type="dxa"/>
            <w:tcBorders>
              <w:top w:val="single" w:color="A6A6A6" w:sz="6" w:space="0"/>
              <w:left w:val="single" w:color="A6A6A6" w:sz="6" w:space="0"/>
              <w:bottom w:val="single" w:color="A6A6A6" w:sz="6" w:space="0"/>
              <w:right w:val="single" w:color="A6A6A6" w:sz="6" w:space="0"/>
            </w:tcBorders>
            <w:vAlign w:val="center"/>
          </w:tcPr>
          <w:p w14:paraId="7A6D8CAE">
            <w:pPr>
              <w:spacing w:after="0" w:line="264" w:lineRule="auto"/>
              <w:jc w:val="left"/>
            </w:pPr>
            <w:r>
              <w:rPr>
                <w:rFonts w:ascii="Times New Roman" w:hAnsi="Times New Roman" w:eastAsia="宋体"/>
                <w:b w:val="0"/>
                <w:sz w:val="19"/>
              </w:rPr>
              <w:t>默认 30 分钟，重复提醒 5 分钟</w:t>
            </w:r>
          </w:p>
        </w:tc>
        <w:tc>
          <w:tcPr>
            <w:tcW w:w="2608" w:type="dxa"/>
            <w:tcBorders>
              <w:top w:val="single" w:color="A6A6A6" w:sz="6" w:space="0"/>
              <w:left w:val="single" w:color="A6A6A6" w:sz="6" w:space="0"/>
              <w:bottom w:val="single" w:color="A6A6A6" w:sz="6" w:space="0"/>
              <w:right w:val="single" w:color="A6A6A6" w:sz="6" w:space="0"/>
            </w:tcBorders>
            <w:vAlign w:val="center"/>
          </w:tcPr>
          <w:p w14:paraId="2602E8D5">
            <w:pPr>
              <w:spacing w:after="0" w:line="264" w:lineRule="auto"/>
              <w:jc w:val="left"/>
            </w:pPr>
            <w:r>
              <w:rPr>
                <w:rFonts w:ascii="Times New Roman" w:hAnsi="Times New Roman" w:eastAsia="宋体"/>
                <w:b w:val="0"/>
                <w:sz w:val="19"/>
              </w:rPr>
              <w:t>可配置提醒参数</w:t>
            </w:r>
          </w:p>
        </w:tc>
      </w:tr>
    </w:tbl>
    <w:p w14:paraId="44759AB3">
      <w:pPr>
        <w:spacing w:after="80"/>
      </w:pPr>
    </w:p>
    <w:p w14:paraId="7C5E4819">
      <w:pPr>
        <w:pStyle w:val="3"/>
        <w:widowControl/>
        <w:rPr>
          <w:color w:val="auto"/>
        </w:rPr>
      </w:pPr>
      <w:r>
        <w:rPr>
          <w:rFonts w:ascii="Times New Roman" w:hAnsi="Times New Roman" w:eastAsia="黑体"/>
          <w:color w:val="auto"/>
        </w:rPr>
        <w:t>1.5 主要创新点</w:t>
      </w:r>
    </w:p>
    <w:p w14:paraId="06FC7F61">
      <w:pPr>
        <w:pStyle w:val="6"/>
        <w:widowControl/>
        <w:spacing w:after="60" w:line="283" w:lineRule="auto"/>
      </w:pPr>
      <w:r>
        <w:rPr>
          <w:rFonts w:ascii="Times New Roman" w:hAnsi="Times New Roman" w:eastAsia="宋体"/>
          <w:sz w:val="21"/>
        </w:rPr>
        <w:t>将手势、姿态和饮品检测统一到端侧多模型协同链路中，形成桌面健康提醒闭环。</w:t>
      </w:r>
    </w:p>
    <w:p w14:paraId="4E52B5CD">
      <w:pPr>
        <w:pStyle w:val="6"/>
        <w:widowControl/>
        <w:spacing w:after="60" w:line="283" w:lineRule="auto"/>
      </w:pPr>
      <w:r>
        <w:rPr>
          <w:rFonts w:ascii="Times New Roman" w:hAnsi="Times New Roman" w:eastAsia="宋体"/>
          <w:sz w:val="21"/>
        </w:rPr>
        <w:t>采用非接触手势交互与状态机防抖机制，使启停、确认和互动操作更适合桌面场景。</w:t>
      </w:r>
    </w:p>
    <w:p w14:paraId="07EFD590">
      <w:pPr>
        <w:pStyle w:val="6"/>
        <w:widowControl/>
        <w:spacing w:after="60" w:line="283" w:lineRule="auto"/>
      </w:pPr>
      <w:r>
        <w:rPr>
          <w:rFonts w:ascii="Times New Roman" w:hAnsi="Times New Roman" w:eastAsia="宋体"/>
          <w:sz w:val="21"/>
        </w:rPr>
        <w:t>融合视觉饮水判断与定时提醒，使饮水提醒同时考虑画面状态和时间因素。</w:t>
      </w:r>
    </w:p>
    <w:p w14:paraId="15444D5A">
      <w:pPr>
        <w:pStyle w:val="6"/>
        <w:widowControl/>
        <w:spacing w:after="60" w:line="283" w:lineRule="auto"/>
      </w:pPr>
      <w:r>
        <w:rPr>
          <w:rFonts w:ascii="Times New Roman" w:hAnsi="Times New Roman" w:eastAsia="宋体"/>
          <w:sz w:val="21"/>
        </w:rPr>
        <w:t>结合 ST7789 本地显示、语音提示、视频查看和 MQTT 状态同步，提升系统演示和调试的可观察性。</w:t>
      </w:r>
    </w:p>
    <w:p w14:paraId="3FA4E497">
      <w:pPr>
        <w:pStyle w:val="6"/>
        <w:widowControl/>
        <w:spacing w:after="60" w:line="283" w:lineRule="auto"/>
      </w:pPr>
      <w:r>
        <w:rPr>
          <w:rFonts w:ascii="Times New Roman" w:hAnsi="Times New Roman" w:eastAsia="宋体"/>
          <w:sz w:val="21"/>
        </w:rPr>
        <w:t>面向资源受限端侧平台进行模块化集成，便于部署、调试和后续功能扩展。</w:t>
      </w:r>
    </w:p>
    <w:p w14:paraId="401CBDC3">
      <w:pPr>
        <w:pStyle w:val="3"/>
        <w:widowControl/>
        <w:rPr>
          <w:color w:val="auto"/>
        </w:rPr>
      </w:pPr>
      <w:r>
        <w:rPr>
          <w:rFonts w:ascii="Times New Roman" w:hAnsi="Times New Roman" w:eastAsia="黑体"/>
          <w:color w:val="auto"/>
        </w:rPr>
        <w:t>1.6 设计流程</w:t>
      </w:r>
    </w:p>
    <w:p w14:paraId="039148E6">
      <w:pPr>
        <w:widowControl/>
        <w:spacing w:after="100" w:line="283" w:lineRule="auto"/>
        <w:ind w:firstLine="420"/>
        <w:jc w:val="both"/>
      </w:pPr>
      <w:r>
        <w:rPr>
          <w:rFonts w:ascii="Times New Roman" w:hAnsi="Times New Roman" w:eastAsia="宋体"/>
          <w:sz w:val="21"/>
        </w:rPr>
        <w:t>本作品的设计流程为：需求分析 → 平台选型 → 摄像头采集链路搭建 → RKNN 模型部署 → 图像预处理与坐标映射 → 模型后处理与状态机设计 → ST7789 显示、语音提示、视频输出和 MQTT 通信联调 → 实机验证与参数调整。整体设计从桌面场景需求出发，逐步完成感知、推理、判断和反馈链路。</w:t>
      </w:r>
    </w:p>
    <w:p w14:paraId="1ADF2035">
      <w:pPr>
        <w:widowControl/>
        <w:spacing w:before="120" w:after="60"/>
        <w:jc w:val="center"/>
      </w:pPr>
      <w:r>
        <w:rPr>
          <w:rFonts w:ascii="Times New Roman" w:hAnsi="Times New Roman" w:eastAsia="黑体"/>
          <w:sz w:val="21"/>
        </w:rPr>
        <w:t>图1-3 系统设计流程图</w:t>
      </w:r>
    </w:p>
    <w:p w14:paraId="7F3ECCA8">
      <w:pPr>
        <w:spacing w:after="40"/>
      </w:pPr>
      <w:r>
        <w:drawing>
          <wp:inline distT="0" distB="0" distL="114300" distR="114300">
            <wp:extent cx="6040120" cy="978535"/>
            <wp:effectExtent l="0" t="0" r="1778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rcRect t="23701" b="13758"/>
                    <a:stretch>
                      <a:fillRect/>
                    </a:stretch>
                  </pic:blipFill>
                  <pic:spPr>
                    <a:xfrm>
                      <a:off x="0" y="0"/>
                      <a:ext cx="6040120" cy="978535"/>
                    </a:xfrm>
                    <a:prstGeom prst="rect">
                      <a:avLst/>
                    </a:prstGeom>
                    <a:noFill/>
                    <a:ln>
                      <a:noFill/>
                    </a:ln>
                  </pic:spPr>
                </pic:pic>
              </a:graphicData>
            </a:graphic>
          </wp:inline>
        </w:drawing>
      </w:r>
    </w:p>
    <w:p w14:paraId="10C80F6E">
      <w:r>
        <w:br w:type="page"/>
      </w:r>
    </w:p>
    <w:p w14:paraId="21653416">
      <w:pPr>
        <w:pStyle w:val="2"/>
        <w:widowControl/>
        <w:rPr>
          <w:color w:val="auto"/>
        </w:rPr>
      </w:pPr>
      <w:r>
        <w:rPr>
          <w:rFonts w:ascii="Times New Roman" w:hAnsi="Times New Roman" w:eastAsia="黑体"/>
          <w:color w:val="auto"/>
        </w:rPr>
        <w:t>第二部分  系统组成及功能说明</w:t>
      </w:r>
    </w:p>
    <w:p w14:paraId="5B9A6453">
      <w:pPr>
        <w:pStyle w:val="3"/>
        <w:widowControl/>
        <w:rPr>
          <w:color w:val="auto"/>
        </w:rPr>
      </w:pPr>
      <w:r>
        <w:rPr>
          <w:rFonts w:ascii="Times New Roman" w:hAnsi="Times New Roman" w:eastAsia="黑体"/>
          <w:color w:val="auto"/>
        </w:rPr>
        <w:t>2.1 整体介绍</w:t>
      </w:r>
    </w:p>
    <w:p w14:paraId="49DA2C91">
      <w:pPr>
        <w:widowControl/>
        <w:spacing w:after="100" w:line="283" w:lineRule="auto"/>
        <w:ind w:firstLine="420"/>
        <w:jc w:val="both"/>
      </w:pPr>
      <w:r>
        <w:rPr>
          <w:rFonts w:ascii="Times New Roman" w:hAnsi="Times New Roman" w:eastAsia="宋体"/>
          <w:sz w:val="21"/>
        </w:rPr>
        <w:t>系统采用RV1126B作为端侧主控平台，以摄像头作为主要视觉输入，在本地完成图像采集、预处理、RKNN/NPU推理、业务状态融合和多端输出。整体链路可概括为“摄像头画面输入 → 多模型识别 → 业务状态判断 → 本地声画反馈与上位机反馈”。</w:t>
      </w:r>
    </w:p>
    <w:p w14:paraId="33CEC6D2">
      <w:pPr>
        <w:widowControl/>
        <w:spacing w:after="100" w:line="283" w:lineRule="auto"/>
        <w:ind w:firstLine="420"/>
        <w:jc w:val="both"/>
      </w:pPr>
      <w:r>
        <w:rPr>
          <w:rFonts w:ascii="Times New Roman" w:hAnsi="Times New Roman" w:eastAsia="宋体"/>
          <w:sz w:val="21"/>
        </w:rPr>
        <w:t>摄像头输入640×480 NV12视频帧后，预处理模块根据模型输入尺寸生成对应图像，并记录坐标映射关系。手势识别模型用于非接触交互，姿态估计模型用于人体关键点和坐姿状态分析，饮品检测模型用于杯/瓶候选区域检测。业务层将模型结果融合为系统状态，并分发给本地显示、语音提示、视频输出和通信同步链路。</w:t>
      </w:r>
    </w:p>
    <w:p w14:paraId="4798C485">
      <w:pPr>
        <w:widowControl/>
        <w:spacing w:after="100" w:line="283" w:lineRule="auto"/>
        <w:ind w:firstLine="420"/>
        <w:jc w:val="both"/>
      </w:pPr>
      <w:r>
        <w:rPr>
          <w:rFonts w:ascii="Times New Roman" w:hAnsi="Times New Roman" w:eastAsia="宋体"/>
          <w:sz w:val="21"/>
        </w:rPr>
        <w:t>输出侧保持端侧系统与上位机职责分离：主程序提供本地显示和语音提示，同时输出HTTP-FLV视频；RTSP relay 作为独立转换工具供 VLC 查看，MQTT用于状态、事件和遥测同步，上位机主要承担播放、订阅、日志查看和材料采集作用。</w:t>
      </w:r>
    </w:p>
    <w:p w14:paraId="7E87BB3D">
      <w:pPr>
        <w:widowControl/>
        <w:spacing w:before="120" w:after="60"/>
        <w:jc w:val="center"/>
      </w:pPr>
      <w:r>
        <w:rPr>
          <w:rFonts w:ascii="Times New Roman" w:hAnsi="Times New Roman" w:eastAsia="黑体"/>
          <w:sz w:val="21"/>
        </w:rPr>
        <w:t>图2-1 系统整体框图</w:t>
      </w:r>
    </w:p>
    <w:p w14:paraId="770DE45A">
      <w:pPr>
        <w:spacing w:after="40"/>
      </w:pPr>
      <w:r>
        <w:drawing>
          <wp:inline distT="0" distB="0" distL="114300" distR="114300">
            <wp:extent cx="6028055" cy="2567305"/>
            <wp:effectExtent l="0" t="0" r="1079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rcRect t="8009"/>
                    <a:stretch>
                      <a:fillRect/>
                    </a:stretch>
                  </pic:blipFill>
                  <pic:spPr>
                    <a:xfrm>
                      <a:off x="0" y="0"/>
                      <a:ext cx="6028055" cy="2567305"/>
                    </a:xfrm>
                    <a:prstGeom prst="rect">
                      <a:avLst/>
                    </a:prstGeom>
                    <a:noFill/>
                    <a:ln>
                      <a:noFill/>
                    </a:ln>
                  </pic:spPr>
                </pic:pic>
              </a:graphicData>
            </a:graphic>
          </wp:inline>
        </w:drawing>
      </w:r>
    </w:p>
    <w:p w14:paraId="599A4FAC">
      <w:pPr>
        <w:pStyle w:val="3"/>
        <w:widowControl/>
        <w:rPr>
          <w:color w:val="auto"/>
        </w:rPr>
      </w:pPr>
      <w:r>
        <w:rPr>
          <w:rFonts w:ascii="Times New Roman" w:hAnsi="Times New Roman" w:eastAsia="黑体"/>
          <w:color w:val="auto"/>
        </w:rPr>
        <w:t>2.2 硬件系统介绍</w:t>
      </w:r>
    </w:p>
    <w:p w14:paraId="13B8D9AE">
      <w:pPr>
        <w:pStyle w:val="4"/>
        <w:widowControl/>
        <w:rPr>
          <w:color w:val="auto"/>
        </w:rPr>
      </w:pPr>
      <w:r>
        <w:rPr>
          <w:rFonts w:ascii="Times New Roman" w:hAnsi="Times New Roman" w:eastAsia="黑体"/>
          <w:color w:val="auto"/>
        </w:rPr>
        <w:t>2.2.1 硬件整体组成</w:t>
      </w:r>
    </w:p>
    <w:p w14:paraId="7CD9553C">
      <w:pPr>
        <w:widowControl/>
        <w:spacing w:after="100" w:line="283" w:lineRule="auto"/>
        <w:ind w:firstLine="420"/>
        <w:jc w:val="both"/>
      </w:pPr>
      <w:r>
        <w:rPr>
          <w:rFonts w:ascii="Times New Roman" w:hAnsi="Times New Roman" w:eastAsia="宋体"/>
          <w:sz w:val="21"/>
        </w:rPr>
        <w:t>硬件系统由RV1126B主控平台、摄像头、ST7789显示屏、音频输出设备、网络连接和上位机构成。RV1126B平台承担图像采集、端侧推理、状态判断和输出调度任务；摄像头负责获取用户与桌面区域画面；ST7789 显示屏用于本地状态反馈；音频输出设备用于播放坐姿和饮水提示音；网络连接承载视频查看和状态同步；上位机用于播放、订阅、日志查看和材料整理。</w:t>
      </w:r>
    </w:p>
    <w:p w14:paraId="1DB735CB">
      <w:pPr>
        <w:widowControl/>
        <w:spacing w:before="120" w:after="60"/>
        <w:jc w:val="center"/>
      </w:pPr>
      <w:r>
        <w:rPr>
          <w:rFonts w:ascii="Times New Roman" w:hAnsi="Times New Roman" w:eastAsia="黑体"/>
          <w:sz w:val="21"/>
        </w:rPr>
        <w:t>图2-2 硬件系统组成图</w:t>
      </w:r>
    </w:p>
    <w:tbl>
      <w:tblPr>
        <w:tblStyle w:val="11"/>
        <w:tblW w:w="0" w:type="auto"/>
        <w:jc w:val="center"/>
        <w:tblLayout w:type="autofit"/>
        <w:tblCellMar>
          <w:top w:w="0" w:type="dxa"/>
          <w:left w:w="108" w:type="dxa"/>
          <w:bottom w:w="0" w:type="dxa"/>
          <w:right w:w="108" w:type="dxa"/>
        </w:tblCellMar>
      </w:tblPr>
      <w:tblGrid>
        <w:gridCol w:w="8220"/>
      </w:tblGrid>
      <w:tr w14:paraId="2F2F6168">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w14:paraId="1042A72B">
            <w:pPr>
              <w:spacing w:before="360" w:after="360"/>
              <w:jc w:val="center"/>
            </w:pPr>
            <w:r>
              <w:rPr>
                <w:rFonts w:ascii="Times New Roman" w:hAnsi="Times New Roman" w:eastAsia="宋体"/>
                <w:i/>
                <w:color w:val="666666"/>
                <w:sz w:val="21"/>
              </w:rPr>
              <w:t>此处插入硬件系统组成图</w:t>
            </w:r>
          </w:p>
        </w:tc>
      </w:tr>
    </w:tbl>
    <w:p w14:paraId="1DC5C819">
      <w:pPr>
        <w:spacing w:after="40"/>
      </w:pPr>
    </w:p>
    <w:p w14:paraId="4A79FA92">
      <w:r>
        <w:br w:type="page"/>
      </w:r>
    </w:p>
    <w:p w14:paraId="33C4604B">
      <w:pPr>
        <w:widowControl/>
        <w:spacing w:before="120" w:after="60"/>
        <w:jc w:val="center"/>
      </w:pPr>
      <w:r>
        <w:rPr>
          <w:rFonts w:ascii="Times New Roman" w:hAnsi="Times New Roman" w:eastAsia="黑体"/>
          <w:sz w:val="21"/>
        </w:rPr>
        <w:t>表2-1 硬件组成表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2278"/>
        <w:gridCol w:w="2322"/>
        <w:gridCol w:w="2268"/>
      </w:tblGrid>
      <w:tr w14:paraId="0B2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398E249F">
            <w:pPr>
              <w:spacing w:after="0" w:line="264" w:lineRule="auto"/>
              <w:jc w:val="center"/>
            </w:pPr>
            <w:r>
              <w:rPr>
                <w:rFonts w:ascii="Times New Roman" w:hAnsi="Times New Roman" w:eastAsia="宋体"/>
                <w:b/>
                <w:sz w:val="20"/>
              </w:rPr>
              <w:t>硬件模块</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30ECB4B">
            <w:pPr>
              <w:spacing w:after="0" w:line="264" w:lineRule="auto"/>
              <w:jc w:val="center"/>
            </w:pPr>
            <w:r>
              <w:rPr>
                <w:rFonts w:ascii="Times New Roman" w:hAnsi="Times New Roman" w:eastAsia="宋体"/>
                <w:b/>
                <w:sz w:val="20"/>
              </w:rPr>
              <w:t>作用</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592DC73A">
            <w:pPr>
              <w:spacing w:after="0" w:line="264" w:lineRule="auto"/>
              <w:jc w:val="center"/>
            </w:pPr>
            <w:r>
              <w:rPr>
                <w:rFonts w:ascii="Times New Roman" w:hAnsi="Times New Roman" w:eastAsia="宋体"/>
                <w:b/>
                <w:sz w:val="20"/>
              </w:rPr>
              <w:t>关键参数/接口</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A51A9AB">
            <w:pPr>
              <w:spacing w:after="0" w:line="264" w:lineRule="auto"/>
              <w:jc w:val="center"/>
            </w:pPr>
            <w:r>
              <w:rPr>
                <w:rFonts w:ascii="Times New Roman" w:hAnsi="Times New Roman" w:eastAsia="宋体"/>
                <w:b/>
                <w:sz w:val="20"/>
              </w:rPr>
              <w:t>说明</w:t>
            </w:r>
          </w:p>
        </w:tc>
      </w:tr>
      <w:tr w14:paraId="094D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D431B4D">
            <w:pPr>
              <w:spacing w:after="0" w:line="264" w:lineRule="auto"/>
              <w:jc w:val="center"/>
            </w:pPr>
            <w:r>
              <w:rPr>
                <w:rFonts w:ascii="Times New Roman" w:hAnsi="Times New Roman" w:eastAsia="宋体"/>
                <w:b w:val="0"/>
                <w:sz w:val="19"/>
              </w:rPr>
              <w:t>RV1126B 平台</w:t>
            </w:r>
          </w:p>
        </w:tc>
        <w:tc>
          <w:tcPr>
            <w:tcW w:w="2381" w:type="dxa"/>
            <w:tcBorders>
              <w:top w:val="single" w:color="A6A6A6" w:sz="6" w:space="0"/>
              <w:left w:val="single" w:color="A6A6A6" w:sz="6" w:space="0"/>
              <w:bottom w:val="single" w:color="A6A6A6" w:sz="6" w:space="0"/>
              <w:right w:val="single" w:color="A6A6A6" w:sz="6" w:space="0"/>
            </w:tcBorders>
            <w:vAlign w:val="center"/>
          </w:tcPr>
          <w:p w14:paraId="14855280">
            <w:pPr>
              <w:spacing w:after="0" w:line="264" w:lineRule="auto"/>
              <w:jc w:val="center"/>
            </w:pPr>
            <w:r>
              <w:rPr>
                <w:rFonts w:ascii="Times New Roman" w:hAnsi="Times New Roman" w:eastAsia="宋体"/>
                <w:b w:val="0"/>
                <w:sz w:val="19"/>
              </w:rPr>
              <w:t>系统主控、NPU 推理、视频编码与网络通信</w:t>
            </w:r>
          </w:p>
        </w:tc>
        <w:tc>
          <w:tcPr>
            <w:tcW w:w="2381" w:type="dxa"/>
            <w:tcBorders>
              <w:top w:val="single" w:color="A6A6A6" w:sz="6" w:space="0"/>
              <w:left w:val="single" w:color="A6A6A6" w:sz="6" w:space="0"/>
              <w:bottom w:val="single" w:color="A6A6A6" w:sz="6" w:space="0"/>
              <w:right w:val="single" w:color="A6A6A6" w:sz="6" w:space="0"/>
            </w:tcBorders>
            <w:vAlign w:val="center"/>
          </w:tcPr>
          <w:p w14:paraId="5940BF65">
            <w:pPr>
              <w:spacing w:after="0" w:line="264" w:lineRule="auto"/>
              <w:jc w:val="left"/>
            </w:pPr>
            <w:r>
              <w:rPr>
                <w:rFonts w:ascii="Times New Roman" w:hAnsi="Times New Roman" w:eastAsia="宋体"/>
                <w:b w:val="0"/>
                <w:sz w:val="19"/>
              </w:rPr>
              <w:t>板载 NPU、MPP、RGA、V4L2 等能力</w:t>
            </w:r>
          </w:p>
        </w:tc>
        <w:tc>
          <w:tcPr>
            <w:tcW w:w="2381" w:type="dxa"/>
            <w:tcBorders>
              <w:top w:val="single" w:color="A6A6A6" w:sz="6" w:space="0"/>
              <w:left w:val="single" w:color="A6A6A6" w:sz="6" w:space="0"/>
              <w:bottom w:val="single" w:color="A6A6A6" w:sz="6" w:space="0"/>
              <w:right w:val="single" w:color="A6A6A6" w:sz="6" w:space="0"/>
            </w:tcBorders>
            <w:vAlign w:val="center"/>
          </w:tcPr>
          <w:p w14:paraId="50E6F12B">
            <w:pPr>
              <w:spacing w:after="0" w:line="264" w:lineRule="auto"/>
              <w:jc w:val="left"/>
            </w:pPr>
            <w:r>
              <w:rPr>
                <w:rFonts w:ascii="Times New Roman" w:hAnsi="Times New Roman" w:eastAsia="宋体"/>
                <w:b w:val="0"/>
                <w:sz w:val="19"/>
              </w:rPr>
              <w:t>完成端侧 AI 与多链路输出</w:t>
            </w:r>
          </w:p>
        </w:tc>
      </w:tr>
      <w:tr w14:paraId="3599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6FD225EF">
            <w:pPr>
              <w:spacing w:after="0" w:line="264" w:lineRule="auto"/>
              <w:jc w:val="center"/>
            </w:pPr>
            <w:r>
              <w:rPr>
                <w:rFonts w:ascii="Times New Roman" w:hAnsi="Times New Roman" w:eastAsia="宋体"/>
                <w:b w:val="0"/>
                <w:sz w:val="19"/>
              </w:rPr>
              <w:t>摄像头</w:t>
            </w:r>
          </w:p>
        </w:tc>
        <w:tc>
          <w:tcPr>
            <w:tcW w:w="2381" w:type="dxa"/>
            <w:tcBorders>
              <w:top w:val="single" w:color="A6A6A6" w:sz="6" w:space="0"/>
              <w:left w:val="single" w:color="A6A6A6" w:sz="6" w:space="0"/>
              <w:bottom w:val="single" w:color="A6A6A6" w:sz="6" w:space="0"/>
              <w:right w:val="single" w:color="A6A6A6" w:sz="6" w:space="0"/>
            </w:tcBorders>
            <w:vAlign w:val="center"/>
          </w:tcPr>
          <w:p w14:paraId="0FC4207A">
            <w:pPr>
              <w:spacing w:after="0" w:line="264" w:lineRule="auto"/>
              <w:jc w:val="center"/>
            </w:pPr>
            <w:r>
              <w:rPr>
                <w:rFonts w:ascii="Times New Roman" w:hAnsi="Times New Roman" w:eastAsia="宋体"/>
                <w:b w:val="0"/>
                <w:sz w:val="19"/>
              </w:rPr>
              <w:t>采集用户桌面场景图像</w:t>
            </w:r>
          </w:p>
        </w:tc>
        <w:tc>
          <w:tcPr>
            <w:tcW w:w="2381" w:type="dxa"/>
            <w:tcBorders>
              <w:top w:val="single" w:color="A6A6A6" w:sz="6" w:space="0"/>
              <w:left w:val="single" w:color="A6A6A6" w:sz="6" w:space="0"/>
              <w:bottom w:val="single" w:color="A6A6A6" w:sz="6" w:space="0"/>
              <w:right w:val="single" w:color="A6A6A6" w:sz="6" w:space="0"/>
            </w:tcBorders>
            <w:vAlign w:val="center"/>
          </w:tcPr>
          <w:p w14:paraId="2E496C97">
            <w:pPr>
              <w:spacing w:after="0" w:line="264" w:lineRule="auto"/>
              <w:jc w:val="left"/>
            </w:pPr>
            <w:r>
              <w:rPr>
                <w:rFonts w:ascii="Times New Roman" w:hAnsi="Times New Roman" w:eastAsia="宋体"/>
                <w:b w:val="0"/>
                <w:sz w:val="19"/>
              </w:rPr>
              <w:t>640×480，NV12</w:t>
            </w:r>
          </w:p>
        </w:tc>
        <w:tc>
          <w:tcPr>
            <w:tcW w:w="2381" w:type="dxa"/>
            <w:tcBorders>
              <w:top w:val="single" w:color="A6A6A6" w:sz="6" w:space="0"/>
              <w:left w:val="single" w:color="A6A6A6" w:sz="6" w:space="0"/>
              <w:bottom w:val="single" w:color="A6A6A6" w:sz="6" w:space="0"/>
              <w:right w:val="single" w:color="A6A6A6" w:sz="6" w:space="0"/>
            </w:tcBorders>
            <w:vAlign w:val="center"/>
          </w:tcPr>
          <w:p w14:paraId="17C4EFA5">
            <w:pPr>
              <w:spacing w:after="0" w:line="264" w:lineRule="auto"/>
              <w:jc w:val="left"/>
            </w:pPr>
            <w:r>
              <w:rPr>
                <w:rFonts w:ascii="Times New Roman" w:hAnsi="Times New Roman" w:eastAsia="宋体"/>
                <w:b w:val="0"/>
                <w:sz w:val="19"/>
              </w:rPr>
              <w:t>为手势识别、姿态估计和饮品检测提供输入</w:t>
            </w:r>
          </w:p>
        </w:tc>
      </w:tr>
      <w:tr w14:paraId="2983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0A4B07EA">
            <w:pPr>
              <w:spacing w:after="0" w:line="264" w:lineRule="auto"/>
              <w:jc w:val="center"/>
            </w:pPr>
            <w:r>
              <w:rPr>
                <w:rFonts w:ascii="Times New Roman" w:hAnsi="Times New Roman" w:eastAsia="宋体"/>
                <w:b w:val="0"/>
                <w:sz w:val="19"/>
              </w:rPr>
              <w:t>ST7789 显示屏</w:t>
            </w:r>
          </w:p>
        </w:tc>
        <w:tc>
          <w:tcPr>
            <w:tcW w:w="2381" w:type="dxa"/>
            <w:tcBorders>
              <w:top w:val="single" w:color="A6A6A6" w:sz="6" w:space="0"/>
              <w:left w:val="single" w:color="A6A6A6" w:sz="6" w:space="0"/>
              <w:bottom w:val="single" w:color="A6A6A6" w:sz="6" w:space="0"/>
              <w:right w:val="single" w:color="A6A6A6" w:sz="6" w:space="0"/>
            </w:tcBorders>
            <w:vAlign w:val="center"/>
          </w:tcPr>
          <w:p w14:paraId="2EC3C4E3">
            <w:pPr>
              <w:spacing w:after="0" w:line="264" w:lineRule="auto"/>
              <w:jc w:val="center"/>
            </w:pPr>
            <w:r>
              <w:rPr>
                <w:rFonts w:ascii="Times New Roman" w:hAnsi="Times New Roman" w:eastAsia="宋体"/>
                <w:b w:val="0"/>
                <w:sz w:val="19"/>
              </w:rPr>
              <w:t>本地显示系统状态与提醒界面</w:t>
            </w:r>
          </w:p>
        </w:tc>
        <w:tc>
          <w:tcPr>
            <w:tcW w:w="2381" w:type="dxa"/>
            <w:tcBorders>
              <w:top w:val="single" w:color="A6A6A6" w:sz="6" w:space="0"/>
              <w:left w:val="single" w:color="A6A6A6" w:sz="6" w:space="0"/>
              <w:bottom w:val="single" w:color="A6A6A6" w:sz="6" w:space="0"/>
              <w:right w:val="single" w:color="A6A6A6" w:sz="6" w:space="0"/>
            </w:tcBorders>
            <w:vAlign w:val="center"/>
          </w:tcPr>
          <w:p w14:paraId="3B9165C5">
            <w:pPr>
              <w:spacing w:after="0" w:line="264" w:lineRule="auto"/>
              <w:jc w:val="left"/>
            </w:pPr>
            <w:r>
              <w:rPr>
                <w:rFonts w:ascii="Times New Roman" w:hAnsi="Times New Roman" w:eastAsia="宋体"/>
                <w:b w:val="0"/>
                <w:sz w:val="19"/>
              </w:rPr>
              <w:t>240×240，SPI/GPIO 连接</w:t>
            </w:r>
          </w:p>
        </w:tc>
        <w:tc>
          <w:tcPr>
            <w:tcW w:w="2381" w:type="dxa"/>
            <w:tcBorders>
              <w:top w:val="single" w:color="A6A6A6" w:sz="6" w:space="0"/>
              <w:left w:val="single" w:color="A6A6A6" w:sz="6" w:space="0"/>
              <w:bottom w:val="single" w:color="A6A6A6" w:sz="6" w:space="0"/>
              <w:right w:val="single" w:color="A6A6A6" w:sz="6" w:space="0"/>
            </w:tcBorders>
            <w:vAlign w:val="center"/>
          </w:tcPr>
          <w:p w14:paraId="722D8480">
            <w:pPr>
              <w:spacing w:after="0" w:line="264" w:lineRule="auto"/>
              <w:jc w:val="left"/>
            </w:pPr>
            <w:r>
              <w:rPr>
                <w:rFonts w:ascii="Times New Roman" w:hAnsi="Times New Roman" w:eastAsia="宋体"/>
                <w:b w:val="0"/>
                <w:sz w:val="19"/>
              </w:rPr>
              <w:t>提供待机、运行、提醒等状态反馈</w:t>
            </w:r>
          </w:p>
        </w:tc>
      </w:tr>
      <w:tr w14:paraId="2889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3EDE8C31">
            <w:pPr>
              <w:spacing w:after="0" w:line="264" w:lineRule="auto"/>
              <w:jc w:val="center"/>
            </w:pPr>
            <w:r>
              <w:rPr>
                <w:rFonts w:ascii="Times New Roman" w:hAnsi="Times New Roman" w:eastAsia="宋体"/>
                <w:b w:val="0"/>
                <w:sz w:val="19"/>
              </w:rPr>
              <w:t>音频输出设备</w:t>
            </w:r>
          </w:p>
        </w:tc>
        <w:tc>
          <w:tcPr>
            <w:tcW w:w="2381" w:type="dxa"/>
            <w:tcBorders>
              <w:top w:val="single" w:color="A6A6A6" w:sz="6" w:space="0"/>
              <w:left w:val="single" w:color="A6A6A6" w:sz="6" w:space="0"/>
              <w:bottom w:val="single" w:color="A6A6A6" w:sz="6" w:space="0"/>
              <w:right w:val="single" w:color="A6A6A6" w:sz="6" w:space="0"/>
            </w:tcBorders>
            <w:vAlign w:val="center"/>
          </w:tcPr>
          <w:p w14:paraId="63F370DD">
            <w:pPr>
              <w:spacing w:after="0" w:line="264" w:lineRule="auto"/>
              <w:jc w:val="center"/>
            </w:pPr>
            <w:r>
              <w:rPr>
                <w:rFonts w:ascii="Times New Roman" w:hAnsi="Times New Roman" w:eastAsia="宋体"/>
                <w:b w:val="0"/>
                <w:sz w:val="19"/>
              </w:rPr>
              <w:t>播放坐姿和饮水提示音</w:t>
            </w:r>
          </w:p>
        </w:tc>
        <w:tc>
          <w:tcPr>
            <w:tcW w:w="2381" w:type="dxa"/>
            <w:tcBorders>
              <w:top w:val="single" w:color="A6A6A6" w:sz="6" w:space="0"/>
              <w:left w:val="single" w:color="A6A6A6" w:sz="6" w:space="0"/>
              <w:bottom w:val="single" w:color="A6A6A6" w:sz="6" w:space="0"/>
              <w:right w:val="single" w:color="A6A6A6" w:sz="6" w:space="0"/>
            </w:tcBorders>
            <w:vAlign w:val="center"/>
          </w:tcPr>
          <w:p w14:paraId="3678E487">
            <w:pPr>
              <w:spacing w:after="0" w:line="264" w:lineRule="auto"/>
              <w:jc w:val="left"/>
            </w:pPr>
            <w:r>
              <w:rPr>
                <w:rFonts w:ascii="Times New Roman" w:hAnsi="Times New Roman" w:eastAsia="宋体"/>
                <w:b w:val="0"/>
                <w:sz w:val="19"/>
              </w:rPr>
              <w:t>本地 wav 音频，ALSA/aplay 播放</w:t>
            </w:r>
          </w:p>
        </w:tc>
        <w:tc>
          <w:tcPr>
            <w:tcW w:w="2381" w:type="dxa"/>
            <w:tcBorders>
              <w:top w:val="single" w:color="A6A6A6" w:sz="6" w:space="0"/>
              <w:left w:val="single" w:color="A6A6A6" w:sz="6" w:space="0"/>
              <w:bottom w:val="single" w:color="A6A6A6" w:sz="6" w:space="0"/>
              <w:right w:val="single" w:color="A6A6A6" w:sz="6" w:space="0"/>
            </w:tcBorders>
            <w:vAlign w:val="center"/>
          </w:tcPr>
          <w:p w14:paraId="124F786C">
            <w:pPr>
              <w:spacing w:after="0" w:line="264" w:lineRule="auto"/>
              <w:jc w:val="left"/>
            </w:pPr>
            <w:r>
              <w:rPr>
                <w:rFonts w:ascii="Times New Roman" w:hAnsi="Times New Roman" w:eastAsia="宋体"/>
                <w:b w:val="0"/>
                <w:sz w:val="19"/>
              </w:rPr>
              <w:t>与屏幕提醒形成声画反馈</w:t>
            </w:r>
          </w:p>
        </w:tc>
      </w:tr>
      <w:tr w14:paraId="16EB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3D8292C">
            <w:pPr>
              <w:spacing w:after="0" w:line="264" w:lineRule="auto"/>
              <w:jc w:val="center"/>
            </w:pPr>
            <w:r>
              <w:rPr>
                <w:rFonts w:ascii="Times New Roman" w:hAnsi="Times New Roman" w:eastAsia="宋体"/>
                <w:b w:val="0"/>
                <w:sz w:val="19"/>
              </w:rPr>
              <w:t>网络连接</w:t>
            </w:r>
          </w:p>
        </w:tc>
        <w:tc>
          <w:tcPr>
            <w:tcW w:w="2381" w:type="dxa"/>
            <w:tcBorders>
              <w:top w:val="single" w:color="A6A6A6" w:sz="6" w:space="0"/>
              <w:left w:val="single" w:color="A6A6A6" w:sz="6" w:space="0"/>
              <w:bottom w:val="single" w:color="A6A6A6" w:sz="6" w:space="0"/>
              <w:right w:val="single" w:color="A6A6A6" w:sz="6" w:space="0"/>
            </w:tcBorders>
            <w:vAlign w:val="center"/>
          </w:tcPr>
          <w:p w14:paraId="6DBF27E3">
            <w:pPr>
              <w:spacing w:after="0" w:line="264" w:lineRule="auto"/>
              <w:jc w:val="center"/>
            </w:pPr>
            <w:r>
              <w:rPr>
                <w:rFonts w:ascii="Times New Roman" w:hAnsi="Times New Roman" w:eastAsia="宋体"/>
                <w:b w:val="0"/>
                <w:sz w:val="19"/>
              </w:rPr>
              <w:t>承载视频访问、RTSP relay 和 MQTT 状态同步</w:t>
            </w:r>
          </w:p>
        </w:tc>
        <w:tc>
          <w:tcPr>
            <w:tcW w:w="2381" w:type="dxa"/>
            <w:tcBorders>
              <w:top w:val="single" w:color="A6A6A6" w:sz="6" w:space="0"/>
              <w:left w:val="single" w:color="A6A6A6" w:sz="6" w:space="0"/>
              <w:bottom w:val="single" w:color="A6A6A6" w:sz="6" w:space="0"/>
              <w:right w:val="single" w:color="A6A6A6" w:sz="6" w:space="0"/>
            </w:tcBorders>
            <w:vAlign w:val="center"/>
          </w:tcPr>
          <w:p w14:paraId="268F5270">
            <w:pPr>
              <w:spacing w:after="0" w:line="264" w:lineRule="auto"/>
              <w:jc w:val="left"/>
            </w:pPr>
            <w:r>
              <w:rPr>
                <w:rFonts w:ascii="Times New Roman" w:hAnsi="Times New Roman" w:eastAsia="宋体"/>
                <w:b w:val="0"/>
                <w:sz w:val="19"/>
              </w:rPr>
              <w:t>以太网或无线网络</w:t>
            </w:r>
          </w:p>
        </w:tc>
        <w:tc>
          <w:tcPr>
            <w:tcW w:w="2381" w:type="dxa"/>
            <w:tcBorders>
              <w:top w:val="single" w:color="A6A6A6" w:sz="6" w:space="0"/>
              <w:left w:val="single" w:color="A6A6A6" w:sz="6" w:space="0"/>
              <w:bottom w:val="single" w:color="A6A6A6" w:sz="6" w:space="0"/>
              <w:right w:val="single" w:color="A6A6A6" w:sz="6" w:space="0"/>
            </w:tcBorders>
            <w:vAlign w:val="center"/>
          </w:tcPr>
          <w:p w14:paraId="5CF3970C">
            <w:pPr>
              <w:spacing w:after="0" w:line="264" w:lineRule="auto"/>
              <w:jc w:val="left"/>
            </w:pPr>
            <w:r>
              <w:rPr>
                <w:rFonts w:ascii="Times New Roman" w:hAnsi="Times New Roman" w:eastAsia="宋体"/>
                <w:b w:val="0"/>
                <w:sz w:val="19"/>
              </w:rPr>
              <w:t>支持上位机查看与远程状态同步</w:t>
            </w:r>
          </w:p>
        </w:tc>
      </w:tr>
      <w:tr w14:paraId="6E26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322C92E0">
            <w:pPr>
              <w:spacing w:after="0" w:line="264" w:lineRule="auto"/>
              <w:jc w:val="center"/>
            </w:pPr>
            <w:r>
              <w:rPr>
                <w:rFonts w:ascii="Times New Roman" w:hAnsi="Times New Roman" w:eastAsia="宋体"/>
                <w:b w:val="0"/>
                <w:sz w:val="19"/>
              </w:rPr>
              <w:t>上位机</w:t>
            </w:r>
          </w:p>
        </w:tc>
        <w:tc>
          <w:tcPr>
            <w:tcW w:w="2381" w:type="dxa"/>
            <w:tcBorders>
              <w:top w:val="single" w:color="A6A6A6" w:sz="6" w:space="0"/>
              <w:left w:val="single" w:color="A6A6A6" w:sz="6" w:space="0"/>
              <w:bottom w:val="single" w:color="A6A6A6" w:sz="6" w:space="0"/>
              <w:right w:val="single" w:color="A6A6A6" w:sz="6" w:space="0"/>
            </w:tcBorders>
            <w:vAlign w:val="center"/>
          </w:tcPr>
          <w:p w14:paraId="21175F09">
            <w:pPr>
              <w:spacing w:after="0" w:line="264" w:lineRule="auto"/>
              <w:jc w:val="center"/>
            </w:pPr>
            <w:r>
              <w:rPr>
                <w:rFonts w:ascii="Times New Roman" w:hAnsi="Times New Roman" w:eastAsia="宋体"/>
                <w:b w:val="0"/>
                <w:sz w:val="19"/>
              </w:rPr>
              <w:t>用于 VLC 查看 RTSP 视频、调试 MQTT 消息和观察运行结果</w:t>
            </w:r>
          </w:p>
        </w:tc>
        <w:tc>
          <w:tcPr>
            <w:tcW w:w="2381" w:type="dxa"/>
            <w:tcBorders>
              <w:top w:val="single" w:color="A6A6A6" w:sz="6" w:space="0"/>
              <w:left w:val="single" w:color="A6A6A6" w:sz="6" w:space="0"/>
              <w:bottom w:val="single" w:color="A6A6A6" w:sz="6" w:space="0"/>
              <w:right w:val="single" w:color="A6A6A6" w:sz="6" w:space="0"/>
            </w:tcBorders>
            <w:vAlign w:val="center"/>
          </w:tcPr>
          <w:p w14:paraId="6BB62900">
            <w:pPr>
              <w:spacing w:after="0" w:line="264" w:lineRule="auto"/>
              <w:jc w:val="left"/>
            </w:pPr>
            <w:r>
              <w:rPr>
                <w:rFonts w:ascii="Times New Roman" w:hAnsi="Times New Roman" w:eastAsia="宋体"/>
                <w:b w:val="0"/>
                <w:sz w:val="19"/>
              </w:rPr>
              <w:t>Windows/Linux 终端设备</w:t>
            </w:r>
          </w:p>
        </w:tc>
        <w:tc>
          <w:tcPr>
            <w:tcW w:w="2381" w:type="dxa"/>
            <w:tcBorders>
              <w:top w:val="single" w:color="A6A6A6" w:sz="6" w:space="0"/>
              <w:left w:val="single" w:color="A6A6A6" w:sz="6" w:space="0"/>
              <w:bottom w:val="single" w:color="A6A6A6" w:sz="6" w:space="0"/>
              <w:right w:val="single" w:color="A6A6A6" w:sz="6" w:space="0"/>
            </w:tcBorders>
            <w:vAlign w:val="center"/>
          </w:tcPr>
          <w:p w14:paraId="3EEFA276">
            <w:pPr>
              <w:spacing w:after="0" w:line="264" w:lineRule="auto"/>
              <w:jc w:val="left"/>
            </w:pPr>
            <w:r>
              <w:rPr>
                <w:rFonts w:ascii="Times New Roman" w:hAnsi="Times New Roman" w:eastAsia="宋体"/>
                <w:b w:val="0"/>
                <w:sz w:val="19"/>
              </w:rPr>
              <w:t>完成展示、调试与验证</w:t>
            </w:r>
          </w:p>
        </w:tc>
      </w:tr>
    </w:tbl>
    <w:p w14:paraId="4EA47DDF">
      <w:pPr>
        <w:spacing w:after="80"/>
      </w:pPr>
    </w:p>
    <w:p w14:paraId="2D01D08D">
      <w:pPr>
        <w:pStyle w:val="4"/>
        <w:widowControl/>
      </w:pPr>
      <w:r>
        <w:rPr>
          <w:rFonts w:ascii="Times New Roman" w:hAnsi="Times New Roman" w:eastAsia="黑体"/>
        </w:rPr>
        <w:t>2.2.2 机械结构与摆放方式</w:t>
      </w:r>
    </w:p>
    <w:p w14:paraId="44D6A129">
      <w:pPr>
        <w:widowControl/>
        <w:spacing w:after="100" w:line="283" w:lineRule="auto"/>
        <w:ind w:firstLine="420"/>
        <w:jc w:val="both"/>
      </w:pPr>
      <w:r>
        <w:rPr>
          <w:rFonts w:ascii="Times New Roman" w:hAnsi="Times New Roman" w:eastAsia="宋体"/>
          <w:sz w:val="21"/>
        </w:rPr>
        <w:t>作品采用桌面摆放式演示结构。摄像头面向用户，视场覆盖用户头肩区域和桌面杯/瓶区域；ST7789 显示屏面向用户，便于在不查看上位机的情况下观察运行状态；音频输出设备面向用户，用于在坐姿或饮水提醒触发时给出提示音；RV1126B开发板、摄像头、显示屏和网络连接共同组成可演示的桌面端系统。</w:t>
      </w:r>
    </w:p>
    <w:p w14:paraId="4421E62D">
      <w:pPr>
        <w:widowControl/>
        <w:spacing w:after="100" w:line="283" w:lineRule="auto"/>
        <w:ind w:firstLine="420"/>
        <w:jc w:val="both"/>
      </w:pPr>
      <w:r>
        <w:rPr>
          <w:rFonts w:ascii="Times New Roman" w:hAnsi="Times New Roman" w:eastAsia="宋体"/>
          <w:sz w:val="21"/>
        </w:rPr>
        <w:t>该结构便于比赛现场演示、功能联调和材料拍摄，也便于后续扩展支架固定、理线和外观设计。</w:t>
      </w:r>
    </w:p>
    <w:p w14:paraId="6E6E115A">
      <w:pPr>
        <w:pStyle w:val="4"/>
        <w:widowControl/>
      </w:pPr>
      <w:r>
        <w:rPr>
          <w:rFonts w:ascii="Times New Roman" w:hAnsi="Times New Roman" w:eastAsia="黑体"/>
        </w:rPr>
        <w:t>2.2.3 模块连接关系</w:t>
      </w:r>
    </w:p>
    <w:p w14:paraId="1DCB3923">
      <w:pPr>
        <w:widowControl/>
        <w:spacing w:after="100" w:line="283" w:lineRule="auto"/>
        <w:ind w:firstLine="420"/>
        <w:jc w:val="both"/>
      </w:pPr>
      <w:r>
        <w:rPr>
          <w:rFonts w:ascii="Times New Roman" w:hAnsi="Times New Roman" w:eastAsia="宋体"/>
          <w:sz w:val="21"/>
        </w:rPr>
        <w:t>硬件侧采用模块化连接方式。摄像头采集链路向 RV1126B 输入视频帧；ST7789 显示链路通过 SPI/GPIO 完成本地界面输出；音频提示链路播放本地 wav 提示音；网络通信链路承载视频访问、RTSP relay 和 MQTT 状态同步；电源与公共连接为开发板和外设提供运行基础。</w:t>
      </w:r>
    </w:p>
    <w:p w14:paraId="5981C5D5">
      <w:pPr>
        <w:widowControl/>
        <w:spacing w:before="120" w:after="60"/>
        <w:jc w:val="center"/>
      </w:pPr>
      <w:r>
        <w:rPr>
          <w:rFonts w:ascii="Times New Roman" w:hAnsi="Times New Roman" w:eastAsia="黑体"/>
          <w:sz w:val="21"/>
        </w:rPr>
        <w:t>表2-2 电路/连接模块说明表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265"/>
        <w:gridCol w:w="2284"/>
        <w:gridCol w:w="2269"/>
      </w:tblGrid>
      <w:tr w14:paraId="1B1E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7D33B164">
            <w:pPr>
              <w:spacing w:after="0" w:line="264" w:lineRule="auto"/>
              <w:jc w:val="center"/>
            </w:pPr>
            <w:r>
              <w:rPr>
                <w:rFonts w:ascii="Times New Roman" w:hAnsi="Times New Roman" w:eastAsia="宋体"/>
                <w:b/>
                <w:sz w:val="20"/>
              </w:rPr>
              <w:t>连接模块</w:t>
            </w:r>
          </w:p>
        </w:tc>
        <w:tc>
          <w:tcPr>
            <w:tcW w:w="2324"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764F6E37">
            <w:pPr>
              <w:spacing w:after="0" w:line="264" w:lineRule="auto"/>
              <w:jc w:val="center"/>
            </w:pPr>
            <w:r>
              <w:rPr>
                <w:rFonts w:ascii="Times New Roman" w:hAnsi="Times New Roman" w:eastAsia="宋体"/>
                <w:b/>
                <w:sz w:val="20"/>
              </w:rPr>
              <w:t>输入</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A7D6876">
            <w:pPr>
              <w:spacing w:after="0" w:line="264" w:lineRule="auto"/>
              <w:jc w:val="center"/>
            </w:pPr>
            <w:r>
              <w:rPr>
                <w:rFonts w:ascii="Times New Roman" w:hAnsi="Times New Roman" w:eastAsia="宋体"/>
                <w:b/>
                <w:sz w:val="20"/>
              </w:rPr>
              <w:t>输出</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5FEAE66E">
            <w:pPr>
              <w:spacing w:after="0" w:line="264" w:lineRule="auto"/>
              <w:jc w:val="center"/>
            </w:pPr>
            <w:r>
              <w:rPr>
                <w:rFonts w:ascii="Times New Roman" w:hAnsi="Times New Roman" w:eastAsia="宋体"/>
                <w:b/>
                <w:sz w:val="20"/>
              </w:rPr>
              <w:t>功能说明</w:t>
            </w:r>
          </w:p>
        </w:tc>
      </w:tr>
      <w:tr w14:paraId="2596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21DC8F92">
            <w:pPr>
              <w:spacing w:after="0" w:line="264" w:lineRule="auto"/>
              <w:jc w:val="center"/>
            </w:pPr>
            <w:r>
              <w:rPr>
                <w:rFonts w:ascii="Times New Roman" w:hAnsi="Times New Roman" w:eastAsia="宋体"/>
                <w:b w:val="0"/>
                <w:sz w:val="19"/>
              </w:rPr>
              <w:t>摄像头采集链路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256571C1">
            <w:pPr>
              <w:spacing w:after="0" w:line="264" w:lineRule="auto"/>
              <w:jc w:val="center"/>
            </w:pPr>
            <w:r>
              <w:rPr>
                <w:rFonts w:ascii="Times New Roman" w:hAnsi="Times New Roman" w:eastAsia="宋体"/>
                <w:b w:val="0"/>
                <w:sz w:val="19"/>
              </w:rPr>
              <w:t>摄像头、V4L2、图像缓冲区</w:t>
            </w:r>
          </w:p>
        </w:tc>
        <w:tc>
          <w:tcPr>
            <w:tcW w:w="2381" w:type="dxa"/>
            <w:tcBorders>
              <w:top w:val="single" w:color="A6A6A6" w:sz="6" w:space="0"/>
              <w:left w:val="single" w:color="A6A6A6" w:sz="6" w:space="0"/>
              <w:bottom w:val="single" w:color="A6A6A6" w:sz="6" w:space="0"/>
              <w:right w:val="single" w:color="A6A6A6" w:sz="6" w:space="0"/>
            </w:tcBorders>
            <w:vAlign w:val="center"/>
          </w:tcPr>
          <w:p w14:paraId="186B4FB8">
            <w:pPr>
              <w:spacing w:after="0" w:line="264" w:lineRule="auto"/>
              <w:jc w:val="left"/>
            </w:pPr>
            <w:r>
              <w:rPr>
                <w:rFonts w:ascii="Times New Roman" w:hAnsi="Times New Roman" w:eastAsia="宋体"/>
                <w:b w:val="0"/>
                <w:sz w:val="19"/>
              </w:rPr>
              <w:t>NV12 图像帧</w:t>
            </w:r>
          </w:p>
        </w:tc>
        <w:tc>
          <w:tcPr>
            <w:tcW w:w="2381" w:type="dxa"/>
            <w:tcBorders>
              <w:top w:val="single" w:color="A6A6A6" w:sz="6" w:space="0"/>
              <w:left w:val="single" w:color="A6A6A6" w:sz="6" w:space="0"/>
              <w:bottom w:val="single" w:color="A6A6A6" w:sz="6" w:space="0"/>
              <w:right w:val="single" w:color="A6A6A6" w:sz="6" w:space="0"/>
            </w:tcBorders>
            <w:vAlign w:val="center"/>
          </w:tcPr>
          <w:p w14:paraId="5D8F6F08">
            <w:pPr>
              <w:spacing w:after="0" w:line="264" w:lineRule="auto"/>
              <w:jc w:val="left"/>
            </w:pPr>
            <w:r>
              <w:rPr>
                <w:rFonts w:ascii="Times New Roman" w:hAnsi="Times New Roman" w:eastAsia="宋体"/>
                <w:b w:val="0"/>
                <w:sz w:val="19"/>
              </w:rPr>
              <w:t>为预处理与模型推理提供原始图像</w:t>
            </w:r>
          </w:p>
        </w:tc>
      </w:tr>
      <w:tr w14:paraId="1F42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6BE511A7">
            <w:pPr>
              <w:spacing w:after="0" w:line="264" w:lineRule="auto"/>
              <w:jc w:val="center"/>
            </w:pPr>
            <w:r>
              <w:rPr>
                <w:rFonts w:ascii="Times New Roman" w:hAnsi="Times New Roman" w:eastAsia="宋体"/>
                <w:b w:val="0"/>
                <w:sz w:val="19"/>
              </w:rPr>
              <w:t>ST7789显示链路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6FFD1E4D">
            <w:pPr>
              <w:spacing w:after="0" w:line="264" w:lineRule="auto"/>
              <w:jc w:val="center"/>
            </w:pPr>
            <w:r>
              <w:rPr>
                <w:rFonts w:ascii="Times New Roman" w:hAnsi="Times New Roman" w:eastAsia="宋体"/>
                <w:b w:val="0"/>
                <w:sz w:val="19"/>
              </w:rPr>
              <w:t>SPI/GPIO、LVGL 显示模块</w:t>
            </w:r>
          </w:p>
        </w:tc>
        <w:tc>
          <w:tcPr>
            <w:tcW w:w="2381" w:type="dxa"/>
            <w:tcBorders>
              <w:top w:val="single" w:color="A6A6A6" w:sz="6" w:space="0"/>
              <w:left w:val="single" w:color="A6A6A6" w:sz="6" w:space="0"/>
              <w:bottom w:val="single" w:color="A6A6A6" w:sz="6" w:space="0"/>
              <w:right w:val="single" w:color="A6A6A6" w:sz="6" w:space="0"/>
            </w:tcBorders>
            <w:vAlign w:val="center"/>
          </w:tcPr>
          <w:p w14:paraId="6D485804">
            <w:pPr>
              <w:spacing w:after="0" w:line="264" w:lineRule="auto"/>
              <w:jc w:val="left"/>
            </w:pPr>
            <w:r>
              <w:rPr>
                <w:rFonts w:ascii="Times New Roman" w:hAnsi="Times New Roman" w:eastAsia="宋体"/>
                <w:b w:val="0"/>
                <w:sz w:val="19"/>
              </w:rPr>
              <w:t>状态界面与提醒界面</w:t>
            </w:r>
          </w:p>
        </w:tc>
        <w:tc>
          <w:tcPr>
            <w:tcW w:w="2381" w:type="dxa"/>
            <w:tcBorders>
              <w:top w:val="single" w:color="A6A6A6" w:sz="6" w:space="0"/>
              <w:left w:val="single" w:color="A6A6A6" w:sz="6" w:space="0"/>
              <w:bottom w:val="single" w:color="A6A6A6" w:sz="6" w:space="0"/>
              <w:right w:val="single" w:color="A6A6A6" w:sz="6" w:space="0"/>
            </w:tcBorders>
            <w:vAlign w:val="center"/>
          </w:tcPr>
          <w:p w14:paraId="305E5DE7">
            <w:pPr>
              <w:spacing w:after="0" w:line="264" w:lineRule="auto"/>
              <w:jc w:val="left"/>
            </w:pPr>
            <w:r>
              <w:rPr>
                <w:rFonts w:ascii="Times New Roman" w:hAnsi="Times New Roman" w:eastAsia="宋体"/>
                <w:b w:val="0"/>
                <w:sz w:val="19"/>
              </w:rPr>
              <w:t>完成本地可视化反馈</w:t>
            </w:r>
          </w:p>
        </w:tc>
      </w:tr>
      <w:tr w14:paraId="67E7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1930484C">
            <w:pPr>
              <w:spacing w:after="0" w:line="264" w:lineRule="auto"/>
              <w:jc w:val="center"/>
            </w:pPr>
            <w:r>
              <w:rPr>
                <w:rFonts w:ascii="Times New Roman" w:hAnsi="Times New Roman" w:eastAsia="宋体"/>
                <w:b w:val="0"/>
                <w:sz w:val="19"/>
              </w:rPr>
              <w:t>音频提示链路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038C5431">
            <w:pPr>
              <w:spacing w:after="0" w:line="264" w:lineRule="auto"/>
              <w:jc w:val="center"/>
            </w:pPr>
            <w:r>
              <w:rPr>
                <w:rFonts w:ascii="Times New Roman" w:hAnsi="Times New Roman" w:eastAsia="宋体"/>
                <w:b w:val="0"/>
                <w:sz w:val="19"/>
              </w:rPr>
              <w:t>提醒事件、本地 wav 文件</w:t>
            </w:r>
          </w:p>
        </w:tc>
        <w:tc>
          <w:tcPr>
            <w:tcW w:w="2381" w:type="dxa"/>
            <w:tcBorders>
              <w:top w:val="single" w:color="A6A6A6" w:sz="6" w:space="0"/>
              <w:left w:val="single" w:color="A6A6A6" w:sz="6" w:space="0"/>
              <w:bottom w:val="single" w:color="A6A6A6" w:sz="6" w:space="0"/>
              <w:right w:val="single" w:color="A6A6A6" w:sz="6" w:space="0"/>
            </w:tcBorders>
            <w:vAlign w:val="center"/>
          </w:tcPr>
          <w:p w14:paraId="4B522BC2">
            <w:pPr>
              <w:spacing w:after="0" w:line="264" w:lineRule="auto"/>
              <w:jc w:val="left"/>
            </w:pPr>
            <w:r>
              <w:rPr>
                <w:rFonts w:ascii="Times New Roman" w:hAnsi="Times New Roman" w:eastAsia="宋体"/>
                <w:b w:val="0"/>
                <w:sz w:val="19"/>
              </w:rPr>
              <w:t>坐姿和饮水提示音</w:t>
            </w:r>
          </w:p>
        </w:tc>
        <w:tc>
          <w:tcPr>
            <w:tcW w:w="2381" w:type="dxa"/>
            <w:tcBorders>
              <w:top w:val="single" w:color="A6A6A6" w:sz="6" w:space="0"/>
              <w:left w:val="single" w:color="A6A6A6" w:sz="6" w:space="0"/>
              <w:bottom w:val="single" w:color="A6A6A6" w:sz="6" w:space="0"/>
              <w:right w:val="single" w:color="A6A6A6" w:sz="6" w:space="0"/>
            </w:tcBorders>
            <w:vAlign w:val="center"/>
          </w:tcPr>
          <w:p w14:paraId="683E6EB6">
            <w:pPr>
              <w:spacing w:after="0" w:line="264" w:lineRule="auto"/>
              <w:jc w:val="left"/>
            </w:pPr>
            <w:r>
              <w:rPr>
                <w:rFonts w:ascii="Times New Roman" w:hAnsi="Times New Roman" w:eastAsia="宋体"/>
                <w:b w:val="0"/>
                <w:sz w:val="19"/>
              </w:rPr>
              <w:t>通过系统音频设备播放本地提示音</w:t>
            </w:r>
          </w:p>
        </w:tc>
      </w:tr>
      <w:tr w14:paraId="53B9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7013E2EA">
            <w:pPr>
              <w:spacing w:after="0" w:line="264" w:lineRule="auto"/>
              <w:jc w:val="center"/>
            </w:pPr>
            <w:r>
              <w:rPr>
                <w:rFonts w:ascii="Times New Roman" w:hAnsi="Times New Roman" w:eastAsia="宋体"/>
                <w:b w:val="0"/>
                <w:sz w:val="19"/>
              </w:rPr>
              <w:t>网络通信链路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55CF139C">
            <w:pPr>
              <w:spacing w:after="0" w:line="264" w:lineRule="auto"/>
              <w:jc w:val="center"/>
            </w:pPr>
            <w:r>
              <w:rPr>
                <w:rFonts w:ascii="Times New Roman" w:hAnsi="Times New Roman" w:eastAsia="宋体"/>
                <w:b w:val="0"/>
                <w:sz w:val="19"/>
              </w:rPr>
              <w:t>HTTP-FLV、RTSP relay、MQTT</w:t>
            </w:r>
          </w:p>
        </w:tc>
        <w:tc>
          <w:tcPr>
            <w:tcW w:w="2381" w:type="dxa"/>
            <w:tcBorders>
              <w:top w:val="single" w:color="A6A6A6" w:sz="6" w:space="0"/>
              <w:left w:val="single" w:color="A6A6A6" w:sz="6" w:space="0"/>
              <w:bottom w:val="single" w:color="A6A6A6" w:sz="6" w:space="0"/>
              <w:right w:val="single" w:color="A6A6A6" w:sz="6" w:space="0"/>
            </w:tcBorders>
            <w:vAlign w:val="center"/>
          </w:tcPr>
          <w:p w14:paraId="153796A3">
            <w:pPr>
              <w:spacing w:after="0" w:line="264" w:lineRule="auto"/>
              <w:jc w:val="left"/>
            </w:pPr>
            <w:r>
              <w:rPr>
                <w:rFonts w:ascii="Times New Roman" w:hAnsi="Times New Roman" w:eastAsia="宋体"/>
                <w:b w:val="0"/>
                <w:sz w:val="19"/>
              </w:rPr>
              <w:t>视频流、状态、事件和遥测数据</w:t>
            </w:r>
          </w:p>
        </w:tc>
        <w:tc>
          <w:tcPr>
            <w:tcW w:w="2381" w:type="dxa"/>
            <w:tcBorders>
              <w:top w:val="single" w:color="A6A6A6" w:sz="6" w:space="0"/>
              <w:left w:val="single" w:color="A6A6A6" w:sz="6" w:space="0"/>
              <w:bottom w:val="single" w:color="A6A6A6" w:sz="6" w:space="0"/>
              <w:right w:val="single" w:color="A6A6A6" w:sz="6" w:space="0"/>
            </w:tcBorders>
            <w:vAlign w:val="center"/>
          </w:tcPr>
          <w:p w14:paraId="10F10244">
            <w:pPr>
              <w:spacing w:after="0" w:line="264" w:lineRule="auto"/>
              <w:jc w:val="left"/>
            </w:pPr>
            <w:r>
              <w:rPr>
                <w:rFonts w:ascii="Times New Roman" w:hAnsi="Times New Roman" w:eastAsia="宋体"/>
                <w:b w:val="0"/>
                <w:sz w:val="19"/>
              </w:rPr>
              <w:t>支持上位机查看和远程同步</w:t>
            </w:r>
          </w:p>
        </w:tc>
      </w:tr>
      <w:tr w14:paraId="34DF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30ED9C9F">
            <w:pPr>
              <w:spacing w:after="0" w:line="264" w:lineRule="auto"/>
              <w:jc w:val="center"/>
            </w:pPr>
            <w:r>
              <w:rPr>
                <w:rFonts w:ascii="Times New Roman" w:hAnsi="Times New Roman" w:eastAsia="宋体"/>
                <w:b w:val="0"/>
                <w:sz w:val="19"/>
              </w:rPr>
              <w:t>电源与公共连接</w:t>
            </w:r>
          </w:p>
        </w:tc>
        <w:tc>
          <w:tcPr>
            <w:tcW w:w="2324" w:type="dxa"/>
            <w:tcBorders>
              <w:top w:val="single" w:color="A6A6A6" w:sz="6" w:space="0"/>
              <w:left w:val="single" w:color="A6A6A6" w:sz="6" w:space="0"/>
              <w:bottom w:val="single" w:color="A6A6A6" w:sz="6" w:space="0"/>
              <w:right w:val="single" w:color="A6A6A6" w:sz="6" w:space="0"/>
            </w:tcBorders>
            <w:vAlign w:val="center"/>
          </w:tcPr>
          <w:p w14:paraId="5CD07BA7">
            <w:pPr>
              <w:spacing w:after="0" w:line="264" w:lineRule="auto"/>
              <w:jc w:val="center"/>
            </w:pPr>
            <w:r>
              <w:rPr>
                <w:rFonts w:ascii="Times New Roman" w:hAnsi="Times New Roman" w:eastAsia="宋体"/>
                <w:b w:val="0"/>
                <w:sz w:val="19"/>
              </w:rPr>
              <w:t>开发板、电源适配器、外设连接线</w:t>
            </w:r>
          </w:p>
        </w:tc>
        <w:tc>
          <w:tcPr>
            <w:tcW w:w="2381" w:type="dxa"/>
            <w:tcBorders>
              <w:top w:val="single" w:color="A6A6A6" w:sz="6" w:space="0"/>
              <w:left w:val="single" w:color="A6A6A6" w:sz="6" w:space="0"/>
              <w:bottom w:val="single" w:color="A6A6A6" w:sz="6" w:space="0"/>
              <w:right w:val="single" w:color="A6A6A6" w:sz="6" w:space="0"/>
            </w:tcBorders>
            <w:vAlign w:val="center"/>
          </w:tcPr>
          <w:p w14:paraId="16820D23">
            <w:pPr>
              <w:spacing w:after="0" w:line="264" w:lineRule="auto"/>
              <w:jc w:val="left"/>
            </w:pPr>
            <w:r>
              <w:rPr>
                <w:rFonts w:ascii="Times New Roman" w:hAnsi="Times New Roman" w:eastAsia="宋体"/>
                <w:b w:val="0"/>
                <w:sz w:val="19"/>
              </w:rPr>
              <w:t>稳定供电和公共接口</w:t>
            </w:r>
          </w:p>
        </w:tc>
        <w:tc>
          <w:tcPr>
            <w:tcW w:w="2381" w:type="dxa"/>
            <w:tcBorders>
              <w:top w:val="single" w:color="A6A6A6" w:sz="6" w:space="0"/>
              <w:left w:val="single" w:color="A6A6A6" w:sz="6" w:space="0"/>
              <w:bottom w:val="single" w:color="A6A6A6" w:sz="6" w:space="0"/>
              <w:right w:val="single" w:color="A6A6A6" w:sz="6" w:space="0"/>
            </w:tcBorders>
            <w:vAlign w:val="center"/>
          </w:tcPr>
          <w:p w14:paraId="50A92F5A">
            <w:pPr>
              <w:spacing w:after="0" w:line="264" w:lineRule="auto"/>
              <w:jc w:val="left"/>
            </w:pPr>
            <w:r>
              <w:rPr>
                <w:rFonts w:ascii="Times New Roman" w:hAnsi="Times New Roman" w:eastAsia="宋体"/>
                <w:b w:val="0"/>
                <w:sz w:val="19"/>
              </w:rPr>
              <w:t>保证系统持续运行</w:t>
            </w:r>
          </w:p>
        </w:tc>
      </w:tr>
    </w:tbl>
    <w:p w14:paraId="6306787A">
      <w:pPr>
        <w:spacing w:after="80"/>
      </w:pPr>
    </w:p>
    <w:p w14:paraId="32378C47">
      <w:pPr>
        <w:pStyle w:val="3"/>
        <w:widowControl/>
      </w:pPr>
      <w:r>
        <w:rPr>
          <w:rFonts w:ascii="Times New Roman" w:hAnsi="Times New Roman" w:eastAsia="黑体"/>
        </w:rPr>
        <w:t>2.3 软件系统介绍</w:t>
      </w:r>
    </w:p>
    <w:p w14:paraId="3C15D2F8">
      <w:pPr>
        <w:pStyle w:val="4"/>
        <w:widowControl/>
        <w:rPr>
          <w:color w:val="auto"/>
        </w:rPr>
      </w:pPr>
      <w:r>
        <w:rPr>
          <w:rFonts w:ascii="Times New Roman" w:hAnsi="Times New Roman" w:eastAsia="黑体"/>
          <w:color w:val="auto"/>
        </w:rPr>
        <w:t>2.3.1 软件整体架构</w:t>
      </w:r>
    </w:p>
    <w:p w14:paraId="7EC5841A">
      <w:pPr>
        <w:widowControl/>
        <w:spacing w:after="100" w:line="283" w:lineRule="auto"/>
        <w:ind w:firstLine="420"/>
        <w:jc w:val="both"/>
      </w:pPr>
      <w:r>
        <w:rPr>
          <w:rFonts w:ascii="Times New Roman" w:hAnsi="Times New Roman" w:eastAsia="宋体"/>
          <w:sz w:val="21"/>
        </w:rPr>
        <w:t>软件系统采用模块化架构，由主控程序组织采集、预处理、模型推理、业务状态融合、显示、语音、视频和通信链路。主控层负责配置加载、运行状态管理和模块协同；采集与预处理层负责视频帧获取、尺寸变换和坐标映射；AI 推理层负责手势识别、姿态估计和饮品检测；业务层负责手势状态机、坐姿判断、饮水判断和定时提醒；输出层负责本地显示、语音提示、视频输出和 MQTT 状态同步。</w:t>
      </w:r>
    </w:p>
    <w:p w14:paraId="42552C33">
      <w:pPr>
        <w:widowControl/>
        <w:spacing w:after="100" w:line="283" w:lineRule="auto"/>
        <w:ind w:firstLine="420"/>
        <w:jc w:val="both"/>
      </w:pPr>
      <w:r>
        <w:rPr>
          <w:rFonts w:ascii="Times New Roman" w:hAnsi="Times New Roman" w:eastAsia="宋体"/>
          <w:sz w:val="21"/>
        </w:rPr>
        <w:t>系统在 Idle 状态下主要等待 Start 手势，在 Running 状态下执行多模型协同判断，并将结果输出至显示、语音、视频和通信链路。</w:t>
      </w:r>
    </w:p>
    <w:p w14:paraId="69F22889">
      <w:pPr>
        <w:widowControl/>
        <w:spacing w:before="120" w:after="60"/>
        <w:jc w:val="center"/>
      </w:pPr>
      <w:r>
        <w:rPr>
          <w:rFonts w:ascii="Times New Roman" w:hAnsi="Times New Roman" w:eastAsia="黑体"/>
          <w:sz w:val="21"/>
        </w:rPr>
        <w:t>图2-3 软件架构图</w:t>
      </w:r>
    </w:p>
    <w:p w14:paraId="6D5751F4">
      <w:pPr>
        <w:spacing w:after="40"/>
      </w:pPr>
      <w:r>
        <w:drawing>
          <wp:inline distT="0" distB="0" distL="114300" distR="114300">
            <wp:extent cx="6033770" cy="2489835"/>
            <wp:effectExtent l="0" t="0" r="508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rcRect t="6826" b="11826"/>
                    <a:stretch>
                      <a:fillRect/>
                    </a:stretch>
                  </pic:blipFill>
                  <pic:spPr>
                    <a:xfrm>
                      <a:off x="0" y="0"/>
                      <a:ext cx="6033770" cy="2489835"/>
                    </a:xfrm>
                    <a:prstGeom prst="rect">
                      <a:avLst/>
                    </a:prstGeom>
                    <a:noFill/>
                    <a:ln>
                      <a:noFill/>
                    </a:ln>
                  </pic:spPr>
                </pic:pic>
              </a:graphicData>
            </a:graphic>
          </wp:inline>
        </w:drawing>
      </w:r>
    </w:p>
    <w:p w14:paraId="3E8DB374">
      <w:pPr>
        <w:widowControl/>
        <w:spacing w:before="120" w:after="60"/>
        <w:jc w:val="center"/>
      </w:pPr>
      <w:r>
        <w:rPr>
          <w:rFonts w:ascii="Times New Roman" w:hAnsi="Times New Roman" w:eastAsia="黑体"/>
          <w:sz w:val="21"/>
        </w:rPr>
        <w:t>图2-4 主程序运行流程图</w:t>
      </w:r>
    </w:p>
    <w:p w14:paraId="16DB682B">
      <w:pPr>
        <w:spacing w:after="40"/>
      </w:pPr>
    </w:p>
    <w:p w14:paraId="0327A6A0">
      <w:pPr>
        <w:spacing w:after="40"/>
      </w:pPr>
    </w:p>
    <w:p w14:paraId="26D93C17">
      <w:pPr>
        <w:spacing w:after="40"/>
      </w:pPr>
      <w:r>
        <w:drawing>
          <wp:inline distT="0" distB="0" distL="114300" distR="114300">
            <wp:extent cx="6038850" cy="5600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rcRect t="3395"/>
                    <a:stretch>
                      <a:fillRect/>
                    </a:stretch>
                  </pic:blipFill>
                  <pic:spPr>
                    <a:xfrm>
                      <a:off x="0" y="0"/>
                      <a:ext cx="6038850" cy="5600700"/>
                    </a:xfrm>
                    <a:prstGeom prst="rect">
                      <a:avLst/>
                    </a:prstGeom>
                    <a:noFill/>
                    <a:ln>
                      <a:noFill/>
                    </a:ln>
                  </pic:spPr>
                </pic:pic>
              </a:graphicData>
            </a:graphic>
          </wp:inline>
        </w:drawing>
      </w:r>
    </w:p>
    <w:p w14:paraId="76818D28">
      <w:pPr>
        <w:widowControl/>
        <w:spacing w:before="120" w:after="60"/>
        <w:jc w:val="center"/>
      </w:pPr>
      <w:r>
        <w:rPr>
          <w:rFonts w:ascii="Times New Roman" w:hAnsi="Times New Roman" w:eastAsia="黑体"/>
          <w:sz w:val="21"/>
        </w:rPr>
        <w:t>表2-3 软件模块职责表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2674"/>
        <w:gridCol w:w="2168"/>
        <w:gridCol w:w="2081"/>
      </w:tblGrid>
      <w:tr w14:paraId="04D8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938563B">
            <w:pPr>
              <w:spacing w:after="0" w:line="264" w:lineRule="auto"/>
              <w:jc w:val="center"/>
            </w:pPr>
            <w:r>
              <w:rPr>
                <w:rFonts w:ascii="Times New Roman" w:hAnsi="Times New Roman" w:eastAsia="宋体"/>
                <w:b/>
                <w:sz w:val="20"/>
              </w:rPr>
              <w:t>软件模块</w:t>
            </w:r>
          </w:p>
        </w:tc>
        <w:tc>
          <w:tcPr>
            <w:tcW w:w="2835"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49B1C93B">
            <w:pPr>
              <w:spacing w:after="0" w:line="264" w:lineRule="auto"/>
              <w:jc w:val="center"/>
            </w:pPr>
            <w:r>
              <w:rPr>
                <w:rFonts w:ascii="Times New Roman" w:hAnsi="Times New Roman" w:eastAsia="宋体"/>
                <w:b/>
                <w:sz w:val="20"/>
              </w:rPr>
              <w:t>主要职责</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5DD0B10">
            <w:pPr>
              <w:spacing w:after="0" w:line="264" w:lineRule="auto"/>
              <w:jc w:val="center"/>
            </w:pPr>
            <w:r>
              <w:rPr>
                <w:rFonts w:ascii="Times New Roman" w:hAnsi="Times New Roman" w:eastAsia="宋体"/>
                <w:b/>
                <w:sz w:val="20"/>
              </w:rPr>
              <w:t>关键输入</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1DAB55BA">
            <w:pPr>
              <w:spacing w:after="0" w:line="264" w:lineRule="auto"/>
              <w:jc w:val="center"/>
            </w:pPr>
            <w:r>
              <w:rPr>
                <w:rFonts w:ascii="Times New Roman" w:hAnsi="Times New Roman" w:eastAsia="宋体"/>
                <w:b/>
                <w:sz w:val="20"/>
              </w:rPr>
              <w:t>关键输出</w:t>
            </w:r>
          </w:p>
        </w:tc>
      </w:tr>
      <w:tr w14:paraId="0E55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6F6C30FB">
            <w:pPr>
              <w:spacing w:after="0" w:line="264" w:lineRule="auto"/>
              <w:jc w:val="center"/>
            </w:pPr>
            <w:r>
              <w:rPr>
                <w:rFonts w:ascii="Times New Roman" w:hAnsi="Times New Roman" w:eastAsia="宋体"/>
                <w:b w:val="0"/>
                <w:sz w:val="17"/>
              </w:rPr>
              <w:t>主控与状态融合</w:t>
            </w:r>
          </w:p>
        </w:tc>
        <w:tc>
          <w:tcPr>
            <w:tcW w:w="2835" w:type="dxa"/>
            <w:tcBorders>
              <w:top w:val="single" w:color="A6A6A6" w:sz="6" w:space="0"/>
              <w:left w:val="single" w:color="A6A6A6" w:sz="6" w:space="0"/>
              <w:bottom w:val="single" w:color="A6A6A6" w:sz="6" w:space="0"/>
              <w:right w:val="single" w:color="A6A6A6" w:sz="6" w:space="0"/>
            </w:tcBorders>
            <w:vAlign w:val="center"/>
          </w:tcPr>
          <w:p w14:paraId="35ABC51B">
            <w:pPr>
              <w:spacing w:after="0" w:line="264" w:lineRule="auto"/>
              <w:jc w:val="center"/>
            </w:pPr>
            <w:r>
              <w:rPr>
                <w:rFonts w:ascii="Times New Roman" w:hAnsi="Times New Roman" w:eastAsia="宋体"/>
                <w:b w:val="0"/>
                <w:sz w:val="17"/>
              </w:rPr>
              <w:t>负责将采集、AI 推理、显示、语音、视频和通信模块组织为统一运行链路</w:t>
            </w:r>
          </w:p>
        </w:tc>
        <w:tc>
          <w:tcPr>
            <w:tcW w:w="2268" w:type="dxa"/>
            <w:tcBorders>
              <w:top w:val="single" w:color="A6A6A6" w:sz="6" w:space="0"/>
              <w:left w:val="single" w:color="A6A6A6" w:sz="6" w:space="0"/>
              <w:bottom w:val="single" w:color="A6A6A6" w:sz="6" w:space="0"/>
              <w:right w:val="single" w:color="A6A6A6" w:sz="6" w:space="0"/>
            </w:tcBorders>
            <w:vAlign w:val="center"/>
          </w:tcPr>
          <w:p w14:paraId="4844A70B">
            <w:pPr>
              <w:spacing w:after="0" w:line="264" w:lineRule="auto"/>
              <w:jc w:val="left"/>
            </w:pPr>
            <w:r>
              <w:rPr>
                <w:rFonts w:ascii="Times New Roman" w:hAnsi="Times New Roman" w:eastAsia="宋体"/>
                <w:b w:val="0"/>
                <w:sz w:val="17"/>
              </w:rPr>
              <w:t>系统状态、模型结果、提醒事件</w:t>
            </w:r>
          </w:p>
        </w:tc>
        <w:tc>
          <w:tcPr>
            <w:tcW w:w="2268" w:type="dxa"/>
            <w:tcBorders>
              <w:top w:val="single" w:color="A6A6A6" w:sz="6" w:space="0"/>
              <w:left w:val="single" w:color="A6A6A6" w:sz="6" w:space="0"/>
              <w:bottom w:val="single" w:color="A6A6A6" w:sz="6" w:space="0"/>
              <w:right w:val="single" w:color="A6A6A6" w:sz="6" w:space="0"/>
            </w:tcBorders>
            <w:vAlign w:val="center"/>
          </w:tcPr>
          <w:p w14:paraId="484BBCC7">
            <w:pPr>
              <w:spacing w:after="0" w:line="264" w:lineRule="auto"/>
              <w:jc w:val="left"/>
            </w:pPr>
            <w:r>
              <w:rPr>
                <w:rFonts w:ascii="Times New Roman" w:hAnsi="Times New Roman" w:eastAsia="宋体"/>
                <w:b w:val="0"/>
                <w:sz w:val="17"/>
              </w:rPr>
              <w:t>统一状态机与事件分发</w:t>
            </w:r>
          </w:p>
        </w:tc>
      </w:tr>
      <w:tr w14:paraId="63B3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3B8B5604">
            <w:pPr>
              <w:spacing w:after="0" w:line="264" w:lineRule="auto"/>
              <w:jc w:val="center"/>
            </w:pPr>
            <w:r>
              <w:rPr>
                <w:rFonts w:ascii="Times New Roman" w:hAnsi="Times New Roman" w:eastAsia="宋体"/>
                <w:b w:val="0"/>
                <w:sz w:val="17"/>
              </w:rPr>
              <w:t>视觉采集</w:t>
            </w:r>
          </w:p>
        </w:tc>
        <w:tc>
          <w:tcPr>
            <w:tcW w:w="2835" w:type="dxa"/>
            <w:tcBorders>
              <w:top w:val="single" w:color="A6A6A6" w:sz="6" w:space="0"/>
              <w:left w:val="single" w:color="A6A6A6" w:sz="6" w:space="0"/>
              <w:bottom w:val="single" w:color="A6A6A6" w:sz="6" w:space="0"/>
              <w:right w:val="single" w:color="A6A6A6" w:sz="6" w:space="0"/>
            </w:tcBorders>
            <w:vAlign w:val="center"/>
          </w:tcPr>
          <w:p w14:paraId="70930101">
            <w:pPr>
              <w:spacing w:after="0" w:line="264" w:lineRule="auto"/>
              <w:jc w:val="center"/>
            </w:pPr>
            <w:r>
              <w:rPr>
                <w:rFonts w:ascii="Times New Roman" w:hAnsi="Times New Roman" w:eastAsia="宋体"/>
                <w:b w:val="0"/>
                <w:sz w:val="17"/>
              </w:rPr>
              <w:t>通过摄像头获取桌面场景图像</w:t>
            </w:r>
          </w:p>
        </w:tc>
        <w:tc>
          <w:tcPr>
            <w:tcW w:w="2268" w:type="dxa"/>
            <w:tcBorders>
              <w:top w:val="single" w:color="A6A6A6" w:sz="6" w:space="0"/>
              <w:left w:val="single" w:color="A6A6A6" w:sz="6" w:space="0"/>
              <w:bottom w:val="single" w:color="A6A6A6" w:sz="6" w:space="0"/>
              <w:right w:val="single" w:color="A6A6A6" w:sz="6" w:space="0"/>
            </w:tcBorders>
            <w:vAlign w:val="center"/>
          </w:tcPr>
          <w:p w14:paraId="25A07E0B">
            <w:pPr>
              <w:spacing w:after="0" w:line="264" w:lineRule="auto"/>
              <w:jc w:val="left"/>
            </w:pPr>
            <w:r>
              <w:rPr>
                <w:rFonts w:ascii="Times New Roman" w:hAnsi="Times New Roman" w:eastAsia="宋体"/>
                <w:b w:val="0"/>
                <w:sz w:val="17"/>
              </w:rPr>
              <w:t>NV12 图像帧</w:t>
            </w:r>
          </w:p>
        </w:tc>
        <w:tc>
          <w:tcPr>
            <w:tcW w:w="2268" w:type="dxa"/>
            <w:tcBorders>
              <w:top w:val="single" w:color="A6A6A6" w:sz="6" w:space="0"/>
              <w:left w:val="single" w:color="A6A6A6" w:sz="6" w:space="0"/>
              <w:bottom w:val="single" w:color="A6A6A6" w:sz="6" w:space="0"/>
              <w:right w:val="single" w:color="A6A6A6" w:sz="6" w:space="0"/>
            </w:tcBorders>
            <w:vAlign w:val="center"/>
          </w:tcPr>
          <w:p w14:paraId="69D982AC">
            <w:pPr>
              <w:spacing w:after="0" w:line="264" w:lineRule="auto"/>
              <w:jc w:val="left"/>
            </w:pPr>
            <w:r>
              <w:rPr>
                <w:rFonts w:ascii="Times New Roman" w:hAnsi="Times New Roman" w:eastAsia="宋体"/>
                <w:b w:val="0"/>
                <w:sz w:val="17"/>
              </w:rPr>
              <w:t>提供实时视觉输入</w:t>
            </w:r>
          </w:p>
        </w:tc>
      </w:tr>
      <w:tr w14:paraId="1515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04895321">
            <w:pPr>
              <w:spacing w:after="0" w:line="264" w:lineRule="auto"/>
              <w:jc w:val="center"/>
            </w:pPr>
            <w:r>
              <w:rPr>
                <w:rFonts w:ascii="Times New Roman" w:hAnsi="Times New Roman" w:eastAsia="宋体"/>
                <w:b w:val="0"/>
                <w:sz w:val="17"/>
              </w:rPr>
              <w:t>图像预处理</w:t>
            </w:r>
          </w:p>
        </w:tc>
        <w:tc>
          <w:tcPr>
            <w:tcW w:w="2835" w:type="dxa"/>
            <w:tcBorders>
              <w:top w:val="single" w:color="A6A6A6" w:sz="6" w:space="0"/>
              <w:left w:val="single" w:color="A6A6A6" w:sz="6" w:space="0"/>
              <w:bottom w:val="single" w:color="A6A6A6" w:sz="6" w:space="0"/>
              <w:right w:val="single" w:color="A6A6A6" w:sz="6" w:space="0"/>
            </w:tcBorders>
            <w:vAlign w:val="center"/>
          </w:tcPr>
          <w:p w14:paraId="5DEEFBD9">
            <w:pPr>
              <w:spacing w:after="0" w:line="264" w:lineRule="auto"/>
              <w:jc w:val="center"/>
            </w:pPr>
            <w:r>
              <w:rPr>
                <w:rFonts w:ascii="Times New Roman" w:hAnsi="Times New Roman" w:eastAsia="宋体"/>
                <w:b w:val="0"/>
                <w:sz w:val="17"/>
              </w:rPr>
              <w:t>完成图像尺寸转换、格式适配和坐标映射</w:t>
            </w:r>
          </w:p>
        </w:tc>
        <w:tc>
          <w:tcPr>
            <w:tcW w:w="2268" w:type="dxa"/>
            <w:tcBorders>
              <w:top w:val="single" w:color="A6A6A6" w:sz="6" w:space="0"/>
              <w:left w:val="single" w:color="A6A6A6" w:sz="6" w:space="0"/>
              <w:bottom w:val="single" w:color="A6A6A6" w:sz="6" w:space="0"/>
              <w:right w:val="single" w:color="A6A6A6" w:sz="6" w:space="0"/>
            </w:tcBorders>
            <w:vAlign w:val="center"/>
          </w:tcPr>
          <w:p w14:paraId="788B50C2">
            <w:pPr>
              <w:spacing w:after="0" w:line="264" w:lineRule="auto"/>
              <w:jc w:val="left"/>
            </w:pPr>
            <w:r>
              <w:rPr>
                <w:rFonts w:ascii="Times New Roman" w:hAnsi="Times New Roman" w:eastAsia="宋体"/>
                <w:b w:val="0"/>
                <w:sz w:val="17"/>
              </w:rPr>
              <w:t>模型输入张量、映射参数</w:t>
            </w:r>
          </w:p>
        </w:tc>
        <w:tc>
          <w:tcPr>
            <w:tcW w:w="2268" w:type="dxa"/>
            <w:tcBorders>
              <w:top w:val="single" w:color="A6A6A6" w:sz="6" w:space="0"/>
              <w:left w:val="single" w:color="A6A6A6" w:sz="6" w:space="0"/>
              <w:bottom w:val="single" w:color="A6A6A6" w:sz="6" w:space="0"/>
              <w:right w:val="single" w:color="A6A6A6" w:sz="6" w:space="0"/>
            </w:tcBorders>
            <w:vAlign w:val="center"/>
          </w:tcPr>
          <w:p w14:paraId="49570221">
            <w:pPr>
              <w:spacing w:after="0" w:line="264" w:lineRule="auto"/>
              <w:jc w:val="left"/>
            </w:pPr>
            <w:r>
              <w:rPr>
                <w:rFonts w:ascii="Times New Roman" w:hAnsi="Times New Roman" w:eastAsia="宋体"/>
                <w:b w:val="0"/>
                <w:sz w:val="17"/>
              </w:rPr>
              <w:t>为多模型推理准备输入</w:t>
            </w:r>
          </w:p>
        </w:tc>
      </w:tr>
      <w:tr w14:paraId="128D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245E08AB">
            <w:pPr>
              <w:spacing w:after="0" w:line="264" w:lineRule="auto"/>
              <w:jc w:val="center"/>
            </w:pPr>
            <w:r>
              <w:rPr>
                <w:rFonts w:ascii="Times New Roman" w:hAnsi="Times New Roman" w:eastAsia="宋体"/>
                <w:b w:val="0"/>
                <w:sz w:val="17"/>
              </w:rPr>
              <w:t>手势识别</w:t>
            </w:r>
          </w:p>
        </w:tc>
        <w:tc>
          <w:tcPr>
            <w:tcW w:w="2835" w:type="dxa"/>
            <w:tcBorders>
              <w:top w:val="single" w:color="A6A6A6" w:sz="6" w:space="0"/>
              <w:left w:val="single" w:color="A6A6A6" w:sz="6" w:space="0"/>
              <w:bottom w:val="single" w:color="A6A6A6" w:sz="6" w:space="0"/>
              <w:right w:val="single" w:color="A6A6A6" w:sz="6" w:space="0"/>
            </w:tcBorders>
            <w:vAlign w:val="center"/>
          </w:tcPr>
          <w:p w14:paraId="5C8A4FBA">
            <w:pPr>
              <w:spacing w:after="0" w:line="264" w:lineRule="auto"/>
              <w:jc w:val="center"/>
            </w:pPr>
            <w:r>
              <w:rPr>
                <w:rFonts w:ascii="Times New Roman" w:hAnsi="Times New Roman" w:eastAsia="宋体"/>
                <w:b w:val="0"/>
                <w:sz w:val="17"/>
              </w:rPr>
              <w:t>识别 Start、Stop、Confirm 和 Rock 等控制手势</w:t>
            </w:r>
          </w:p>
        </w:tc>
        <w:tc>
          <w:tcPr>
            <w:tcW w:w="2268" w:type="dxa"/>
            <w:tcBorders>
              <w:top w:val="single" w:color="A6A6A6" w:sz="6" w:space="0"/>
              <w:left w:val="single" w:color="A6A6A6" w:sz="6" w:space="0"/>
              <w:bottom w:val="single" w:color="A6A6A6" w:sz="6" w:space="0"/>
              <w:right w:val="single" w:color="A6A6A6" w:sz="6" w:space="0"/>
            </w:tcBorders>
            <w:vAlign w:val="center"/>
          </w:tcPr>
          <w:p w14:paraId="3F040F2A">
            <w:pPr>
              <w:spacing w:after="0" w:line="264" w:lineRule="auto"/>
              <w:jc w:val="left"/>
            </w:pPr>
            <w:r>
              <w:rPr>
                <w:rFonts w:ascii="Times New Roman" w:hAnsi="Times New Roman" w:eastAsia="宋体"/>
                <w:b w:val="0"/>
                <w:sz w:val="17"/>
              </w:rPr>
              <w:t>手势类别与置信度</w:t>
            </w:r>
          </w:p>
        </w:tc>
        <w:tc>
          <w:tcPr>
            <w:tcW w:w="2268" w:type="dxa"/>
            <w:tcBorders>
              <w:top w:val="single" w:color="A6A6A6" w:sz="6" w:space="0"/>
              <w:left w:val="single" w:color="A6A6A6" w:sz="6" w:space="0"/>
              <w:bottom w:val="single" w:color="A6A6A6" w:sz="6" w:space="0"/>
              <w:right w:val="single" w:color="A6A6A6" w:sz="6" w:space="0"/>
            </w:tcBorders>
            <w:vAlign w:val="center"/>
          </w:tcPr>
          <w:p w14:paraId="1BA7FEA0">
            <w:pPr>
              <w:spacing w:after="0" w:line="264" w:lineRule="auto"/>
              <w:jc w:val="left"/>
            </w:pPr>
            <w:r>
              <w:rPr>
                <w:rFonts w:ascii="Times New Roman" w:hAnsi="Times New Roman" w:eastAsia="宋体"/>
                <w:b w:val="0"/>
                <w:sz w:val="17"/>
              </w:rPr>
              <w:t>用于非接触式交互控制</w:t>
            </w:r>
          </w:p>
        </w:tc>
      </w:tr>
      <w:tr w14:paraId="1FBA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4135A1CD">
            <w:pPr>
              <w:spacing w:after="0" w:line="264" w:lineRule="auto"/>
              <w:jc w:val="center"/>
            </w:pPr>
            <w:r>
              <w:rPr>
                <w:rFonts w:ascii="Times New Roman" w:hAnsi="Times New Roman" w:eastAsia="宋体"/>
                <w:b w:val="0"/>
                <w:sz w:val="17"/>
              </w:rPr>
              <w:t>姿态估计</w:t>
            </w:r>
          </w:p>
        </w:tc>
        <w:tc>
          <w:tcPr>
            <w:tcW w:w="2835" w:type="dxa"/>
            <w:tcBorders>
              <w:top w:val="single" w:color="A6A6A6" w:sz="6" w:space="0"/>
              <w:left w:val="single" w:color="A6A6A6" w:sz="6" w:space="0"/>
              <w:bottom w:val="single" w:color="A6A6A6" w:sz="6" w:space="0"/>
              <w:right w:val="single" w:color="A6A6A6" w:sz="6" w:space="0"/>
            </w:tcBorders>
            <w:vAlign w:val="center"/>
          </w:tcPr>
          <w:p w14:paraId="5415F062">
            <w:pPr>
              <w:spacing w:after="0" w:line="264" w:lineRule="auto"/>
              <w:jc w:val="center"/>
            </w:pPr>
            <w:r>
              <w:rPr>
                <w:rFonts w:ascii="Times New Roman" w:hAnsi="Times New Roman" w:eastAsia="宋体"/>
                <w:b w:val="0"/>
                <w:sz w:val="17"/>
              </w:rPr>
              <w:t>检测人体框和关键点，判断坐姿状态</w:t>
            </w:r>
          </w:p>
        </w:tc>
        <w:tc>
          <w:tcPr>
            <w:tcW w:w="2268" w:type="dxa"/>
            <w:tcBorders>
              <w:top w:val="single" w:color="A6A6A6" w:sz="6" w:space="0"/>
              <w:left w:val="single" w:color="A6A6A6" w:sz="6" w:space="0"/>
              <w:bottom w:val="single" w:color="A6A6A6" w:sz="6" w:space="0"/>
              <w:right w:val="single" w:color="A6A6A6" w:sz="6" w:space="0"/>
            </w:tcBorders>
            <w:vAlign w:val="center"/>
          </w:tcPr>
          <w:p w14:paraId="2F99821B">
            <w:pPr>
              <w:spacing w:after="0" w:line="264" w:lineRule="auto"/>
              <w:jc w:val="left"/>
            </w:pPr>
            <w:r>
              <w:rPr>
                <w:rFonts w:ascii="Times New Roman" w:hAnsi="Times New Roman" w:eastAsia="宋体"/>
                <w:b w:val="0"/>
                <w:sz w:val="17"/>
              </w:rPr>
              <w:t>人体框、关键点、姿态状态</w:t>
            </w:r>
          </w:p>
        </w:tc>
        <w:tc>
          <w:tcPr>
            <w:tcW w:w="2268" w:type="dxa"/>
            <w:tcBorders>
              <w:top w:val="single" w:color="A6A6A6" w:sz="6" w:space="0"/>
              <w:left w:val="single" w:color="A6A6A6" w:sz="6" w:space="0"/>
              <w:bottom w:val="single" w:color="A6A6A6" w:sz="6" w:space="0"/>
              <w:right w:val="single" w:color="A6A6A6" w:sz="6" w:space="0"/>
            </w:tcBorders>
            <w:vAlign w:val="center"/>
          </w:tcPr>
          <w:p w14:paraId="57C28A44">
            <w:pPr>
              <w:spacing w:after="0" w:line="264" w:lineRule="auto"/>
              <w:jc w:val="left"/>
            </w:pPr>
            <w:r>
              <w:rPr>
                <w:rFonts w:ascii="Times New Roman" w:hAnsi="Times New Roman" w:eastAsia="宋体"/>
                <w:b w:val="0"/>
                <w:sz w:val="17"/>
              </w:rPr>
              <w:t>用于坐姿提醒和状态融合</w:t>
            </w:r>
          </w:p>
        </w:tc>
      </w:tr>
      <w:tr w14:paraId="5890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755A51E7">
            <w:pPr>
              <w:spacing w:after="0" w:line="264" w:lineRule="auto"/>
              <w:jc w:val="center"/>
            </w:pPr>
            <w:r>
              <w:rPr>
                <w:rFonts w:ascii="Times New Roman" w:hAnsi="Times New Roman" w:eastAsia="宋体"/>
                <w:b w:val="0"/>
                <w:sz w:val="17"/>
              </w:rPr>
              <w:t>饮品检测</w:t>
            </w:r>
          </w:p>
        </w:tc>
        <w:tc>
          <w:tcPr>
            <w:tcW w:w="2835" w:type="dxa"/>
            <w:tcBorders>
              <w:top w:val="single" w:color="A6A6A6" w:sz="6" w:space="0"/>
              <w:left w:val="single" w:color="A6A6A6" w:sz="6" w:space="0"/>
              <w:bottom w:val="single" w:color="A6A6A6" w:sz="6" w:space="0"/>
              <w:right w:val="single" w:color="A6A6A6" w:sz="6" w:space="0"/>
            </w:tcBorders>
            <w:vAlign w:val="center"/>
          </w:tcPr>
          <w:p w14:paraId="31C08F93">
            <w:pPr>
              <w:spacing w:after="0" w:line="264" w:lineRule="auto"/>
              <w:jc w:val="center"/>
            </w:pPr>
            <w:r>
              <w:rPr>
                <w:rFonts w:ascii="Times New Roman" w:hAnsi="Times New Roman" w:eastAsia="宋体"/>
                <w:b w:val="0"/>
                <w:sz w:val="17"/>
              </w:rPr>
              <w:t>检测桌面杯子或瓶子等饮品目标</w:t>
            </w:r>
          </w:p>
        </w:tc>
        <w:tc>
          <w:tcPr>
            <w:tcW w:w="2268" w:type="dxa"/>
            <w:tcBorders>
              <w:top w:val="single" w:color="A6A6A6" w:sz="6" w:space="0"/>
              <w:left w:val="single" w:color="A6A6A6" w:sz="6" w:space="0"/>
              <w:bottom w:val="single" w:color="A6A6A6" w:sz="6" w:space="0"/>
              <w:right w:val="single" w:color="A6A6A6" w:sz="6" w:space="0"/>
            </w:tcBorders>
            <w:vAlign w:val="center"/>
          </w:tcPr>
          <w:p w14:paraId="41311A30">
            <w:pPr>
              <w:spacing w:after="0" w:line="264" w:lineRule="auto"/>
              <w:jc w:val="left"/>
            </w:pPr>
            <w:r>
              <w:rPr>
                <w:rFonts w:ascii="Times New Roman" w:hAnsi="Times New Roman" w:eastAsia="宋体"/>
                <w:b w:val="0"/>
                <w:sz w:val="17"/>
              </w:rPr>
              <w:t>饮品框与置信度</w:t>
            </w:r>
          </w:p>
        </w:tc>
        <w:tc>
          <w:tcPr>
            <w:tcW w:w="2268" w:type="dxa"/>
            <w:tcBorders>
              <w:top w:val="single" w:color="A6A6A6" w:sz="6" w:space="0"/>
              <w:left w:val="single" w:color="A6A6A6" w:sz="6" w:space="0"/>
              <w:bottom w:val="single" w:color="A6A6A6" w:sz="6" w:space="0"/>
              <w:right w:val="single" w:color="A6A6A6" w:sz="6" w:space="0"/>
            </w:tcBorders>
            <w:vAlign w:val="center"/>
          </w:tcPr>
          <w:p w14:paraId="6E0D47FD">
            <w:pPr>
              <w:spacing w:after="0" w:line="264" w:lineRule="auto"/>
              <w:jc w:val="left"/>
            </w:pPr>
            <w:r>
              <w:rPr>
                <w:rFonts w:ascii="Times New Roman" w:hAnsi="Times New Roman" w:eastAsia="宋体"/>
                <w:b w:val="0"/>
                <w:sz w:val="17"/>
              </w:rPr>
              <w:t>用于饮水判断</w:t>
            </w:r>
          </w:p>
        </w:tc>
      </w:tr>
      <w:tr w14:paraId="2B65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07952724">
            <w:pPr>
              <w:spacing w:after="0" w:line="264" w:lineRule="auto"/>
              <w:jc w:val="center"/>
            </w:pPr>
            <w:r>
              <w:rPr>
                <w:rFonts w:ascii="Times New Roman" w:hAnsi="Times New Roman" w:eastAsia="宋体"/>
                <w:b w:val="0"/>
                <w:sz w:val="17"/>
              </w:rPr>
              <w:t>饮水判断</w:t>
            </w:r>
          </w:p>
        </w:tc>
        <w:tc>
          <w:tcPr>
            <w:tcW w:w="2835" w:type="dxa"/>
            <w:tcBorders>
              <w:top w:val="single" w:color="A6A6A6" w:sz="6" w:space="0"/>
              <w:left w:val="single" w:color="A6A6A6" w:sz="6" w:space="0"/>
              <w:bottom w:val="single" w:color="A6A6A6" w:sz="6" w:space="0"/>
              <w:right w:val="single" w:color="A6A6A6" w:sz="6" w:space="0"/>
            </w:tcBorders>
            <w:vAlign w:val="center"/>
          </w:tcPr>
          <w:p w14:paraId="30C2E7F2">
            <w:pPr>
              <w:spacing w:after="0" w:line="264" w:lineRule="auto"/>
              <w:jc w:val="center"/>
            </w:pPr>
            <w:r>
              <w:rPr>
                <w:rFonts w:ascii="Times New Roman" w:hAnsi="Times New Roman" w:eastAsia="宋体"/>
                <w:b w:val="0"/>
                <w:sz w:val="17"/>
              </w:rPr>
              <w:t>结合头部与杯瓶位置、定时器和状态机判断饮水提醒</w:t>
            </w:r>
          </w:p>
        </w:tc>
        <w:tc>
          <w:tcPr>
            <w:tcW w:w="2268" w:type="dxa"/>
            <w:tcBorders>
              <w:top w:val="single" w:color="A6A6A6" w:sz="6" w:space="0"/>
              <w:left w:val="single" w:color="A6A6A6" w:sz="6" w:space="0"/>
              <w:bottom w:val="single" w:color="A6A6A6" w:sz="6" w:space="0"/>
              <w:right w:val="single" w:color="A6A6A6" w:sz="6" w:space="0"/>
            </w:tcBorders>
            <w:vAlign w:val="center"/>
          </w:tcPr>
          <w:p w14:paraId="18819CA6">
            <w:pPr>
              <w:spacing w:after="0" w:line="264" w:lineRule="auto"/>
              <w:jc w:val="left"/>
            </w:pPr>
            <w:r>
              <w:rPr>
                <w:rFonts w:ascii="Times New Roman" w:hAnsi="Times New Roman" w:eastAsia="宋体"/>
                <w:b w:val="0"/>
                <w:sz w:val="17"/>
              </w:rPr>
              <w:t>Normal、NeedRemind、DrinkDetected 等状态</w:t>
            </w:r>
          </w:p>
        </w:tc>
        <w:tc>
          <w:tcPr>
            <w:tcW w:w="2268" w:type="dxa"/>
            <w:tcBorders>
              <w:top w:val="single" w:color="A6A6A6" w:sz="6" w:space="0"/>
              <w:left w:val="single" w:color="A6A6A6" w:sz="6" w:space="0"/>
              <w:bottom w:val="single" w:color="A6A6A6" w:sz="6" w:space="0"/>
              <w:right w:val="single" w:color="A6A6A6" w:sz="6" w:space="0"/>
            </w:tcBorders>
            <w:vAlign w:val="center"/>
          </w:tcPr>
          <w:p w14:paraId="2315D547">
            <w:pPr>
              <w:spacing w:after="0" w:line="264" w:lineRule="auto"/>
              <w:jc w:val="left"/>
            </w:pPr>
            <w:r>
              <w:rPr>
                <w:rFonts w:ascii="Times New Roman" w:hAnsi="Times New Roman" w:eastAsia="宋体"/>
                <w:b w:val="0"/>
                <w:sz w:val="17"/>
              </w:rPr>
              <w:t>触发饮水提醒或清除提醒</w:t>
            </w:r>
          </w:p>
        </w:tc>
      </w:tr>
      <w:tr w14:paraId="1CD9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55DBC530">
            <w:pPr>
              <w:spacing w:after="0" w:line="264" w:lineRule="auto"/>
              <w:jc w:val="center"/>
            </w:pPr>
            <w:r>
              <w:rPr>
                <w:rFonts w:ascii="Times New Roman" w:hAnsi="Times New Roman" w:eastAsia="宋体"/>
                <w:b w:val="0"/>
                <w:sz w:val="17"/>
              </w:rPr>
              <w:t>本地显示</w:t>
            </w:r>
          </w:p>
        </w:tc>
        <w:tc>
          <w:tcPr>
            <w:tcW w:w="2835" w:type="dxa"/>
            <w:tcBorders>
              <w:top w:val="single" w:color="A6A6A6" w:sz="6" w:space="0"/>
              <w:left w:val="single" w:color="A6A6A6" w:sz="6" w:space="0"/>
              <w:bottom w:val="single" w:color="A6A6A6" w:sz="6" w:space="0"/>
              <w:right w:val="single" w:color="A6A6A6" w:sz="6" w:space="0"/>
            </w:tcBorders>
            <w:vAlign w:val="center"/>
          </w:tcPr>
          <w:p w14:paraId="2E4BC447">
            <w:pPr>
              <w:spacing w:after="0" w:line="264" w:lineRule="auto"/>
              <w:jc w:val="center"/>
            </w:pPr>
            <w:r>
              <w:rPr>
                <w:rFonts w:ascii="Times New Roman" w:hAnsi="Times New Roman" w:eastAsia="宋体"/>
                <w:b w:val="0"/>
                <w:sz w:val="17"/>
              </w:rPr>
              <w:t>在 ST7789/LVGL 上显示运行状态、手势反馈和提醒界面</w:t>
            </w:r>
          </w:p>
        </w:tc>
        <w:tc>
          <w:tcPr>
            <w:tcW w:w="2268" w:type="dxa"/>
            <w:tcBorders>
              <w:top w:val="single" w:color="A6A6A6" w:sz="6" w:space="0"/>
              <w:left w:val="single" w:color="A6A6A6" w:sz="6" w:space="0"/>
              <w:bottom w:val="single" w:color="A6A6A6" w:sz="6" w:space="0"/>
              <w:right w:val="single" w:color="A6A6A6" w:sz="6" w:space="0"/>
            </w:tcBorders>
            <w:vAlign w:val="center"/>
          </w:tcPr>
          <w:p w14:paraId="7A52100A">
            <w:pPr>
              <w:spacing w:after="0" w:line="264" w:lineRule="auto"/>
              <w:jc w:val="left"/>
            </w:pPr>
            <w:r>
              <w:rPr>
                <w:rFonts w:ascii="Times New Roman" w:hAnsi="Times New Roman" w:eastAsia="宋体"/>
                <w:b w:val="0"/>
                <w:sz w:val="17"/>
              </w:rPr>
              <w:t>状态结果与提醒事件</w:t>
            </w:r>
          </w:p>
        </w:tc>
        <w:tc>
          <w:tcPr>
            <w:tcW w:w="2268" w:type="dxa"/>
            <w:tcBorders>
              <w:top w:val="single" w:color="A6A6A6" w:sz="6" w:space="0"/>
              <w:left w:val="single" w:color="A6A6A6" w:sz="6" w:space="0"/>
              <w:bottom w:val="single" w:color="A6A6A6" w:sz="6" w:space="0"/>
              <w:right w:val="single" w:color="A6A6A6" w:sz="6" w:space="0"/>
            </w:tcBorders>
            <w:vAlign w:val="center"/>
          </w:tcPr>
          <w:p w14:paraId="273F4D6A">
            <w:pPr>
              <w:spacing w:after="0" w:line="264" w:lineRule="auto"/>
              <w:jc w:val="left"/>
            </w:pPr>
            <w:r>
              <w:rPr>
                <w:rFonts w:ascii="Times New Roman" w:hAnsi="Times New Roman" w:eastAsia="宋体"/>
                <w:b w:val="0"/>
                <w:sz w:val="17"/>
              </w:rPr>
              <w:t>本地可视化反馈</w:t>
            </w:r>
          </w:p>
        </w:tc>
      </w:tr>
      <w:tr w14:paraId="2E16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0202CE21">
            <w:pPr>
              <w:spacing w:after="0" w:line="264" w:lineRule="auto"/>
              <w:jc w:val="center"/>
            </w:pPr>
            <w:r>
              <w:rPr>
                <w:rFonts w:ascii="Times New Roman" w:hAnsi="Times New Roman" w:eastAsia="宋体"/>
                <w:b w:val="0"/>
                <w:sz w:val="17"/>
              </w:rPr>
              <w:t>语音提示</w:t>
            </w:r>
          </w:p>
        </w:tc>
        <w:tc>
          <w:tcPr>
            <w:tcW w:w="2835" w:type="dxa"/>
            <w:tcBorders>
              <w:top w:val="single" w:color="A6A6A6" w:sz="6" w:space="0"/>
              <w:left w:val="single" w:color="A6A6A6" w:sz="6" w:space="0"/>
              <w:bottom w:val="single" w:color="A6A6A6" w:sz="6" w:space="0"/>
              <w:right w:val="single" w:color="A6A6A6" w:sz="6" w:space="0"/>
            </w:tcBorders>
            <w:vAlign w:val="center"/>
          </w:tcPr>
          <w:p w14:paraId="61248EB3">
            <w:pPr>
              <w:spacing w:after="0" w:line="264" w:lineRule="auto"/>
              <w:jc w:val="center"/>
            </w:pPr>
            <w:r>
              <w:rPr>
                <w:rFonts w:ascii="Times New Roman" w:hAnsi="Times New Roman" w:eastAsia="宋体"/>
                <w:b w:val="0"/>
                <w:sz w:val="17"/>
              </w:rPr>
              <w:t>播放坐姿和饮水提示音</w:t>
            </w:r>
          </w:p>
        </w:tc>
        <w:tc>
          <w:tcPr>
            <w:tcW w:w="2268" w:type="dxa"/>
            <w:tcBorders>
              <w:top w:val="single" w:color="A6A6A6" w:sz="6" w:space="0"/>
              <w:left w:val="single" w:color="A6A6A6" w:sz="6" w:space="0"/>
              <w:bottom w:val="single" w:color="A6A6A6" w:sz="6" w:space="0"/>
              <w:right w:val="single" w:color="A6A6A6" w:sz="6" w:space="0"/>
            </w:tcBorders>
            <w:vAlign w:val="center"/>
          </w:tcPr>
          <w:p w14:paraId="03F38ED1">
            <w:pPr>
              <w:spacing w:after="0" w:line="264" w:lineRule="auto"/>
              <w:jc w:val="left"/>
            </w:pPr>
            <w:r>
              <w:rPr>
                <w:rFonts w:ascii="Times New Roman" w:hAnsi="Times New Roman" w:eastAsia="宋体"/>
                <w:b w:val="0"/>
                <w:sz w:val="17"/>
              </w:rPr>
              <w:t>提醒事件、音频文件</w:t>
            </w:r>
          </w:p>
        </w:tc>
        <w:tc>
          <w:tcPr>
            <w:tcW w:w="2268" w:type="dxa"/>
            <w:tcBorders>
              <w:top w:val="single" w:color="A6A6A6" w:sz="6" w:space="0"/>
              <w:left w:val="single" w:color="A6A6A6" w:sz="6" w:space="0"/>
              <w:bottom w:val="single" w:color="A6A6A6" w:sz="6" w:space="0"/>
              <w:right w:val="single" w:color="A6A6A6" w:sz="6" w:space="0"/>
            </w:tcBorders>
            <w:vAlign w:val="center"/>
          </w:tcPr>
          <w:p w14:paraId="1BF1F8C2">
            <w:pPr>
              <w:spacing w:after="0" w:line="264" w:lineRule="auto"/>
              <w:jc w:val="left"/>
            </w:pPr>
            <w:r>
              <w:rPr>
                <w:rFonts w:ascii="Times New Roman" w:hAnsi="Times New Roman" w:eastAsia="宋体"/>
                <w:b w:val="0"/>
                <w:sz w:val="17"/>
              </w:rPr>
              <w:t>本地语音反馈</w:t>
            </w:r>
          </w:p>
        </w:tc>
      </w:tr>
      <w:tr w14:paraId="476D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7887F249">
            <w:pPr>
              <w:spacing w:after="0" w:line="264" w:lineRule="auto"/>
              <w:jc w:val="center"/>
            </w:pPr>
            <w:r>
              <w:rPr>
                <w:rFonts w:ascii="Times New Roman" w:hAnsi="Times New Roman" w:eastAsia="宋体"/>
                <w:b w:val="0"/>
                <w:sz w:val="17"/>
              </w:rPr>
              <w:t>视频输出与查看</w:t>
            </w:r>
          </w:p>
        </w:tc>
        <w:tc>
          <w:tcPr>
            <w:tcW w:w="2835" w:type="dxa"/>
            <w:tcBorders>
              <w:top w:val="single" w:color="A6A6A6" w:sz="6" w:space="0"/>
              <w:left w:val="single" w:color="A6A6A6" w:sz="6" w:space="0"/>
              <w:bottom w:val="single" w:color="A6A6A6" w:sz="6" w:space="0"/>
              <w:right w:val="single" w:color="A6A6A6" w:sz="6" w:space="0"/>
            </w:tcBorders>
            <w:vAlign w:val="center"/>
          </w:tcPr>
          <w:p w14:paraId="04F10A4C">
            <w:pPr>
              <w:spacing w:after="0" w:line="264" w:lineRule="auto"/>
              <w:jc w:val="center"/>
            </w:pPr>
            <w:r>
              <w:rPr>
                <w:rFonts w:ascii="Times New Roman" w:hAnsi="Times New Roman" w:eastAsia="宋体"/>
                <w:b w:val="0"/>
                <w:sz w:val="17"/>
              </w:rPr>
              <w:t>通过 HTTP-FLV 输出主程序视频，并通过 RTSP relay 供 VLC 查看</w:t>
            </w:r>
          </w:p>
        </w:tc>
        <w:tc>
          <w:tcPr>
            <w:tcW w:w="2268" w:type="dxa"/>
            <w:tcBorders>
              <w:top w:val="single" w:color="A6A6A6" w:sz="6" w:space="0"/>
              <w:left w:val="single" w:color="A6A6A6" w:sz="6" w:space="0"/>
              <w:bottom w:val="single" w:color="A6A6A6" w:sz="6" w:space="0"/>
              <w:right w:val="single" w:color="A6A6A6" w:sz="6" w:space="0"/>
            </w:tcBorders>
            <w:vAlign w:val="center"/>
          </w:tcPr>
          <w:p w14:paraId="3448266E">
            <w:pPr>
              <w:spacing w:after="0" w:line="264" w:lineRule="auto"/>
              <w:jc w:val="left"/>
            </w:pPr>
            <w:r>
              <w:rPr>
                <w:rFonts w:ascii="Times New Roman" w:hAnsi="Times New Roman" w:eastAsia="宋体"/>
                <w:b w:val="0"/>
                <w:sz w:val="17"/>
              </w:rPr>
              <w:t>叠加检测结果的视频流</w:t>
            </w:r>
          </w:p>
        </w:tc>
        <w:tc>
          <w:tcPr>
            <w:tcW w:w="2268" w:type="dxa"/>
            <w:tcBorders>
              <w:top w:val="single" w:color="A6A6A6" w:sz="6" w:space="0"/>
              <w:left w:val="single" w:color="A6A6A6" w:sz="6" w:space="0"/>
              <w:bottom w:val="single" w:color="A6A6A6" w:sz="6" w:space="0"/>
              <w:right w:val="single" w:color="A6A6A6" w:sz="6" w:space="0"/>
            </w:tcBorders>
            <w:vAlign w:val="center"/>
          </w:tcPr>
          <w:p w14:paraId="0D430528">
            <w:pPr>
              <w:spacing w:after="0" w:line="264" w:lineRule="auto"/>
              <w:jc w:val="left"/>
            </w:pPr>
            <w:r>
              <w:rPr>
                <w:rFonts w:ascii="Times New Roman" w:hAnsi="Times New Roman" w:eastAsia="宋体"/>
                <w:b w:val="0"/>
                <w:sz w:val="17"/>
              </w:rPr>
              <w:t>支持展示和调试</w:t>
            </w:r>
          </w:p>
        </w:tc>
      </w:tr>
      <w:tr w14:paraId="1A6E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2C3C21E4">
            <w:pPr>
              <w:spacing w:after="0" w:line="264" w:lineRule="auto"/>
              <w:jc w:val="center"/>
            </w:pPr>
            <w:r>
              <w:rPr>
                <w:rFonts w:ascii="Times New Roman" w:hAnsi="Times New Roman" w:eastAsia="宋体"/>
                <w:b w:val="0"/>
                <w:sz w:val="17"/>
              </w:rPr>
              <w:t>MQTT 通信</w:t>
            </w:r>
          </w:p>
        </w:tc>
        <w:tc>
          <w:tcPr>
            <w:tcW w:w="2835" w:type="dxa"/>
            <w:tcBorders>
              <w:top w:val="single" w:color="A6A6A6" w:sz="6" w:space="0"/>
              <w:left w:val="single" w:color="A6A6A6" w:sz="6" w:space="0"/>
              <w:bottom w:val="single" w:color="A6A6A6" w:sz="6" w:space="0"/>
              <w:right w:val="single" w:color="A6A6A6" w:sz="6" w:space="0"/>
            </w:tcBorders>
            <w:vAlign w:val="center"/>
          </w:tcPr>
          <w:p w14:paraId="64D608AC">
            <w:pPr>
              <w:spacing w:after="0" w:line="264" w:lineRule="auto"/>
              <w:jc w:val="center"/>
            </w:pPr>
            <w:r>
              <w:rPr>
                <w:rFonts w:ascii="Times New Roman" w:hAnsi="Times New Roman" w:eastAsia="宋体"/>
                <w:b w:val="0"/>
                <w:sz w:val="17"/>
              </w:rPr>
              <w:t>同步状态、事件和遥测信息</w:t>
            </w:r>
          </w:p>
        </w:tc>
        <w:tc>
          <w:tcPr>
            <w:tcW w:w="2268" w:type="dxa"/>
            <w:tcBorders>
              <w:top w:val="single" w:color="A6A6A6" w:sz="6" w:space="0"/>
              <w:left w:val="single" w:color="A6A6A6" w:sz="6" w:space="0"/>
              <w:bottom w:val="single" w:color="A6A6A6" w:sz="6" w:space="0"/>
              <w:right w:val="single" w:color="A6A6A6" w:sz="6" w:space="0"/>
            </w:tcBorders>
            <w:vAlign w:val="center"/>
          </w:tcPr>
          <w:p w14:paraId="144B3969">
            <w:pPr>
              <w:spacing w:after="0" w:line="264" w:lineRule="auto"/>
              <w:jc w:val="left"/>
            </w:pPr>
            <w:r>
              <w:rPr>
                <w:rFonts w:ascii="Times New Roman" w:hAnsi="Times New Roman" w:eastAsia="宋体"/>
                <w:b w:val="0"/>
                <w:sz w:val="17"/>
              </w:rPr>
              <w:t>status、event、telemetry 主题</w:t>
            </w:r>
          </w:p>
        </w:tc>
        <w:tc>
          <w:tcPr>
            <w:tcW w:w="2268" w:type="dxa"/>
            <w:tcBorders>
              <w:top w:val="single" w:color="A6A6A6" w:sz="6" w:space="0"/>
              <w:left w:val="single" w:color="A6A6A6" w:sz="6" w:space="0"/>
              <w:bottom w:val="single" w:color="A6A6A6" w:sz="6" w:space="0"/>
              <w:right w:val="single" w:color="A6A6A6" w:sz="6" w:space="0"/>
            </w:tcBorders>
            <w:vAlign w:val="center"/>
          </w:tcPr>
          <w:p w14:paraId="42A5415C">
            <w:pPr>
              <w:spacing w:after="0" w:line="264" w:lineRule="auto"/>
              <w:jc w:val="left"/>
            </w:pPr>
            <w:r>
              <w:rPr>
                <w:rFonts w:ascii="Times New Roman" w:hAnsi="Times New Roman" w:eastAsia="宋体"/>
                <w:b w:val="0"/>
                <w:sz w:val="17"/>
              </w:rPr>
              <w:t>支持远程观察与数据记录</w:t>
            </w:r>
          </w:p>
        </w:tc>
      </w:tr>
    </w:tbl>
    <w:p w14:paraId="21F855A2">
      <w:pPr>
        <w:spacing w:after="80"/>
      </w:pPr>
    </w:p>
    <w:p w14:paraId="7B9AB113">
      <w:pPr>
        <w:pStyle w:val="4"/>
        <w:widowControl/>
        <w:rPr>
          <w:color w:val="auto"/>
        </w:rPr>
      </w:pPr>
      <w:r>
        <w:rPr>
          <w:rFonts w:ascii="Times New Roman" w:hAnsi="Times New Roman" w:eastAsia="黑体"/>
          <w:color w:val="auto"/>
        </w:rPr>
        <w:t>2.3.2 主控与运行状态</w:t>
      </w:r>
    </w:p>
    <w:p w14:paraId="5CF13267">
      <w:pPr>
        <w:widowControl/>
        <w:spacing w:after="100" w:line="283" w:lineRule="auto"/>
        <w:ind w:firstLine="420"/>
        <w:jc w:val="both"/>
      </w:pPr>
      <w:r>
        <w:rPr>
          <w:rFonts w:ascii="Times New Roman" w:hAnsi="Times New Roman" w:eastAsia="宋体"/>
          <w:sz w:val="21"/>
        </w:rPr>
        <w:t>主控程序是软件系统的调度中心，负责将采集、AI 推理、显示、语音、视频和通信模块组织为统一运行链路。系统主业务状态包括Idle和Running：Idle状态主要等待Start手势；Running状态执行姿态估计、饮品检测、饮水判断、屏幕提醒和语音提示输出；识别到 Stop 后暂停监测并回到 Idle。</w:t>
      </w:r>
    </w:p>
    <w:p w14:paraId="6EFD5741">
      <w:pPr>
        <w:widowControl/>
        <w:spacing w:after="100" w:line="283" w:lineRule="auto"/>
        <w:ind w:firstLine="420"/>
        <w:jc w:val="both"/>
      </w:pPr>
      <w:r>
        <w:rPr>
          <w:rFonts w:ascii="Times New Roman" w:hAnsi="Times New Roman" w:eastAsia="宋体"/>
          <w:sz w:val="21"/>
        </w:rPr>
        <w:t>Start用于启动监测，Stop用于停止监测，Confirm用于确认饮水提醒或提供确认反馈，Rock用于互动反馈。为减少单帧误识别造成的误触发，系统在手势结果进入业务层前加入稳定计数、触发冷却和释放锁机制。</w:t>
      </w:r>
    </w:p>
    <w:p w14:paraId="22C101B9">
      <w:pPr>
        <w:widowControl/>
        <w:spacing w:after="100" w:line="283" w:lineRule="auto"/>
        <w:ind w:firstLine="420"/>
        <w:jc w:val="both"/>
      </w:pPr>
      <w:r>
        <w:rPr>
          <w:rFonts w:ascii="Times New Roman" w:hAnsi="Times New Roman" w:eastAsia="宋体"/>
          <w:sz w:val="21"/>
        </w:rPr>
        <w:t>饮水提醒由视觉判断和定时器共同参与。系统配置中，定时饮水提醒默认首次间隔为 30 分钟，重复提醒间隔为 5 分钟，到点后可触发屏幕与语音提示；视觉检测到饮水动作或用户执行Confirm后，可更新本次提醒状态。</w:t>
      </w:r>
    </w:p>
    <w:p w14:paraId="1B96611E">
      <w:pPr>
        <w:pStyle w:val="4"/>
        <w:widowControl/>
        <w:rPr>
          <w:color w:val="auto"/>
        </w:rPr>
      </w:pPr>
      <w:r>
        <w:rPr>
          <w:rFonts w:ascii="Times New Roman" w:hAnsi="Times New Roman" w:eastAsia="黑体"/>
          <w:color w:val="auto"/>
        </w:rPr>
        <w:t>2.3.3 视觉采集与图像预处理</w:t>
      </w:r>
    </w:p>
    <w:p w14:paraId="339AD5F5">
      <w:pPr>
        <w:widowControl/>
        <w:spacing w:after="100" w:line="283" w:lineRule="auto"/>
        <w:ind w:firstLine="420"/>
        <w:jc w:val="both"/>
      </w:pPr>
      <w:r>
        <w:rPr>
          <w:rFonts w:ascii="Times New Roman" w:hAnsi="Times New Roman" w:eastAsia="宋体"/>
          <w:sz w:val="21"/>
        </w:rPr>
        <w:t>视觉采集模块从摄像头获取 640×480 NV12 视频帧，并将原始帧同时提供给 AI 推理链路和视频输出链路。预处理模块根据模型需求生成不同尺寸输入：手势模型使用 224×224 输入，姿态模型和饮品模型使用 640×640 输入。</w:t>
      </w:r>
    </w:p>
    <w:p w14:paraId="09EE2A3A">
      <w:pPr>
        <w:widowControl/>
        <w:spacing w:after="100" w:line="283" w:lineRule="auto"/>
        <w:ind w:firstLine="420"/>
        <w:jc w:val="both"/>
      </w:pPr>
      <w:r>
        <w:rPr>
          <w:rFonts w:ascii="Times New Roman" w:hAnsi="Times New Roman" w:eastAsia="宋体"/>
          <w:sz w:val="21"/>
        </w:rPr>
        <w:t>系统在尺寸变换过程中记录原图尺寸、裁剪区域和模型尺寸等坐标映射信息，用于将人体框、关键点和杯/瓶检测框反算回原始视频画面。该能力是坐姿判断、饮水距离判断和视频叠加显示的基础。</w:t>
      </w:r>
    </w:p>
    <w:p w14:paraId="2FC31862">
      <w:pPr>
        <w:pStyle w:val="4"/>
        <w:widowControl/>
        <w:rPr>
          <w:color w:val="auto"/>
        </w:rPr>
      </w:pPr>
      <w:r>
        <w:rPr>
          <w:rFonts w:ascii="Times New Roman" w:hAnsi="Times New Roman" w:eastAsia="黑体"/>
          <w:color w:val="auto"/>
        </w:rPr>
        <w:t>2.3.4 手势识别与交互控制</w:t>
      </w:r>
    </w:p>
    <w:p w14:paraId="209E9392">
      <w:pPr>
        <w:widowControl/>
        <w:spacing w:after="100" w:line="283" w:lineRule="auto"/>
        <w:ind w:firstLine="420"/>
        <w:jc w:val="both"/>
      </w:pPr>
      <w:r>
        <w:rPr>
          <w:rFonts w:ascii="Times New Roman" w:hAnsi="Times New Roman" w:eastAsia="宋体"/>
          <w:sz w:val="21"/>
        </w:rPr>
        <w:t>手势识别模块用于实现非接触式控制。系统支持 Start、Stop、Confirm 和 Rock 四类业务手势：Start 用于从 Idle 进入 Running，Stop 用于从Running回到Idle，Confirm 用于确认提醒或提供确认反馈，Rock 用于互动展示反馈。</w:t>
      </w:r>
    </w:p>
    <w:p w14:paraId="6D74B821">
      <w:pPr>
        <w:widowControl/>
        <w:spacing w:after="100" w:line="283" w:lineRule="auto"/>
        <w:ind w:firstLine="420"/>
        <w:jc w:val="both"/>
      </w:pPr>
      <w:r>
        <w:rPr>
          <w:rFonts w:ascii="Times New Roman" w:hAnsi="Times New Roman" w:eastAsia="宋体"/>
          <w:sz w:val="21"/>
        </w:rPr>
        <w:t>为了提升交互稳定性，手势结果不会以单帧识别结果直接触发业务动作，而是经过稳定计数、冷却时间和释放锁判断后再生成手势事件，从而减少误触发和重复触发。</w:t>
      </w:r>
    </w:p>
    <w:p w14:paraId="19C6233B">
      <w:pPr>
        <w:widowControl/>
        <w:spacing w:before="120" w:after="60"/>
        <w:jc w:val="center"/>
      </w:pPr>
      <w:r>
        <w:rPr>
          <w:rFonts w:ascii="Times New Roman" w:hAnsi="Times New Roman" w:eastAsia="黑体"/>
          <w:sz w:val="21"/>
        </w:rPr>
        <w:t>图2-5 手势状态机流程图</w:t>
      </w:r>
    </w:p>
    <w:p w14:paraId="3AC4C6F5">
      <w:pPr>
        <w:spacing w:after="40"/>
      </w:pPr>
    </w:p>
    <w:p w14:paraId="7B6D8C82">
      <w:pPr>
        <w:spacing w:after="40"/>
      </w:pPr>
      <w:r>
        <w:drawing>
          <wp:inline distT="0" distB="0" distL="114300" distR="114300">
            <wp:extent cx="6044565" cy="4106545"/>
            <wp:effectExtent l="0" t="0" r="1333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rcRect t="5092"/>
                    <a:stretch>
                      <a:fillRect/>
                    </a:stretch>
                  </pic:blipFill>
                  <pic:spPr>
                    <a:xfrm>
                      <a:off x="0" y="0"/>
                      <a:ext cx="6044565" cy="4106545"/>
                    </a:xfrm>
                    <a:prstGeom prst="rect">
                      <a:avLst/>
                    </a:prstGeom>
                    <a:noFill/>
                    <a:ln>
                      <a:noFill/>
                    </a:ln>
                  </pic:spPr>
                </pic:pic>
              </a:graphicData>
            </a:graphic>
          </wp:inline>
        </w:drawing>
      </w:r>
    </w:p>
    <w:p w14:paraId="43AC058D">
      <w:pPr>
        <w:pStyle w:val="4"/>
        <w:widowControl/>
        <w:rPr>
          <w:color w:val="auto"/>
        </w:rPr>
      </w:pPr>
      <w:r>
        <w:rPr>
          <w:rFonts w:ascii="Times New Roman" w:hAnsi="Times New Roman" w:eastAsia="黑体"/>
          <w:color w:val="auto"/>
        </w:rPr>
        <w:t>2.3.5 姿态估计与坐姿提醒</w:t>
      </w:r>
    </w:p>
    <w:p w14:paraId="148AB9B9">
      <w:pPr>
        <w:widowControl/>
        <w:spacing w:after="100" w:line="283" w:lineRule="auto"/>
        <w:ind w:firstLine="420"/>
        <w:jc w:val="both"/>
      </w:pPr>
      <w:r>
        <w:rPr>
          <w:rFonts w:ascii="Times New Roman" w:hAnsi="Times New Roman" w:eastAsia="宋体"/>
          <w:sz w:val="21"/>
        </w:rPr>
        <w:t>姿态估计模块输出人体框和17个关键点，为坐姿提醒和饮水判断提供人体位置依据。系统根据鼻尖、耳朵、肩膀等关键点计算头部姿态相关指标，并将低头、前伸、后仰等情况映射为坐姿提醒状态。</w:t>
      </w:r>
    </w:p>
    <w:p w14:paraId="3769C716">
      <w:pPr>
        <w:widowControl/>
        <w:spacing w:after="100" w:line="283" w:lineRule="auto"/>
        <w:ind w:firstLine="420"/>
        <w:jc w:val="both"/>
        <w:rPr>
          <w:rFonts w:hint="default" w:ascii="宋体" w:hAnsi="宋体" w:eastAsia="宋体" w:cs="宋体"/>
          <w:sz w:val="24"/>
          <w:szCs w:val="24"/>
          <w:lang w:val="en-US" w:eastAsia="zh-CN"/>
        </w:rPr>
      </w:pPr>
      <w:r>
        <w:rPr>
          <w:rFonts w:ascii="Times New Roman" w:hAnsi="Times New Roman" w:eastAsia="宋体"/>
          <w:sz w:val="21"/>
        </w:rPr>
        <w:t>坐姿提醒采用工程规则进行状态判断，重点用于桌面场景下的提示和交互展示。姿态结果可进一步参与本地显示、语音提示、视频叠加和MQTT事件输出。</w:t>
      </w:r>
      <w:r>
        <w:rPr>
          <w:rFonts w:ascii="Times New Roman" w:hAnsi="Times New Roman" w:eastAsia="宋体"/>
          <w:sz w:val="21"/>
        </w:rPr>
        <w:br w:type="textWrapping"/>
      </w:r>
      <w:r>
        <w:rPr>
          <w:rFonts w:ascii="宋体" w:hAnsi="宋体" w:eastAsia="宋体" w:cs="宋体"/>
          <w:sz w:val="24"/>
          <w:szCs w:val="24"/>
        </w:rPr>
        <w:drawing>
          <wp:inline distT="0" distB="0" distL="114300" distR="114300">
            <wp:extent cx="304800" cy="30480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24"/>
          <w:szCs w:val="24"/>
          <w:lang w:val="en-US" w:eastAsia="zh-CN"/>
        </w:rPr>
        <w:t>坐姿判断如下图所示，根据关键点位得到的头部前倾、低头、头部后仰、歪头的判断逻辑，这些都作为坏姿势的判定，即需要提醒。</w:t>
      </w:r>
      <w:bookmarkStart w:id="0" w:name="_GoBack"/>
      <w:bookmarkEnd w:id="0"/>
    </w:p>
    <w:p w14:paraId="002C7BCA">
      <w:pPr>
        <w:widowControl/>
        <w:spacing w:after="100" w:line="283" w:lineRule="auto"/>
        <w:ind w:firstLine="420"/>
        <w:jc w:val="both"/>
        <w:rPr>
          <w:rFonts w:hint="eastAsia" w:eastAsia="宋体"/>
          <w:lang w:eastAsia="zh-CN"/>
        </w:rPr>
      </w:pPr>
    </w:p>
    <w:p w14:paraId="40BC1549">
      <w:pPr>
        <w:widowControl/>
        <w:spacing w:after="100" w:line="283" w:lineRule="auto"/>
        <w:jc w:val="both"/>
        <w:rPr>
          <w:rFonts w:hint="eastAsia" w:eastAsia="宋体"/>
          <w:lang w:eastAsia="zh-CN"/>
        </w:rPr>
      </w:pPr>
      <w:r>
        <w:rPr>
          <w:rFonts w:hint="eastAsia" w:eastAsia="宋体"/>
          <w:lang w:eastAsia="zh-CN"/>
        </w:rPr>
        <w:drawing>
          <wp:inline distT="0" distB="0" distL="114300" distR="114300">
            <wp:extent cx="2463800" cy="2292350"/>
            <wp:effectExtent l="0" t="0" r="12700" b="12700"/>
            <wp:docPr id="11" name="图片 11" descr="0ea1db5b5a29486e7a118d257299b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ea1db5b5a29486e7a118d257299b240"/>
                    <pic:cNvPicPr>
                      <a:picLocks noChangeAspect="1"/>
                    </pic:cNvPicPr>
                  </pic:nvPicPr>
                  <pic:blipFill>
                    <a:blip r:embed="rId17"/>
                    <a:srcRect r="189" b="48860"/>
                    <a:stretch>
                      <a:fillRect/>
                    </a:stretch>
                  </pic:blipFill>
                  <pic:spPr>
                    <a:xfrm>
                      <a:off x="0" y="0"/>
                      <a:ext cx="2463800" cy="2292350"/>
                    </a:xfrm>
                    <a:prstGeom prst="rect">
                      <a:avLst/>
                    </a:prstGeom>
                  </pic:spPr>
                </pic:pic>
              </a:graphicData>
            </a:graphic>
          </wp:inline>
        </w:drawing>
      </w:r>
      <w:r>
        <w:drawing>
          <wp:inline distT="0" distB="0" distL="114300" distR="114300">
            <wp:extent cx="2675255" cy="2305050"/>
            <wp:effectExtent l="0" t="0" r="10795"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8"/>
                    <a:stretch>
                      <a:fillRect/>
                    </a:stretch>
                  </pic:blipFill>
                  <pic:spPr>
                    <a:xfrm>
                      <a:off x="0" y="0"/>
                      <a:ext cx="2675255" cy="2305050"/>
                    </a:xfrm>
                    <a:prstGeom prst="rect">
                      <a:avLst/>
                    </a:prstGeom>
                    <a:noFill/>
                    <a:ln>
                      <a:noFill/>
                    </a:ln>
                  </pic:spPr>
                </pic:pic>
              </a:graphicData>
            </a:graphic>
          </wp:inline>
        </w:drawing>
      </w:r>
      <w:r>
        <w:rPr>
          <w:rFonts w:hint="eastAsia" w:eastAsia="宋体"/>
          <w:lang w:eastAsia="zh-CN"/>
        </w:rPr>
        <w:br w:type="textWrapping"/>
      </w:r>
      <w:r>
        <w:rPr>
          <w:rFonts w:hint="eastAsia" w:eastAsia="宋体"/>
          <w:lang w:val="en-US" w:eastAsia="zh-CN"/>
        </w:rPr>
        <w:t xml:space="preserve">    </w:t>
      </w:r>
    </w:p>
    <w:p w14:paraId="5839DE99">
      <w:pPr>
        <w:pStyle w:val="4"/>
        <w:widowControl/>
        <w:rPr>
          <w:color w:val="auto"/>
        </w:rPr>
      </w:pPr>
      <w:r>
        <w:rPr>
          <w:rFonts w:ascii="Times New Roman" w:hAnsi="Times New Roman" w:eastAsia="黑体"/>
          <w:color w:val="auto"/>
        </w:rPr>
        <w:t>2.3.6 饮品检测与饮水提醒</w:t>
      </w:r>
    </w:p>
    <w:p w14:paraId="2E69C1DA">
      <w:pPr>
        <w:widowControl/>
        <w:spacing w:after="100" w:line="283" w:lineRule="auto"/>
        <w:ind w:firstLine="420"/>
        <w:jc w:val="both"/>
      </w:pPr>
      <w:r>
        <w:rPr>
          <w:rFonts w:ascii="Times New Roman" w:hAnsi="Times New Roman" w:eastAsia="宋体"/>
          <w:sz w:val="21"/>
        </w:rPr>
        <w:t>饮品检测模块用于输出杯/瓶候选区域，为饮水提醒提供视觉依据。饮水状态判断融合姿态结果和饮品检测结果：系统优先选择鼻尖作为头部点，在鼻尖不可用时可使用耳部关键点进行兜底；随后计算杯/瓶中心与头部点之间的距离，并基于人体框尺度进行归一化。</w:t>
      </w:r>
    </w:p>
    <w:p w14:paraId="267B3897">
      <w:pPr>
        <w:widowControl/>
        <w:spacing w:after="100" w:line="283" w:lineRule="auto"/>
        <w:ind w:firstLine="420"/>
        <w:jc w:val="both"/>
      </w:pPr>
      <w:r>
        <w:rPr>
          <w:rFonts w:ascii="Times New Roman" w:hAnsi="Times New Roman" w:eastAsia="宋体"/>
          <w:sz w:val="21"/>
        </w:rPr>
        <w:t>当杯/瓶靠近头部且连续命中达到条件时，系统判断为 DrinkDetected；当处于运行状态且达到定时提醒间隔时，系统进入NeedRemind并触发屏幕与语音提醒；当用户通过Confirm确认提醒或检测到饮水动作后，系统更新本次提醒状态。该模块定位为桌面提醒和交互辅助。</w:t>
      </w:r>
    </w:p>
    <w:p w14:paraId="395C1ADD">
      <w:pPr>
        <w:widowControl/>
        <w:spacing w:before="120" w:after="60"/>
        <w:jc w:val="center"/>
      </w:pPr>
      <w:r>
        <w:rPr>
          <w:rFonts w:ascii="Times New Roman" w:hAnsi="Times New Roman" w:eastAsia="黑体"/>
          <w:sz w:val="21"/>
        </w:rPr>
        <w:t>图2-6 饮水提醒判断流程图</w:t>
      </w:r>
    </w:p>
    <w:p w14:paraId="1DDC0937">
      <w:pPr>
        <w:spacing w:after="40"/>
      </w:pPr>
    </w:p>
    <w:p w14:paraId="4E2F3C6E">
      <w:pPr>
        <w:spacing w:after="40"/>
      </w:pPr>
      <w:r>
        <w:drawing>
          <wp:inline distT="0" distB="0" distL="114300" distR="114300">
            <wp:extent cx="6029960" cy="3629025"/>
            <wp:effectExtent l="0" t="0" r="889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rcRect t="6388"/>
                    <a:stretch>
                      <a:fillRect/>
                    </a:stretch>
                  </pic:blipFill>
                  <pic:spPr>
                    <a:xfrm>
                      <a:off x="0" y="0"/>
                      <a:ext cx="6029960" cy="3629025"/>
                    </a:xfrm>
                    <a:prstGeom prst="rect">
                      <a:avLst/>
                    </a:prstGeom>
                    <a:noFill/>
                    <a:ln>
                      <a:noFill/>
                    </a:ln>
                  </pic:spPr>
                </pic:pic>
              </a:graphicData>
            </a:graphic>
          </wp:inline>
        </w:drawing>
      </w:r>
    </w:p>
    <w:p w14:paraId="532353B9">
      <w:pPr>
        <w:pStyle w:val="4"/>
        <w:widowControl/>
        <w:rPr>
          <w:color w:val="auto"/>
        </w:rPr>
      </w:pPr>
      <w:r>
        <w:rPr>
          <w:rFonts w:ascii="Times New Roman" w:hAnsi="Times New Roman" w:eastAsia="黑体"/>
          <w:color w:val="auto"/>
        </w:rPr>
        <w:t>2.3.7 本地显示、语音、视频与通信输出</w:t>
      </w:r>
    </w:p>
    <w:p w14:paraId="1B7A6518">
      <w:pPr>
        <w:widowControl/>
        <w:spacing w:after="100" w:line="283" w:lineRule="auto"/>
        <w:ind w:firstLine="420"/>
        <w:jc w:val="both"/>
      </w:pPr>
      <w:r>
        <w:rPr>
          <w:rFonts w:ascii="Times New Roman" w:hAnsi="Times New Roman" w:eastAsia="宋体"/>
          <w:sz w:val="21"/>
        </w:rPr>
        <w:t>本地显示链路通过ST7789和LVGL将系统状态反馈给用户，可展示待机、运行、手势反馈、坐姿提醒、饮水提醒和饮水检测等界面状态。语音提示链路与屏幕提醒配合，在坐姿异常或饮水提醒触发时播放本地提示音，增强桌面场景下的即时反馈。显示模块接收业务层输出的状态结果，并负责将其转化为本地屏幕界面。</w:t>
      </w:r>
    </w:p>
    <w:p w14:paraId="1E1F955C">
      <w:pPr>
        <w:widowControl/>
        <w:spacing w:after="100" w:line="283" w:lineRule="auto"/>
        <w:ind w:firstLine="420"/>
        <w:jc w:val="both"/>
      </w:pPr>
      <w:r>
        <w:rPr>
          <w:rFonts w:ascii="Times New Roman" w:hAnsi="Times New Roman" w:eastAsia="宋体"/>
          <w:sz w:val="21"/>
        </w:rPr>
        <w:t>视频输出链路由主程序提供HTTP-FLV。摄像头帧经过叠加和H.264编码后，通过Web输出模块提供/live.flv视频访问地址。RTSP relay作为独立转换工具，以HTTP-FLV 为输入并输出RTSP地址，供上位机VLC查看。</w:t>
      </w:r>
    </w:p>
    <w:p w14:paraId="01A88302">
      <w:pPr>
        <w:widowControl/>
        <w:spacing w:after="100" w:line="283" w:lineRule="auto"/>
        <w:ind w:firstLine="420"/>
        <w:jc w:val="both"/>
      </w:pPr>
      <w:r>
        <w:rPr>
          <w:rFonts w:ascii="Times New Roman" w:hAnsi="Times New Roman" w:eastAsia="宋体"/>
          <w:sz w:val="21"/>
        </w:rPr>
        <w:t>MQTT 通信链路用于同步状态、事件和遥测消息。系统可将运行状态、手势事件、提醒事件等信息发布到对应主题，便于上位机订阅、记录和展示。</w:t>
      </w:r>
    </w:p>
    <w:p w14:paraId="5F963346">
      <w:pPr>
        <w:widowControl/>
        <w:spacing w:after="100" w:line="283" w:lineRule="auto"/>
        <w:ind w:firstLine="420"/>
        <w:jc w:val="both"/>
      </w:pPr>
    </w:p>
    <w:p w14:paraId="4D89636A">
      <w:pPr>
        <w:spacing w:line="360" w:lineRule="auto"/>
        <w:rPr>
          <w:rFonts w:hint="default" w:ascii="Times New Roman" w:hAnsi="Times New Roman" w:eastAsia="宋体" w:cs="Times New Roman"/>
          <w:sz w:val="24"/>
          <w:lang w:val="en-US" w:eastAsia="zh-CN"/>
        </w:rPr>
      </w:pPr>
    </w:p>
    <w:p w14:paraId="657A04FA">
      <w:pPr>
        <w:spacing w:line="360" w:lineRule="auto"/>
        <w:rPr>
          <w:rFonts w:ascii="Times New Roman" w:hAnsi="Times New Roman" w:eastAsia="宋体" w:cs="Times New Roman"/>
          <w:sz w:val="24"/>
        </w:rPr>
      </w:pPr>
    </w:p>
    <w:p w14:paraId="3965F79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3DFBAD25">
      <w:pPr>
        <w:spacing w:after="120"/>
      </w:pPr>
      <w:r>
        <w:t>本部分围绕“作品是否真正完成、是否适合现场演示、是否具备工程闭环”展开说明。与前两部分的方案描述不同，本部分重点呈现当前项目已经落地的硬件连接、软件模块、AI识别链路、交互反馈和可观测指标，并给出后续放置实物照片、界面截图和测试记录的位置。</w:t>
      </w:r>
    </w:p>
    <w:p w14:paraId="27AEBF83">
      <w:pPr>
        <w:pStyle w:val="3"/>
      </w:pPr>
      <w:r>
        <w:t>3.1 整体完成情况</w:t>
      </w:r>
    </w:p>
    <w:p w14:paraId="1821F4A1">
      <w:r>
        <w:t>作品已形成以 RV1126B 为核心的端侧视觉健康提醒系统。系统以摄像头视频帧为输入，在板端完成图像采集、预处理、RKNN模型推理、业务状态融合、本地屏幕反馈、视频查看和MQTT状态同步。当前工程不是单一模型演示，而是把“看见用户状态、判断提醒条件、给出本地反馈、同步上位机信息”组织成连续运行链路。</w:t>
      </w:r>
    </w:p>
    <w:p w14:paraId="10F3FE6B">
      <w:r>
        <w:t>从竞赛展示角度看，系统完成度主要体现在四个方面：第一，摄像头采集与AI推理已接入主程序；第二，手势、姿态和饮品检测三个视觉任务能够进入同一套状态机；第三，ST7789/LVGL、HTTP-FLV/RTSP和MQTT构成多端反馈；第四，工程内置了性能日志和单图调试工具，便于现场说明模型效果、推理耗时和链路状态。</w:t>
      </w:r>
    </w:p>
    <w:p w14:paraId="14B89AA5">
      <w:pPr>
        <w:rPr>
          <w:color w:val="0000FF"/>
        </w:rPr>
      </w:pPr>
      <w:r>
        <w:rPr>
          <w:i/>
          <w:color w:val="0000FF"/>
        </w:rPr>
        <w:t>[图片预留：整机正面照片。建议展示 RV1126B 开发板、摄像头、ST7789 屏幕、供电和调试连接，背景尽量干净。]</w:t>
      </w:r>
    </w:p>
    <w:p w14:paraId="3757D410">
      <w:pPr>
        <w:jc w:val="center"/>
      </w:pPr>
      <w:r>
        <w:t>图3-1 系统整机正面实物图</w:t>
      </w:r>
    </w:p>
    <w:p w14:paraId="0A89CB09">
      <w:pPr>
        <w:rPr>
          <w:color w:val="0000FF"/>
        </w:rPr>
      </w:pPr>
      <w:r>
        <w:rPr>
          <w:i/>
          <w:color w:val="0000FF"/>
        </w:rPr>
        <w:t>[图片预留：整机斜45°照片。建议体现摄像头朝向、屏幕位置和桌面使用姿态。]</w:t>
      </w:r>
    </w:p>
    <w:p w14:paraId="2B0B5E62">
      <w:pPr>
        <w:jc w:val="center"/>
      </w:pPr>
      <w:r>
        <w:t>图3-2 系统桌面使用场景图</w:t>
      </w:r>
    </w:p>
    <w:p w14:paraId="5A831E4B">
      <w:pPr>
        <w:pStyle w:val="3"/>
      </w:pPr>
      <w:r>
        <w:t>3.2 工程成果</w:t>
      </w:r>
    </w:p>
    <w:p w14:paraId="7688CDDB">
      <w:pPr>
        <w:pStyle w:val="4"/>
      </w:pPr>
      <w:r>
        <w:t>3.2.1 硬件与结构成果</w:t>
      </w:r>
    </w:p>
    <w:p w14:paraId="02B16655">
      <w:r>
        <w:t>硬件部分以 RV1126B 开发板为核心，外接摄像头作为视觉输入，外接 ST7789 小屏作为本地反馈界面，并通过有线网络或调试网络与上位机连接。系统当前采用桌面摆放式结构，摄像头面向用户上半身和桌面水杯区域，适合学习桌、办公工位和竞赛现场演示。</w:t>
      </w:r>
    </w:p>
    <w:p w14:paraId="07A889F5">
      <w:r>
        <w:t>摄像头默认节点为 /dev/video23，主程序按 640×480、25fps 目标采集；本地屏幕默认使用 /dev/spidev1.0，显示分辨率为 240×240，SPI 速率当前配置为 8MHz，优先保证实机点屏稳定性。该设计把“识别”和“反馈”都放在端侧，减少对云端和外部服务器的依赖，符合嵌入式竞赛对本地运行能力的关注。</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821"/>
        <w:gridCol w:w="4057"/>
        <w:gridCol w:w="2644"/>
      </w:tblGrid>
      <w:tr w14:paraId="43F2CB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shd w:val="clear" w:color="auto" w:fill="EAF2F8"/>
          </w:tcPr>
          <w:p w14:paraId="74AD056D">
            <w:pPr>
              <w:spacing w:after="0"/>
            </w:pPr>
            <w:r>
              <w:rPr>
                <w:b/>
              </w:rPr>
              <w:t>硬件模块</w:t>
            </w:r>
          </w:p>
        </w:tc>
        <w:tc>
          <w:tcPr>
            <w:tcW w:w="5200" w:type="dxa"/>
            <w:shd w:val="clear" w:color="auto" w:fill="EAF2F8"/>
          </w:tcPr>
          <w:p w14:paraId="341D5A8A">
            <w:pPr>
              <w:spacing w:after="0"/>
            </w:pPr>
            <w:r>
              <w:rPr>
                <w:b/>
              </w:rPr>
              <w:t>当前完成情况</w:t>
            </w:r>
          </w:p>
        </w:tc>
        <w:tc>
          <w:tcPr>
            <w:tcW w:w="3600" w:type="dxa"/>
            <w:shd w:val="clear" w:color="auto" w:fill="EAF2F8"/>
          </w:tcPr>
          <w:p w14:paraId="13FA84E1">
            <w:pPr>
              <w:spacing w:after="0"/>
            </w:pPr>
            <w:r>
              <w:rPr>
                <w:b/>
              </w:rPr>
              <w:t>竞赛展示要点</w:t>
            </w:r>
          </w:p>
        </w:tc>
      </w:tr>
      <w:tr w14:paraId="2633C1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0C212087">
            <w:pPr>
              <w:spacing w:after="0"/>
            </w:pPr>
            <w:r>
              <w:t>RV1126B 主控</w:t>
            </w:r>
          </w:p>
        </w:tc>
        <w:tc>
          <w:tcPr>
            <w:tcW w:w="5200" w:type="dxa"/>
          </w:tcPr>
          <w:p w14:paraId="79837B18">
            <w:pPr>
              <w:spacing w:after="0"/>
            </w:pPr>
            <w:r>
              <w:t>负责采集调度、AI推理、状态机、视频编码和通信输出</w:t>
            </w:r>
          </w:p>
        </w:tc>
        <w:tc>
          <w:tcPr>
            <w:tcW w:w="3600" w:type="dxa"/>
          </w:tcPr>
          <w:p w14:paraId="38FD1849">
            <w:pPr>
              <w:spacing w:after="0"/>
            </w:pPr>
            <w:r>
              <w:t>突出端侧AI推理与系统集成能力</w:t>
            </w:r>
          </w:p>
        </w:tc>
      </w:tr>
      <w:tr w14:paraId="79A0FD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78F24F34">
            <w:pPr>
              <w:spacing w:after="0"/>
            </w:pPr>
            <w:r>
              <w:t>摄像头</w:t>
            </w:r>
          </w:p>
        </w:tc>
        <w:tc>
          <w:tcPr>
            <w:tcW w:w="5200" w:type="dxa"/>
          </w:tcPr>
          <w:p w14:paraId="522AA2D3">
            <w:pPr>
              <w:spacing w:after="0"/>
            </w:pPr>
            <w:r>
              <w:t>默认 /dev/video23，640×480，25fps 目标帧率</w:t>
            </w:r>
          </w:p>
        </w:tc>
        <w:tc>
          <w:tcPr>
            <w:tcW w:w="3600" w:type="dxa"/>
          </w:tcPr>
          <w:p w14:paraId="5D108B20">
            <w:pPr>
              <w:spacing w:after="0"/>
            </w:pPr>
            <w:r>
              <w:t>展示桌面场景下的人体、手势和水杯输入</w:t>
            </w:r>
          </w:p>
        </w:tc>
      </w:tr>
      <w:tr w14:paraId="148854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21DFF654">
            <w:pPr>
              <w:spacing w:after="0"/>
            </w:pPr>
            <w:r>
              <w:t>ST7789 屏幕</w:t>
            </w:r>
          </w:p>
        </w:tc>
        <w:tc>
          <w:tcPr>
            <w:tcW w:w="5200" w:type="dxa"/>
          </w:tcPr>
          <w:p w14:paraId="19C53BE1">
            <w:pPr>
              <w:spacing w:after="0"/>
            </w:pPr>
            <w:r>
              <w:t>240×240，本地显示待机、运行、提醒和手势反馈界面</w:t>
            </w:r>
          </w:p>
        </w:tc>
        <w:tc>
          <w:tcPr>
            <w:tcW w:w="3600" w:type="dxa"/>
          </w:tcPr>
          <w:p w14:paraId="1CEE1C5C">
            <w:pPr>
              <w:spacing w:after="0"/>
            </w:pPr>
            <w:r>
              <w:t>体现脱离上位机也能给用户反馈</w:t>
            </w:r>
          </w:p>
        </w:tc>
      </w:tr>
      <w:tr w14:paraId="39D70A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331B2131">
            <w:pPr>
              <w:spacing w:after="0"/>
            </w:pPr>
            <w:r>
              <w:t>网络/上位机</w:t>
            </w:r>
          </w:p>
        </w:tc>
        <w:tc>
          <w:tcPr>
            <w:tcW w:w="5200" w:type="dxa"/>
          </w:tcPr>
          <w:p w14:paraId="5904AC0B">
            <w:pPr>
              <w:spacing w:after="0"/>
            </w:pPr>
            <w:r>
              <w:t>HTTP-FLV/RTSP 用于视频查看，MQTT用于状态与事件同步</w:t>
            </w:r>
          </w:p>
        </w:tc>
        <w:tc>
          <w:tcPr>
            <w:tcW w:w="3600" w:type="dxa"/>
          </w:tcPr>
          <w:p w14:paraId="7A3A3CCD">
            <w:pPr>
              <w:spacing w:after="0"/>
            </w:pPr>
            <w:r>
              <w:t>便于评委现场观察识别结果和系统状态</w:t>
            </w:r>
          </w:p>
        </w:tc>
      </w:tr>
    </w:tbl>
    <w:p w14:paraId="71968EFF">
      <w:pPr>
        <w:rPr>
          <w:color w:val="0000FF"/>
        </w:rPr>
      </w:pPr>
      <w:r>
        <w:rPr>
          <w:i/>
          <w:color w:val="0000FF"/>
        </w:rPr>
        <w:t>[图片预留：硬件连接细节照片。建议拍摄摄像头接口、屏幕排线、供电和网络连接。]</w:t>
      </w:r>
    </w:p>
    <w:p w14:paraId="2227E8B8">
      <w:pPr>
        <w:jc w:val="center"/>
      </w:pPr>
      <w:r>
        <w:t>图3-3 硬件连接与结构安装图</w:t>
      </w:r>
    </w:p>
    <w:p w14:paraId="24374F6B">
      <w:pPr>
        <w:pStyle w:val="4"/>
      </w:pPr>
      <w:r>
        <w:t>3.2.2 软件系统成果</w:t>
      </w:r>
    </w:p>
    <w:p w14:paraId="660D9F3D">
      <w:r>
        <w:t>软件工程采用 C++17 和 CMake 组织，主程序由摄像头采集、视频编码、AI调度、MQTT通信、屏幕显示和Web推流等线程协同运行。工程中将平台能力封装为 CameraDevice、ImageProcessor、GestureModel、PoseModel、CupModel、MppEncoder、WebStreamer、MqttClient 和 DisplayDevice 等模块，便于后续替换SDK实现或扩展新模型。</w:t>
      </w:r>
    </w:p>
    <w:p w14:paraId="0E5C6775">
      <w:r>
        <w:t>当前软件成果的重点不是“能跑一个demo”，而是形成可调试、可观察、可扩展的系统工程。主程序支持 RV_PREPROCESS_MODE 在 RGA/OpenCV 预处理后端之间切换；支持 RV_FORCE_AI_RUNNING 直接进入运行状态，便于比赛现场绕过手势启动环节进行快速演示；支持 --display-only 单独测试 ST7789/LVGL 屏幕，便于硬件联调。</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26"/>
        <w:gridCol w:w="3623"/>
        <w:gridCol w:w="3373"/>
      </w:tblGrid>
      <w:tr w14:paraId="4CA7DF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shd w:val="clear" w:color="auto" w:fill="EAF2F8"/>
          </w:tcPr>
          <w:p w14:paraId="6890C6B1">
            <w:pPr>
              <w:spacing w:after="0"/>
            </w:pPr>
            <w:r>
              <w:rPr>
                <w:b/>
              </w:rPr>
              <w:t>软件模块</w:t>
            </w:r>
          </w:p>
        </w:tc>
        <w:tc>
          <w:tcPr>
            <w:tcW w:w="5000" w:type="dxa"/>
            <w:shd w:val="clear" w:color="auto" w:fill="EAF2F8"/>
          </w:tcPr>
          <w:p w14:paraId="2E189942">
            <w:pPr>
              <w:spacing w:after="0"/>
            </w:pPr>
            <w:r>
              <w:rPr>
                <w:b/>
              </w:rPr>
              <w:t>实现内容</w:t>
            </w:r>
          </w:p>
        </w:tc>
        <w:tc>
          <w:tcPr>
            <w:tcW w:w="3800" w:type="dxa"/>
            <w:shd w:val="clear" w:color="auto" w:fill="EAF2F8"/>
          </w:tcPr>
          <w:p w14:paraId="44DBA78E">
            <w:pPr>
              <w:spacing w:after="0"/>
            </w:pPr>
            <w:r>
              <w:rPr>
                <w:b/>
              </w:rPr>
              <w:t>当前工程文件/能力</w:t>
            </w:r>
          </w:p>
        </w:tc>
      </w:tr>
      <w:tr w14:paraId="411A6A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5150FC3C">
            <w:pPr>
              <w:spacing w:after="0"/>
            </w:pPr>
            <w:r>
              <w:t>主控状态机</w:t>
            </w:r>
          </w:p>
        </w:tc>
        <w:tc>
          <w:tcPr>
            <w:tcW w:w="5000" w:type="dxa"/>
          </w:tcPr>
          <w:p w14:paraId="65A64855">
            <w:pPr>
              <w:spacing w:after="0"/>
            </w:pPr>
            <w:r>
              <w:t>Idle/Running 状态切换、手势事件、提醒状态融合</w:t>
            </w:r>
          </w:p>
        </w:tc>
        <w:tc>
          <w:tcPr>
            <w:tcW w:w="3800" w:type="dxa"/>
          </w:tcPr>
          <w:p w14:paraId="3E556619">
            <w:pPr>
              <w:spacing w:after="0"/>
            </w:pPr>
            <w:r>
              <w:t>src/App.cpp、include/App.hpp</w:t>
            </w:r>
          </w:p>
        </w:tc>
      </w:tr>
      <w:tr w14:paraId="3A1B66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45041C3C">
            <w:pPr>
              <w:spacing w:after="0"/>
            </w:pPr>
            <w:r>
              <w:t>图像预处理</w:t>
            </w:r>
          </w:p>
        </w:tc>
        <w:tc>
          <w:tcPr>
            <w:tcW w:w="5000" w:type="dxa"/>
          </w:tcPr>
          <w:p w14:paraId="346F36B2">
            <w:pPr>
              <w:spacing w:after="0"/>
            </w:pPr>
            <w:r>
              <w:t>按不同模型生成 224×224 或 640×640 输入，并保留坐标映射</w:t>
            </w:r>
          </w:p>
        </w:tc>
        <w:tc>
          <w:tcPr>
            <w:tcW w:w="3800" w:type="dxa"/>
          </w:tcPr>
          <w:p w14:paraId="317D0545">
            <w:pPr>
              <w:spacing w:after="0"/>
            </w:pPr>
            <w:r>
              <w:t>src/VideoPipeline.cpp、PreprocessTransform</w:t>
            </w:r>
          </w:p>
        </w:tc>
      </w:tr>
      <w:tr w14:paraId="17DC3B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578CCC18">
            <w:pPr>
              <w:spacing w:after="0"/>
            </w:pPr>
            <w:r>
              <w:t>AI模型封装</w:t>
            </w:r>
          </w:p>
        </w:tc>
        <w:tc>
          <w:tcPr>
            <w:tcW w:w="5000" w:type="dxa"/>
          </w:tcPr>
          <w:p w14:paraId="4B40F762">
            <w:pPr>
              <w:spacing w:after="0"/>
            </w:pPr>
            <w:r>
              <w:t>RKNN加载、输入输出管理、手势/姿态/饮品后处理</w:t>
            </w:r>
          </w:p>
        </w:tc>
        <w:tc>
          <w:tcPr>
            <w:tcW w:w="3800" w:type="dxa"/>
          </w:tcPr>
          <w:p w14:paraId="012EAC25">
            <w:pPr>
              <w:spacing w:after="0"/>
            </w:pPr>
            <w:r>
              <w:t>src/RknnModel.cpp、src/GestureModel.cpp、src/PerceptionModules.cpp</w:t>
            </w:r>
          </w:p>
        </w:tc>
      </w:tr>
      <w:tr w14:paraId="66541A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0E7E82BF">
            <w:pPr>
              <w:spacing w:after="0"/>
            </w:pPr>
            <w:r>
              <w:t>本地显示</w:t>
            </w:r>
          </w:p>
        </w:tc>
        <w:tc>
          <w:tcPr>
            <w:tcW w:w="5000" w:type="dxa"/>
          </w:tcPr>
          <w:p w14:paraId="4DF09B91">
            <w:pPr>
              <w:spacing w:after="0"/>
            </w:pPr>
            <w:r>
              <w:t>LVGL动态界面，支持待机、运行、提醒、手势反馈</w:t>
            </w:r>
          </w:p>
        </w:tc>
        <w:tc>
          <w:tcPr>
            <w:tcW w:w="3800" w:type="dxa"/>
          </w:tcPr>
          <w:p w14:paraId="1B8433A0">
            <w:pPr>
              <w:spacing w:after="0"/>
            </w:pPr>
            <w:r>
              <w:t>src/DisplayDevice.cpp</w:t>
            </w:r>
          </w:p>
        </w:tc>
      </w:tr>
      <w:tr w14:paraId="19822F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295AACA2">
            <w:pPr>
              <w:spacing w:after="0"/>
            </w:pPr>
            <w:r>
              <w:t>视频输出</w:t>
            </w:r>
          </w:p>
        </w:tc>
        <w:tc>
          <w:tcPr>
            <w:tcW w:w="5000" w:type="dxa"/>
          </w:tcPr>
          <w:p w14:paraId="74A4EA1B">
            <w:pPr>
              <w:spacing w:after="0"/>
            </w:pPr>
            <w:r>
              <w:t>MPP H.264 编码、HTTP-FLV 输出、RTSP relay转换</w:t>
            </w:r>
          </w:p>
        </w:tc>
        <w:tc>
          <w:tcPr>
            <w:tcW w:w="3800" w:type="dxa"/>
          </w:tcPr>
          <w:p w14:paraId="464127DA">
            <w:pPr>
              <w:spacing w:after="0"/>
            </w:pPr>
            <w:r>
              <w:t>src/WebStreamer.cpp、tools/rtsp_relay.cpp</w:t>
            </w:r>
          </w:p>
        </w:tc>
      </w:tr>
      <w:tr w14:paraId="3947A0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200" w:type="dxa"/>
          </w:tcPr>
          <w:p w14:paraId="48C9D2B1">
            <w:pPr>
              <w:spacing w:after="0"/>
            </w:pPr>
            <w:r>
              <w:t>通信同步</w:t>
            </w:r>
          </w:p>
        </w:tc>
        <w:tc>
          <w:tcPr>
            <w:tcW w:w="5000" w:type="dxa"/>
          </w:tcPr>
          <w:p w14:paraId="7456246D">
            <w:pPr>
              <w:spacing w:after="0"/>
            </w:pPr>
            <w:r>
              <w:t>MQTT状态、事件和遥测发布</w:t>
            </w:r>
          </w:p>
        </w:tc>
        <w:tc>
          <w:tcPr>
            <w:tcW w:w="3800" w:type="dxa"/>
          </w:tcPr>
          <w:p w14:paraId="1D8A6C96">
            <w:pPr>
              <w:spacing w:after="0"/>
            </w:pPr>
            <w:r>
              <w:t>src/MqttClient.cpp</w:t>
            </w:r>
          </w:p>
        </w:tc>
      </w:tr>
    </w:tbl>
    <w:p w14:paraId="2E5F2940">
      <w:pPr>
        <w:rPr>
          <w:color w:val="0000FF"/>
        </w:rPr>
      </w:pPr>
      <w:r>
        <w:rPr>
          <w:i/>
          <w:color w:val="0000FF"/>
        </w:rPr>
        <w:t>[图片预留：软件运行终端截图。建议包含模型加载、HTTP-FLV监听、MQTT连接、Perf日志等关键信息。]</w:t>
      </w:r>
    </w:p>
    <w:p w14:paraId="0EA7BA3E">
      <w:pPr>
        <w:jc w:val="center"/>
      </w:pPr>
      <w:r>
        <w:t>图3-4 软件运行日志与状态输出图</w:t>
      </w:r>
    </w:p>
    <w:p w14:paraId="7E11ECF7">
      <w:pPr>
        <w:pStyle w:val="4"/>
      </w:pPr>
      <w:r>
        <w:t>3.2.3 AI识别与业务成果</w:t>
      </w:r>
    </w:p>
    <w:p w14:paraId="15E2E75C">
      <w:r>
        <w:t>AI部分接入三类视觉能力：手势识别用于无接触启停和确认交互，姿态估计用于人体关键点和坐姿提醒，饮品检测用于杯/瓶位置识别并参与饮水判断。三类模型的输入尺寸、运行频率和后处理方式不同，工程中采用统一调度、分模型预处理和分任务后处理的方式组织。</w:t>
      </w:r>
    </w:p>
    <w:p w14:paraId="1343BC08">
      <w:r>
        <w:t>手势模型默认路径为 model/yolov5_gesture_rv1126b.rknn，输入尺寸为 224×224，当前阈值为 0.60，业务上稳定支持 Start、Stop、Confirm 和 Rock。姿态模型默认路径为 model/yolov8n-pose-rv1126b-i8.rknn，输入尺寸为 640×640，输出人体框和17个关键点。饮品检测当前主程序默认使用 COCO profile，对 bottle、wine_glass、cup 等类别进行筛选，同时工程中保留 model/bottle_rv1126b_i8.rknn 作为杯/瓶专项模型切换方案。</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434"/>
        <w:gridCol w:w="3838"/>
        <w:gridCol w:w="3250"/>
      </w:tblGrid>
      <w:tr w14:paraId="3C1E41C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000" w:type="dxa"/>
            <w:shd w:val="clear" w:color="auto" w:fill="EAF2F8"/>
          </w:tcPr>
          <w:p w14:paraId="5B14CD96">
            <w:pPr>
              <w:spacing w:after="0"/>
            </w:pPr>
            <w:r>
              <w:rPr>
                <w:b/>
              </w:rPr>
              <w:t>AI任务</w:t>
            </w:r>
          </w:p>
        </w:tc>
        <w:tc>
          <w:tcPr>
            <w:tcW w:w="5300" w:type="dxa"/>
            <w:shd w:val="clear" w:color="auto" w:fill="EAF2F8"/>
          </w:tcPr>
          <w:p w14:paraId="6D3F0AAD">
            <w:pPr>
              <w:spacing w:after="0"/>
            </w:pPr>
            <w:r>
              <w:rPr>
                <w:b/>
              </w:rPr>
              <w:t>当前配置</w:t>
            </w:r>
          </w:p>
        </w:tc>
        <w:tc>
          <w:tcPr>
            <w:tcW w:w="3700" w:type="dxa"/>
            <w:shd w:val="clear" w:color="auto" w:fill="EAF2F8"/>
          </w:tcPr>
          <w:p w14:paraId="2000340F">
            <w:pPr>
              <w:spacing w:after="0"/>
            </w:pPr>
            <w:r>
              <w:rPr>
                <w:b/>
              </w:rPr>
              <w:t>业务作用</w:t>
            </w:r>
          </w:p>
        </w:tc>
      </w:tr>
      <w:tr w14:paraId="3F3CC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000" w:type="dxa"/>
          </w:tcPr>
          <w:p w14:paraId="67635FB9">
            <w:pPr>
              <w:spacing w:after="0"/>
            </w:pPr>
            <w:r>
              <w:t>手势识别</w:t>
            </w:r>
          </w:p>
        </w:tc>
        <w:tc>
          <w:tcPr>
            <w:tcW w:w="5300" w:type="dxa"/>
          </w:tcPr>
          <w:p w14:paraId="06FF9E98">
            <w:pPr>
              <w:spacing w:after="0"/>
            </w:pPr>
            <w:r>
              <w:t>224×224；阈值0.60；300ms调度；稳定2次触发；冷却1500ms</w:t>
            </w:r>
          </w:p>
        </w:tc>
        <w:tc>
          <w:tcPr>
            <w:tcW w:w="3700" w:type="dxa"/>
          </w:tcPr>
          <w:p w14:paraId="29279130">
            <w:pPr>
              <w:spacing w:after="0"/>
            </w:pPr>
            <w:r>
              <w:t>Start/Stop/Confirm/Rock 无接触交互</w:t>
            </w:r>
          </w:p>
        </w:tc>
      </w:tr>
      <w:tr w14:paraId="51BBF1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000" w:type="dxa"/>
          </w:tcPr>
          <w:p w14:paraId="204ACDB5">
            <w:pPr>
              <w:spacing w:after="0"/>
            </w:pPr>
            <w:r>
              <w:t>姿态估计</w:t>
            </w:r>
          </w:p>
        </w:tc>
        <w:tc>
          <w:tcPr>
            <w:tcW w:w="5300" w:type="dxa"/>
          </w:tcPr>
          <w:p w14:paraId="7FD694EE">
            <w:pPr>
              <w:spacing w:after="0"/>
            </w:pPr>
            <w:r>
              <w:t>640×640；17关键点；150ms调度；关键点阈值0.35</w:t>
            </w:r>
          </w:p>
        </w:tc>
        <w:tc>
          <w:tcPr>
            <w:tcW w:w="3700" w:type="dxa"/>
          </w:tcPr>
          <w:p w14:paraId="099B59D2">
            <w:pPr>
              <w:spacing w:after="0"/>
            </w:pPr>
            <w:r>
              <w:t>人体定位、坐姿提醒、饮水头部点参考</w:t>
            </w:r>
          </w:p>
        </w:tc>
      </w:tr>
      <w:tr w14:paraId="631FDE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000" w:type="dxa"/>
          </w:tcPr>
          <w:p w14:paraId="00840A1A">
            <w:pPr>
              <w:spacing w:after="0"/>
            </w:pPr>
            <w:r>
              <w:t>饮品检测</w:t>
            </w:r>
          </w:p>
        </w:tc>
        <w:tc>
          <w:tcPr>
            <w:tcW w:w="5300" w:type="dxa"/>
          </w:tcPr>
          <w:p w14:paraId="4988E792">
            <w:pPr>
              <w:spacing w:after="0"/>
            </w:pPr>
            <w:r>
              <w:t>640×640；500ms调度；COCO杯/瓶类别或专项bottle模型</w:t>
            </w:r>
          </w:p>
        </w:tc>
        <w:tc>
          <w:tcPr>
            <w:tcW w:w="3700" w:type="dxa"/>
          </w:tcPr>
          <w:p w14:paraId="456A2D39">
            <w:pPr>
              <w:spacing w:after="0"/>
            </w:pPr>
            <w:r>
              <w:t>杯/瓶定位，参与饮水动作和提醒判断</w:t>
            </w:r>
          </w:p>
        </w:tc>
      </w:tr>
      <w:tr w14:paraId="1E7CB4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000" w:type="dxa"/>
          </w:tcPr>
          <w:p w14:paraId="6C19300E">
            <w:pPr>
              <w:spacing w:after="0"/>
            </w:pPr>
            <w:r>
              <w:t>状态融合</w:t>
            </w:r>
          </w:p>
        </w:tc>
        <w:tc>
          <w:tcPr>
            <w:tcW w:w="5300" w:type="dxa"/>
          </w:tcPr>
          <w:p w14:paraId="4F547F2A">
            <w:pPr>
              <w:spacing w:after="0"/>
            </w:pPr>
            <w:r>
              <w:t>连续命中、距离阈值、定时提醒、确认反馈联合判断</w:t>
            </w:r>
          </w:p>
        </w:tc>
        <w:tc>
          <w:tcPr>
            <w:tcW w:w="3700" w:type="dxa"/>
          </w:tcPr>
          <w:p w14:paraId="35DAF8DB">
            <w:pPr>
              <w:spacing w:after="0"/>
            </w:pPr>
            <w:r>
              <w:t>减少误触发，形成桌面健康提醒闭环</w:t>
            </w:r>
          </w:p>
        </w:tc>
      </w:tr>
    </w:tbl>
    <w:p w14:paraId="68295721">
      <w:pPr>
        <w:rPr>
          <w:color w:val="0000FF"/>
        </w:rPr>
      </w:pPr>
      <w:r>
        <w:rPr>
          <w:i/>
          <w:color w:val="0000FF"/>
        </w:rPr>
        <w:t>[图片预留：AI识别效果截图。建议展示视频画面上的人体框、杯/瓶框、关键点或状态文字。]</w:t>
      </w:r>
    </w:p>
    <w:p w14:paraId="77C1647C">
      <w:pPr>
        <w:jc w:val="center"/>
      </w:pPr>
      <w:r>
        <w:t>图3-5 AI识别与视频叠加效果图</w:t>
      </w:r>
    </w:p>
    <w:p w14:paraId="374402C2">
      <w:pPr>
        <w:pStyle w:val="4"/>
      </w:pPr>
      <w:r>
        <w:t>3.2.4 本地语音提醒成果</w:t>
      </w:r>
    </w:p>
    <w:p w14:paraId="7B5AC897">
      <w:r>
        <w:t>在原有屏幕显示、视频预览和 MQTT 状态同步之外，系统新增本地语音提醒链路。语音文件放置于 audio_record/posture.wav 和 audio_record/drink.wav，运行时由独立音频线程调用 ALSA aplay 播放，避免阻塞摄像头采集、AI 推理和显示刷新。</w:t>
      </w:r>
    </w:p>
    <w:p w14:paraId="0701D6DE">
      <w:r>
        <w:t>坐姿提醒采用防抖与冷却机制：当姿态状态连续判定为 BadAlert 达到 3 秒后播放“端正坐姿”语音；若用户持续保持异常坐姿，则 60 秒内不重复播报；当连续恢复正常坐姿约 5 秒后，系统重新进入可提醒状态。该机制降低了瞬时误检和频繁播报对用户体验的影响。</w:t>
      </w:r>
    </w:p>
    <w:p w14:paraId="1BE9D962">
      <w:r>
        <w:t>喝水提醒复用现有喝水计时器，默认按照定时到点触发“喝水”语音；若视觉链路检测到 DrinkDetected 或用户通过 Confirm 手势确认提醒，计时器会重置。调试阶段可通过 RV_DRINK_TIMER_INTERVAL_MS、RV_POSTURE_AUDIO_CONFIRM_MS、RV_POSTURE_AUDIO_COOLDOWN_MS 等环境变量缩短触发间隔，便于现场快速验证。</w:t>
      </w:r>
    </w:p>
    <w:p w14:paraId="233C72BD">
      <w:r>
        <w:t>音频播放默认使用 ALSA default 设备，而不是直接指定 plughw:0,0。实测中 default 路径能保留系统默认采样率转换和混音处理，使短语音提示的速度和音色更接近原始录音；必要时仍可通过 RV_AUDIO_DEVICE 环境变量切换播放设备。</w:t>
      </w:r>
    </w:p>
    <w:p w14:paraId="0570FE8B">
      <w:pPr>
        <w:pStyle w:val="3"/>
      </w:pPr>
      <w:r>
        <w:t>3.3 功能测试完成情况</w:t>
      </w:r>
    </w:p>
    <w:p w14:paraId="1691A431">
      <w:r>
        <w:t>本项目功能测试围绕现场演示最容易被评委关注的闭环展开：能否启动检测、能否识别提醒、能否在本地屏幕反馈、能否在上位机看到视频、能否输出状态消息。测试结果建议结合现场照片、日志截图和短视频记录补充。</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779"/>
        <w:gridCol w:w="2762"/>
        <w:gridCol w:w="2809"/>
        <w:gridCol w:w="1172"/>
      </w:tblGrid>
      <w:tr w14:paraId="464F32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shd w:val="clear" w:color="auto" w:fill="EAF2F8"/>
          </w:tcPr>
          <w:p w14:paraId="48915954">
            <w:pPr>
              <w:spacing w:after="0"/>
            </w:pPr>
            <w:r>
              <w:rPr>
                <w:b/>
              </w:rPr>
              <w:t>测试项</w:t>
            </w:r>
          </w:p>
        </w:tc>
        <w:tc>
          <w:tcPr>
            <w:tcW w:w="4000" w:type="dxa"/>
            <w:shd w:val="clear" w:color="auto" w:fill="EAF2F8"/>
          </w:tcPr>
          <w:p w14:paraId="4E2B16D0">
            <w:pPr>
              <w:spacing w:after="0"/>
            </w:pPr>
            <w:r>
              <w:rPr>
                <w:b/>
              </w:rPr>
              <w:t>测试方法</w:t>
            </w:r>
          </w:p>
        </w:tc>
        <w:tc>
          <w:tcPr>
            <w:tcW w:w="4200" w:type="dxa"/>
            <w:shd w:val="clear" w:color="auto" w:fill="EAF2F8"/>
          </w:tcPr>
          <w:p w14:paraId="39B67A7A">
            <w:pPr>
              <w:spacing w:after="0"/>
            </w:pPr>
            <w:r>
              <w:rPr>
                <w:b/>
              </w:rPr>
              <w:t>预期结果</w:t>
            </w:r>
          </w:p>
        </w:tc>
        <w:tc>
          <w:tcPr>
            <w:tcW w:w="1700" w:type="dxa"/>
            <w:shd w:val="clear" w:color="auto" w:fill="EAF2F8"/>
          </w:tcPr>
          <w:p w14:paraId="210B2A15">
            <w:pPr>
              <w:spacing w:after="0"/>
            </w:pPr>
            <w:r>
              <w:rPr>
                <w:b/>
              </w:rPr>
              <w:t>当前结论</w:t>
            </w:r>
          </w:p>
        </w:tc>
      </w:tr>
      <w:tr w14:paraId="7B7F85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51E2C8E2">
            <w:pPr>
              <w:spacing w:after="0"/>
            </w:pPr>
            <w:r>
              <w:t>启动与待机</w:t>
            </w:r>
          </w:p>
        </w:tc>
        <w:tc>
          <w:tcPr>
            <w:tcW w:w="4000" w:type="dxa"/>
          </w:tcPr>
          <w:p w14:paraId="4F0B9E93">
            <w:pPr>
              <w:spacing w:after="0"/>
            </w:pPr>
            <w:r>
              <w:t>上电运行主程序，未触发Start前观察屏幕和日志</w:t>
            </w:r>
          </w:p>
        </w:tc>
        <w:tc>
          <w:tcPr>
            <w:tcW w:w="4200" w:type="dxa"/>
          </w:tcPr>
          <w:p w14:paraId="014D430A">
            <w:pPr>
              <w:spacing w:after="0"/>
            </w:pPr>
            <w:r>
              <w:t>系统进入Idle，屏幕显示待机界面，等待手势或强制运行</w:t>
            </w:r>
          </w:p>
        </w:tc>
        <w:tc>
          <w:tcPr>
            <w:tcW w:w="1700" w:type="dxa"/>
          </w:tcPr>
          <w:p w14:paraId="43E8712D">
            <w:pPr>
              <w:spacing w:after="0"/>
            </w:pPr>
            <w:r>
              <w:t>已具备</w:t>
            </w:r>
          </w:p>
        </w:tc>
      </w:tr>
      <w:tr w14:paraId="2FC8F1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56AE95C2">
            <w:pPr>
              <w:spacing w:after="0"/>
            </w:pPr>
            <w:r>
              <w:t>Start/Stop手势</w:t>
            </w:r>
          </w:p>
        </w:tc>
        <w:tc>
          <w:tcPr>
            <w:tcW w:w="4000" w:type="dxa"/>
          </w:tcPr>
          <w:p w14:paraId="51BEFD55">
            <w:pPr>
              <w:spacing w:after="0"/>
            </w:pPr>
            <w:r>
              <w:t>在摄像头前做启动/停止手势，观察状态切换</w:t>
            </w:r>
          </w:p>
        </w:tc>
        <w:tc>
          <w:tcPr>
            <w:tcW w:w="4200" w:type="dxa"/>
          </w:tcPr>
          <w:p w14:paraId="4FC2B8B3">
            <w:pPr>
              <w:spacing w:after="0"/>
            </w:pPr>
            <w:r>
              <w:t>Start进入Running，Stop回到Idle，并触发本地显示和MQTT事件</w:t>
            </w:r>
          </w:p>
        </w:tc>
        <w:tc>
          <w:tcPr>
            <w:tcW w:w="1700" w:type="dxa"/>
          </w:tcPr>
          <w:p w14:paraId="0E18645A">
            <w:pPr>
              <w:spacing w:after="0"/>
            </w:pPr>
            <w:r>
              <w:t>已具备</w:t>
            </w:r>
          </w:p>
        </w:tc>
      </w:tr>
      <w:tr w14:paraId="12F3B0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090F83EF">
            <w:pPr>
              <w:spacing w:after="0"/>
            </w:pPr>
            <w:r>
              <w:t>Confirm/Rock反馈</w:t>
            </w:r>
          </w:p>
        </w:tc>
        <w:tc>
          <w:tcPr>
            <w:tcW w:w="4000" w:type="dxa"/>
          </w:tcPr>
          <w:p w14:paraId="5F84ECA2">
            <w:pPr>
              <w:spacing w:after="0"/>
            </w:pPr>
            <w:r>
              <w:t>触发确认或互动手势，观察屏幕临时表情</w:t>
            </w:r>
          </w:p>
        </w:tc>
        <w:tc>
          <w:tcPr>
            <w:tcW w:w="4200" w:type="dxa"/>
          </w:tcPr>
          <w:p w14:paraId="52CC1103">
            <w:pPr>
              <w:spacing w:after="0"/>
            </w:pPr>
            <w:r>
              <w:t>Confirm显示约3秒，Rock显示约20秒，并发布对应事件</w:t>
            </w:r>
          </w:p>
        </w:tc>
        <w:tc>
          <w:tcPr>
            <w:tcW w:w="1700" w:type="dxa"/>
          </w:tcPr>
          <w:p w14:paraId="0F17E3BE">
            <w:pPr>
              <w:spacing w:after="0"/>
            </w:pPr>
            <w:r>
              <w:t>已具备</w:t>
            </w:r>
          </w:p>
        </w:tc>
      </w:tr>
      <w:tr w14:paraId="578D80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19CF1681">
            <w:pPr>
              <w:spacing w:after="0"/>
            </w:pPr>
            <w:r>
              <w:t>坐姿提醒</w:t>
            </w:r>
          </w:p>
        </w:tc>
        <w:tc>
          <w:tcPr>
            <w:tcW w:w="4000" w:type="dxa"/>
          </w:tcPr>
          <w:p w14:paraId="01145666">
            <w:pPr>
              <w:spacing w:after="0"/>
            </w:pPr>
            <w:r>
              <w:t>模拟低头、前伸或异常坐姿，观察状态输出</w:t>
            </w:r>
          </w:p>
        </w:tc>
        <w:tc>
          <w:tcPr>
            <w:tcW w:w="4200" w:type="dxa"/>
          </w:tcPr>
          <w:p w14:paraId="483BA897">
            <w:pPr>
              <w:spacing w:after="0"/>
            </w:pPr>
            <w:r>
              <w:t>姿态异常时进入 bad_alert，并在屏幕和消息中提示</w:t>
            </w:r>
          </w:p>
        </w:tc>
        <w:tc>
          <w:tcPr>
            <w:tcW w:w="1700" w:type="dxa"/>
          </w:tcPr>
          <w:p w14:paraId="79BDE6F4">
            <w:pPr>
              <w:spacing w:after="0"/>
            </w:pPr>
            <w:r>
              <w:t>已接入，</w:t>
            </w:r>
            <w:r>
              <w:rPr>
                <w:color w:val="0000FF"/>
              </w:rPr>
              <w:t>建议补充实测截图</w:t>
            </w:r>
          </w:p>
        </w:tc>
      </w:tr>
      <w:tr w14:paraId="79BB17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65DC3A97">
            <w:pPr>
              <w:spacing w:after="0"/>
            </w:pPr>
            <w:r>
              <w:t>饮水提醒</w:t>
            </w:r>
          </w:p>
        </w:tc>
        <w:tc>
          <w:tcPr>
            <w:tcW w:w="4000" w:type="dxa"/>
          </w:tcPr>
          <w:p w14:paraId="1A4E5181">
            <w:pPr>
              <w:spacing w:after="0"/>
            </w:pPr>
            <w:r>
              <w:t>放置杯/瓶并测试靠近头部动作，同时验证定时提醒</w:t>
            </w:r>
          </w:p>
        </w:tc>
        <w:tc>
          <w:tcPr>
            <w:tcW w:w="4200" w:type="dxa"/>
          </w:tcPr>
          <w:p w14:paraId="488C968B">
            <w:pPr>
              <w:spacing w:after="0"/>
            </w:pPr>
            <w:r>
              <w:t>检测饮水动作可重置提醒；到达提醒间隔后进入 NeedRemind</w:t>
            </w:r>
          </w:p>
        </w:tc>
        <w:tc>
          <w:tcPr>
            <w:tcW w:w="1700" w:type="dxa"/>
          </w:tcPr>
          <w:p w14:paraId="4266F792">
            <w:pPr>
              <w:spacing w:after="0"/>
            </w:pPr>
            <w:r>
              <w:t>已接入，</w:t>
            </w:r>
            <w:r>
              <w:rPr>
                <w:color w:val="0000FF"/>
              </w:rPr>
              <w:t>建议补充实测记录</w:t>
            </w:r>
          </w:p>
        </w:tc>
      </w:tr>
      <w:tr w14:paraId="0031F5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77A62269">
            <w:pPr>
              <w:spacing w:after="0"/>
            </w:pPr>
            <w:r>
              <w:t>视频查看</w:t>
            </w:r>
          </w:p>
        </w:tc>
        <w:tc>
          <w:tcPr>
            <w:tcW w:w="4000" w:type="dxa"/>
          </w:tcPr>
          <w:p w14:paraId="310D74CB">
            <w:pPr>
              <w:spacing w:after="0"/>
            </w:pPr>
            <w:r>
              <w:t>访问 http://板端IP:8080/live.flv 或通过 RTSP relay 用 VLC 查看</w:t>
            </w:r>
          </w:p>
        </w:tc>
        <w:tc>
          <w:tcPr>
            <w:tcW w:w="4200" w:type="dxa"/>
          </w:tcPr>
          <w:p w14:paraId="606F3439">
            <w:pPr>
              <w:spacing w:after="0"/>
            </w:pPr>
            <w:r>
              <w:t>上位机可看到带状态叠加的视频流</w:t>
            </w:r>
          </w:p>
        </w:tc>
        <w:tc>
          <w:tcPr>
            <w:tcW w:w="1700" w:type="dxa"/>
          </w:tcPr>
          <w:p w14:paraId="3A856614">
            <w:pPr>
              <w:spacing w:after="0"/>
            </w:pPr>
            <w:r>
              <w:t>已具备</w:t>
            </w:r>
          </w:p>
        </w:tc>
      </w:tr>
      <w:tr w14:paraId="475279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7D3800AB">
            <w:pPr>
              <w:spacing w:after="0"/>
            </w:pPr>
            <w:r>
              <w:t>MQTT同步</w:t>
            </w:r>
          </w:p>
        </w:tc>
        <w:tc>
          <w:tcPr>
            <w:tcW w:w="4000" w:type="dxa"/>
          </w:tcPr>
          <w:p w14:paraId="0B33064C">
            <w:pPr>
              <w:spacing w:after="0"/>
            </w:pPr>
            <w:r>
              <w:t>订阅 rv1126b 相关主题，观察状态、事件和遥测</w:t>
            </w:r>
          </w:p>
        </w:tc>
        <w:tc>
          <w:tcPr>
            <w:tcW w:w="4200" w:type="dxa"/>
          </w:tcPr>
          <w:p w14:paraId="2E0FBBB8">
            <w:pPr>
              <w:spacing w:after="0"/>
            </w:pPr>
            <w:r>
              <w:t>可接收运行状态、手势事件、提醒事件和遥测数据</w:t>
            </w:r>
          </w:p>
        </w:tc>
        <w:tc>
          <w:tcPr>
            <w:tcW w:w="1700" w:type="dxa"/>
          </w:tcPr>
          <w:p w14:paraId="2F7FE334">
            <w:pPr>
              <w:spacing w:after="0"/>
            </w:pPr>
            <w:r>
              <w:t>已具备</w:t>
            </w:r>
          </w:p>
        </w:tc>
      </w:tr>
    </w:tbl>
    <w:p w14:paraId="3CE69CB8">
      <w:r>
        <w:t>新增语音提醒测试项包括：单独执行 aplay -D default audio_record/posture.wav 和 aplay -D default audio_record/drink.wav 验证音频链路；使用 RV_DRINK_TIMER_INTERVAL_MS=15000 快速验证喝水定时提醒；使用 RV_POSTURE_AUDIO_CONFIRM_MS=2000 和 RV_POSTURE_AUDIO_COOLDOWN_MS=10000 快速验证坏坐姿连续触发、冷却抑制和恢复后的再次提醒。</w:t>
      </w:r>
    </w:p>
    <w:p w14:paraId="7D9C3D65">
      <w:pPr>
        <w:rPr>
          <w:color w:val="0000FF"/>
        </w:rPr>
      </w:pPr>
      <w:r>
        <w:rPr>
          <w:i/>
          <w:color w:val="0000FF"/>
        </w:rPr>
        <w:t>[图片预留：功能测试照片组。建议按“手势启动、坐姿提醒、饮水提醒、VLC视频、MQTT消息”排版。]</w:t>
      </w:r>
    </w:p>
    <w:p w14:paraId="29109DD0">
      <w:pPr>
        <w:jc w:val="center"/>
      </w:pPr>
      <w:r>
        <w:t>图3-6 功能测试过程与结果展示图</w:t>
      </w:r>
    </w:p>
    <w:p w14:paraId="6D9DABD6">
      <w:pPr>
        <w:pStyle w:val="3"/>
      </w:pPr>
      <w:r>
        <w:t>3.4 性能参数与运行指标</w:t>
      </w:r>
    </w:p>
    <w:p w14:paraId="1C953CB2">
      <w:r>
        <w:t>系统性能参数分为“当前配置参数”和“实测运行指标”两类。配置参数来自当前工程代码，能够直接说明作品的运行方式；实测运行指标建议在最终提交前通过现场日志补齐，尤其是摄像头帧率、AI调度频率、各模型推理耗时、视频编码耗时和端到端显示延迟。当前工程已内置 Perf 日志，能够周期性输出 camera_fps、encoder_fps、ai_hz、ai_total_ms、ai_preprocess_ms、gesture_ms、pose_ms、cup_ms、overlay_ms、mpp_ms 和 display_ms 等指标。</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92"/>
        <w:gridCol w:w="381"/>
        <w:gridCol w:w="2995"/>
        <w:gridCol w:w="837"/>
        <w:gridCol w:w="2317"/>
      </w:tblGrid>
      <w:tr w14:paraId="5B5388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shd w:val="clear" w:color="auto" w:fill="EAF2F8"/>
          </w:tcPr>
          <w:p w14:paraId="58C95BE7">
            <w:pPr>
              <w:spacing w:after="0"/>
            </w:pPr>
            <w:r>
              <w:rPr>
                <w:b/>
              </w:rPr>
              <w:t>参数类别</w:t>
            </w:r>
          </w:p>
        </w:tc>
        <w:tc>
          <w:tcPr>
            <w:tcW w:w="3376" w:type="dxa"/>
            <w:gridSpan w:val="2"/>
            <w:shd w:val="clear" w:color="auto" w:fill="EAF2F8"/>
          </w:tcPr>
          <w:p w14:paraId="2051AC19">
            <w:pPr>
              <w:spacing w:after="0"/>
            </w:pPr>
            <w:r>
              <w:rPr>
                <w:b/>
              </w:rPr>
              <w:t>当前值/方式</w:t>
            </w:r>
          </w:p>
        </w:tc>
        <w:tc>
          <w:tcPr>
            <w:tcW w:w="3154" w:type="dxa"/>
            <w:gridSpan w:val="2"/>
            <w:shd w:val="clear" w:color="auto" w:fill="EAF2F8"/>
          </w:tcPr>
          <w:p w14:paraId="2040C7E3">
            <w:pPr>
              <w:spacing w:after="0"/>
            </w:pPr>
            <w:r>
              <w:rPr>
                <w:b/>
              </w:rPr>
              <w:t>说明</w:t>
            </w:r>
          </w:p>
        </w:tc>
      </w:tr>
      <w:tr w14:paraId="350729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1F77C51D">
            <w:pPr>
              <w:spacing w:after="0"/>
            </w:pPr>
            <w:r>
              <w:t>摄像头输入</w:t>
            </w:r>
          </w:p>
        </w:tc>
        <w:tc>
          <w:tcPr>
            <w:tcW w:w="3376" w:type="dxa"/>
            <w:gridSpan w:val="2"/>
          </w:tcPr>
          <w:p w14:paraId="071B4931">
            <w:pPr>
              <w:spacing w:after="0"/>
            </w:pPr>
            <w:r>
              <w:t>640×480，目标25fps，默认/dev/video23</w:t>
            </w:r>
          </w:p>
        </w:tc>
        <w:tc>
          <w:tcPr>
            <w:tcW w:w="3154" w:type="dxa"/>
            <w:gridSpan w:val="2"/>
          </w:tcPr>
          <w:p w14:paraId="58F15676">
            <w:pPr>
              <w:spacing w:after="0"/>
            </w:pPr>
            <w:r>
              <w:t>作为三路AI模型和视频输出的统一源</w:t>
            </w:r>
          </w:p>
        </w:tc>
      </w:tr>
      <w:tr w14:paraId="3622C5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51015BCC">
            <w:pPr>
              <w:spacing w:after="0"/>
            </w:pPr>
            <w:r>
              <w:t>视频编码</w:t>
            </w:r>
          </w:p>
        </w:tc>
        <w:tc>
          <w:tcPr>
            <w:tcW w:w="3376" w:type="dxa"/>
            <w:gridSpan w:val="2"/>
          </w:tcPr>
          <w:p w14:paraId="4CEF5C8C">
            <w:pPr>
              <w:spacing w:after="0"/>
            </w:pPr>
            <w:r>
              <w:t>H.264，码率2048kbps，GOP=30</w:t>
            </w:r>
          </w:p>
        </w:tc>
        <w:tc>
          <w:tcPr>
            <w:tcW w:w="3154" w:type="dxa"/>
            <w:gridSpan w:val="2"/>
          </w:tcPr>
          <w:p w14:paraId="6FFA6F70">
            <w:pPr>
              <w:spacing w:after="0"/>
            </w:pPr>
            <w:r>
              <w:t>用于HTTP-FLV/RTSP查看，兼顾带宽和画面质量</w:t>
            </w:r>
          </w:p>
        </w:tc>
      </w:tr>
      <w:tr w14:paraId="510516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49377C89">
            <w:pPr>
              <w:spacing w:after="0"/>
            </w:pPr>
            <w:r>
              <w:t>本地显示</w:t>
            </w:r>
          </w:p>
        </w:tc>
        <w:tc>
          <w:tcPr>
            <w:tcW w:w="3376" w:type="dxa"/>
            <w:gridSpan w:val="2"/>
          </w:tcPr>
          <w:p w14:paraId="7BAED40D">
            <w:pPr>
              <w:spacing w:after="0"/>
            </w:pPr>
            <w:r>
              <w:t>ST7789 240×240，LVGL，刷新周期20ms</w:t>
            </w:r>
          </w:p>
        </w:tc>
        <w:tc>
          <w:tcPr>
            <w:tcW w:w="3154" w:type="dxa"/>
            <w:gridSpan w:val="2"/>
          </w:tcPr>
          <w:p w14:paraId="49B20792">
            <w:pPr>
              <w:spacing w:after="0"/>
            </w:pPr>
            <w:r>
              <w:t>用于脱离上位机的状态反馈</w:t>
            </w:r>
          </w:p>
        </w:tc>
      </w:tr>
      <w:tr w14:paraId="434AD0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6204366D">
            <w:pPr>
              <w:spacing w:after="0"/>
            </w:pPr>
            <w:r>
              <w:t>HTTP-FLV</w:t>
            </w:r>
          </w:p>
        </w:tc>
        <w:tc>
          <w:tcPr>
            <w:tcW w:w="3376" w:type="dxa"/>
            <w:gridSpan w:val="2"/>
          </w:tcPr>
          <w:p w14:paraId="4F1C3506">
            <w:pPr>
              <w:spacing w:after="0"/>
            </w:pPr>
            <w:r>
              <w:t>端口8080，路径/live.flv</w:t>
            </w:r>
          </w:p>
        </w:tc>
        <w:tc>
          <w:tcPr>
            <w:tcW w:w="3154" w:type="dxa"/>
            <w:gridSpan w:val="2"/>
          </w:tcPr>
          <w:p w14:paraId="3E66CD4C">
            <w:pPr>
              <w:spacing w:after="0"/>
            </w:pPr>
            <w:r>
              <w:t>浏览器或relay工具可直接访问</w:t>
            </w:r>
          </w:p>
        </w:tc>
      </w:tr>
      <w:tr w14:paraId="410459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72CC4356">
            <w:pPr>
              <w:spacing w:after="0"/>
            </w:pPr>
            <w:r>
              <w:t>RTSP relay</w:t>
            </w:r>
          </w:p>
        </w:tc>
        <w:tc>
          <w:tcPr>
            <w:tcW w:w="3376" w:type="dxa"/>
            <w:gridSpan w:val="2"/>
          </w:tcPr>
          <w:p w14:paraId="795FE6D3">
            <w:pPr>
              <w:spacing w:after="0"/>
            </w:pPr>
            <w:r>
              <w:t>默认端口8554，挂载/live</w:t>
            </w:r>
          </w:p>
        </w:tc>
        <w:tc>
          <w:tcPr>
            <w:tcW w:w="3154" w:type="dxa"/>
            <w:gridSpan w:val="2"/>
          </w:tcPr>
          <w:p w14:paraId="6BEF4AAC">
            <w:pPr>
              <w:spacing w:after="0"/>
            </w:pPr>
            <w:r>
              <w:t>便于VLC现场查看</w:t>
            </w:r>
          </w:p>
        </w:tc>
      </w:tr>
      <w:tr w14:paraId="0FDAA19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7F9E855F">
            <w:pPr>
              <w:spacing w:after="0"/>
            </w:pPr>
            <w:r>
              <w:t>MQTT</w:t>
            </w:r>
          </w:p>
        </w:tc>
        <w:tc>
          <w:tcPr>
            <w:tcW w:w="3376" w:type="dxa"/>
            <w:gridSpan w:val="2"/>
          </w:tcPr>
          <w:p w14:paraId="7DF4A9B3">
            <w:pPr>
              <w:spacing w:after="0"/>
            </w:pPr>
            <w:r>
              <w:t>host=192.168.137.1，port=1884，base topic=rv1126b</w:t>
            </w:r>
          </w:p>
        </w:tc>
        <w:tc>
          <w:tcPr>
            <w:tcW w:w="3154" w:type="dxa"/>
            <w:gridSpan w:val="2"/>
          </w:tcPr>
          <w:p w14:paraId="5883590F">
            <w:pPr>
              <w:spacing w:after="0"/>
            </w:pPr>
            <w:r>
              <w:t>同步状态、事件和遥测数据</w:t>
            </w:r>
          </w:p>
        </w:tc>
      </w:tr>
      <w:tr w14:paraId="347EDB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992" w:type="dxa"/>
          </w:tcPr>
          <w:p w14:paraId="79588995">
            <w:pPr>
              <w:spacing w:after="0"/>
            </w:pPr>
            <w:r>
              <w:t>饮水定时提醒</w:t>
            </w:r>
          </w:p>
        </w:tc>
        <w:tc>
          <w:tcPr>
            <w:tcW w:w="3376" w:type="dxa"/>
            <w:gridSpan w:val="2"/>
          </w:tcPr>
          <w:p w14:paraId="226CF968">
            <w:pPr>
              <w:spacing w:after="0"/>
            </w:pPr>
            <w:r>
              <w:t>首次间隔</w:t>
            </w:r>
            <w:r>
              <w:rPr>
                <w:rFonts w:hint="eastAsia"/>
                <w:lang w:val="en-US" w:eastAsia="zh-CN"/>
              </w:rPr>
              <w:t>30</w:t>
            </w:r>
            <w:r>
              <w:t>分钟，重复间隔5分钟</w:t>
            </w:r>
          </w:p>
        </w:tc>
        <w:tc>
          <w:tcPr>
            <w:tcW w:w="3154" w:type="dxa"/>
            <w:gridSpan w:val="2"/>
          </w:tcPr>
          <w:p w14:paraId="447AF1E4">
            <w:pPr>
              <w:spacing w:after="0"/>
            </w:pPr>
            <w:r>
              <w:t>与视觉饮水检测共同决定NeedRemind状态</w:t>
            </w:r>
          </w:p>
        </w:tc>
      </w:tr>
      <w:tr w14:paraId="41D29C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shd w:val="clear" w:color="auto" w:fill="EAF2F8"/>
          </w:tcPr>
          <w:p w14:paraId="182D6D8E">
            <w:pPr>
              <w:spacing w:after="0"/>
            </w:pPr>
            <w:r>
              <w:rPr>
                <w:b/>
              </w:rPr>
              <w:t>实测指标</w:t>
            </w:r>
          </w:p>
        </w:tc>
        <w:tc>
          <w:tcPr>
            <w:tcW w:w="3832" w:type="dxa"/>
            <w:gridSpan w:val="2"/>
            <w:shd w:val="clear" w:color="auto" w:fill="EAF2F8"/>
          </w:tcPr>
          <w:p w14:paraId="53C7F048">
            <w:pPr>
              <w:spacing w:after="0"/>
            </w:pPr>
            <w:r>
              <w:rPr>
                <w:b/>
              </w:rPr>
              <w:t>记录方式</w:t>
            </w:r>
          </w:p>
        </w:tc>
        <w:tc>
          <w:tcPr>
            <w:tcW w:w="2317" w:type="dxa"/>
            <w:shd w:val="clear" w:color="auto" w:fill="EAF2F8"/>
          </w:tcPr>
          <w:p w14:paraId="3D49B54B">
            <w:pPr>
              <w:spacing w:after="0"/>
            </w:pPr>
            <w:r>
              <w:rPr>
                <w:b/>
              </w:rPr>
              <w:t>实测结果</w:t>
            </w:r>
          </w:p>
        </w:tc>
      </w:tr>
      <w:tr w14:paraId="6C29E6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0277B8B5">
            <w:pPr>
              <w:spacing w:after="0"/>
            </w:pPr>
            <w:r>
              <w:t>camera_fps</w:t>
            </w:r>
          </w:p>
        </w:tc>
        <w:tc>
          <w:tcPr>
            <w:tcW w:w="3832" w:type="dxa"/>
            <w:gridSpan w:val="2"/>
          </w:tcPr>
          <w:p w14:paraId="4480AF80">
            <w:pPr>
              <w:spacing w:after="0"/>
            </w:pPr>
            <w:r>
              <w:t>读取 [Perf] 日志中的 camera_fps</w:t>
            </w:r>
          </w:p>
        </w:tc>
        <w:tc>
          <w:tcPr>
            <w:tcW w:w="2317" w:type="dxa"/>
          </w:tcPr>
          <w:p w14:paraId="025B19BC">
            <w:pPr>
              <w:spacing w:after="0"/>
              <w:rPr>
                <w:rFonts w:hint="default" w:eastAsiaTheme="minorEastAsia"/>
                <w:lang w:val="en-US" w:eastAsia="zh-CN"/>
              </w:rPr>
            </w:pPr>
            <w:r>
              <w:rPr>
                <w:rFonts w:hint="eastAsia"/>
                <w:lang w:val="en-US" w:eastAsia="zh-CN"/>
              </w:rPr>
              <w:t>30fps</w:t>
            </w:r>
          </w:p>
        </w:tc>
      </w:tr>
      <w:tr w14:paraId="5047DA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44B319C6">
            <w:pPr>
              <w:spacing w:after="0"/>
            </w:pPr>
            <w:r>
              <w:t>encoder_fps</w:t>
            </w:r>
          </w:p>
        </w:tc>
        <w:tc>
          <w:tcPr>
            <w:tcW w:w="3832" w:type="dxa"/>
            <w:gridSpan w:val="2"/>
          </w:tcPr>
          <w:p w14:paraId="61685F48">
            <w:pPr>
              <w:spacing w:after="0"/>
            </w:pPr>
            <w:r>
              <w:t>读取 [Perf] 日志中的 encoder_fps</w:t>
            </w:r>
          </w:p>
        </w:tc>
        <w:tc>
          <w:tcPr>
            <w:tcW w:w="2317" w:type="dxa"/>
          </w:tcPr>
          <w:p w14:paraId="0ACC9203">
            <w:pPr>
              <w:spacing w:after="0"/>
              <w:rPr>
                <w:rFonts w:hint="default" w:eastAsiaTheme="minorEastAsia"/>
                <w:lang w:val="en-US" w:eastAsia="zh-CN"/>
              </w:rPr>
            </w:pPr>
            <w:r>
              <w:rPr>
                <w:rFonts w:hint="eastAsia"/>
                <w:lang w:val="en-US" w:eastAsia="zh-CN"/>
              </w:rPr>
              <w:t>30fps</w:t>
            </w:r>
          </w:p>
        </w:tc>
      </w:tr>
      <w:tr w14:paraId="30E215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6559FA70">
            <w:pPr>
              <w:spacing w:after="0"/>
            </w:pPr>
            <w:r>
              <w:t>AI调度频率 ai_hz</w:t>
            </w:r>
          </w:p>
        </w:tc>
        <w:tc>
          <w:tcPr>
            <w:tcW w:w="3832" w:type="dxa"/>
            <w:gridSpan w:val="2"/>
          </w:tcPr>
          <w:p w14:paraId="5F09CD79">
            <w:pPr>
              <w:spacing w:after="0"/>
            </w:pPr>
            <w:r>
              <w:t>读取 [Perf] 日志中的 ai_hz</w:t>
            </w:r>
          </w:p>
        </w:tc>
        <w:tc>
          <w:tcPr>
            <w:tcW w:w="2317" w:type="dxa"/>
          </w:tcPr>
          <w:p w14:paraId="584D5E11">
            <w:pPr>
              <w:spacing w:after="0"/>
              <w:rPr>
                <w:rFonts w:hint="default" w:eastAsiaTheme="minorEastAsia"/>
                <w:lang w:val="en-US" w:eastAsia="zh-CN"/>
              </w:rPr>
            </w:pPr>
            <w:r>
              <w:rPr>
                <w:rFonts w:hint="eastAsia"/>
                <w:lang w:val="en-US" w:eastAsia="zh-CN"/>
              </w:rPr>
              <w:t>9fps</w:t>
            </w:r>
          </w:p>
        </w:tc>
      </w:tr>
      <w:tr w14:paraId="5CFF4A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7DFCF6B2">
            <w:pPr>
              <w:spacing w:after="0"/>
            </w:pPr>
            <w:r>
              <w:t>手势/姿态/饮品推理耗时</w:t>
            </w:r>
          </w:p>
        </w:tc>
        <w:tc>
          <w:tcPr>
            <w:tcW w:w="3832" w:type="dxa"/>
            <w:gridSpan w:val="2"/>
          </w:tcPr>
          <w:p w14:paraId="1B84AE94">
            <w:pPr>
              <w:spacing w:after="0"/>
            </w:pPr>
            <w:r>
              <w:t>记录 gesture_ms、pose_ms、cup_ms 的 avg/min/max</w:t>
            </w:r>
          </w:p>
        </w:tc>
        <w:tc>
          <w:tcPr>
            <w:tcW w:w="2317" w:type="dxa"/>
          </w:tcPr>
          <w:p w14:paraId="02553824">
            <w:pPr>
              <w:spacing w:after="0"/>
              <w:rPr>
                <w:rFonts w:hint="default" w:eastAsiaTheme="minorEastAsia"/>
                <w:lang w:val="en-US" w:eastAsia="zh-CN"/>
              </w:rPr>
            </w:pPr>
            <w:r>
              <w:rPr>
                <w:rFonts w:hint="eastAsia"/>
                <w:lang w:val="en-US" w:eastAsia="zh-CN"/>
              </w:rPr>
              <w:t>40ms</w:t>
            </w:r>
          </w:p>
        </w:tc>
      </w:tr>
      <w:tr w14:paraId="2C810F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59BB31A7">
            <w:pPr>
              <w:spacing w:after="0"/>
            </w:pPr>
            <w:r>
              <w:t>视频叠加与编码耗时</w:t>
            </w:r>
          </w:p>
        </w:tc>
        <w:tc>
          <w:tcPr>
            <w:tcW w:w="3832" w:type="dxa"/>
            <w:gridSpan w:val="2"/>
          </w:tcPr>
          <w:p w14:paraId="299B70FE">
            <w:pPr>
              <w:spacing w:after="0"/>
            </w:pPr>
            <w:r>
              <w:t>记录 overlay_ms 和 mpp_ms</w:t>
            </w:r>
          </w:p>
        </w:tc>
        <w:tc>
          <w:tcPr>
            <w:tcW w:w="2317" w:type="dxa"/>
          </w:tcPr>
          <w:p w14:paraId="4EC668EA">
            <w:pPr>
              <w:spacing w:after="0"/>
              <w:rPr>
                <w:rFonts w:hint="default" w:eastAsiaTheme="minorEastAsia"/>
                <w:lang w:val="en-US" w:eastAsia="zh-CN"/>
              </w:rPr>
            </w:pPr>
            <w:r>
              <w:rPr>
                <w:rFonts w:hint="eastAsia"/>
                <w:lang w:val="en-US" w:eastAsia="zh-CN"/>
              </w:rPr>
              <w:t>0.1ms 4.4ms</w:t>
            </w:r>
          </w:p>
        </w:tc>
      </w:tr>
      <w:tr w14:paraId="79AAA4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373" w:type="dxa"/>
            <w:gridSpan w:val="2"/>
          </w:tcPr>
          <w:p w14:paraId="2F2F5546">
            <w:pPr>
              <w:spacing w:after="0"/>
            </w:pPr>
            <w:r>
              <w:t>本地显示耗时</w:t>
            </w:r>
          </w:p>
        </w:tc>
        <w:tc>
          <w:tcPr>
            <w:tcW w:w="3832" w:type="dxa"/>
            <w:gridSpan w:val="2"/>
          </w:tcPr>
          <w:p w14:paraId="74211F7E">
            <w:pPr>
              <w:spacing w:after="0"/>
            </w:pPr>
            <w:r>
              <w:t>记录 display_ms，观察界面切换是否卡顿</w:t>
            </w:r>
          </w:p>
        </w:tc>
        <w:tc>
          <w:tcPr>
            <w:tcW w:w="2317" w:type="dxa"/>
          </w:tcPr>
          <w:p w14:paraId="6F1ABB29">
            <w:pPr>
              <w:spacing w:after="0"/>
              <w:rPr>
                <w:rFonts w:hint="default" w:eastAsiaTheme="minorEastAsia"/>
                <w:lang w:val="en-US" w:eastAsia="zh-CN"/>
              </w:rPr>
            </w:pPr>
            <w:r>
              <w:rPr>
                <w:rFonts w:hint="eastAsia"/>
                <w:lang w:val="en-US" w:eastAsia="zh-CN"/>
              </w:rPr>
              <w:t>1.4ms</w:t>
            </w:r>
          </w:p>
        </w:tc>
      </w:tr>
    </w:tbl>
    <w:p w14:paraId="50C0BCD1">
      <w:pPr>
        <w:rPr>
          <w:color w:val="0000FF"/>
        </w:rPr>
      </w:pPr>
      <w:r>
        <w:rPr>
          <w:i/>
          <w:color w:val="0000FF"/>
        </w:rPr>
        <w:t>[图片预留：性能日志截图。建议截取包含 [Perf] 的终端输出，并在图下注明测试环境。]</w:t>
      </w:r>
    </w:p>
    <w:p w14:paraId="7C846C70">
      <w:pPr>
        <w:jc w:val="center"/>
      </w:pPr>
      <w:r>
        <w:t>图3-7 性能日志与运行指标截图</w:t>
      </w:r>
    </w:p>
    <w:p w14:paraId="7A660469">
      <w:pPr>
        <w:pStyle w:val="3"/>
      </w:pPr>
      <w:r>
        <w:t>3.5 现场演示与评审关注点</w:t>
      </w:r>
    </w:p>
    <w:p w14:paraId="31B133F7">
      <w:r>
        <w:t>为了让评委快速理解作品价值，现场演示建议按照“端侧运行能力—多模型识别—状态融合—多端反馈”的顺序展开。首先展示系统上电后本地屏幕进入待机或运行界面；随后通过Start手势进入检测状态，再依次展示坐姿异常提醒、杯/瓶检测和饮水提醒；最后打开VLC或浏览器视频流，并展示MQTT订阅消息，说明系统不是离线截图，而是在端侧持续运行。</w:t>
      </w:r>
    </w:p>
    <w:p w14:paraId="07454981">
      <w:r>
        <w:t>本作品的展示重点应放在工程闭环和嵌入式实现难点上：模型在RV1126B端侧运行，三类视觉任务共用摄像头输入但采用不同预处理尺寸；业务层通过稳定计数、触发冷却、释放锁和连续命中机制降低误触发；本地屏幕、视频流和MQTT共同构成可观察的反馈链路。这些内容比单独展示识别准确率更能体现全国嵌入式大赛所重视的系统设计、平台适配和现场可运行能力。</w:t>
      </w:r>
    </w:p>
    <w:tbl>
      <w:tblPr>
        <w:tblStyle w:val="11"/>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605"/>
        <w:gridCol w:w="3983"/>
        <w:gridCol w:w="2934"/>
      </w:tblGrid>
      <w:tr w14:paraId="133352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shd w:val="clear" w:color="auto" w:fill="EAF2F8"/>
          </w:tcPr>
          <w:p w14:paraId="770B5ED3">
            <w:pPr>
              <w:spacing w:after="0"/>
            </w:pPr>
            <w:r>
              <w:rPr>
                <w:b/>
              </w:rPr>
              <w:t>演示步骤</w:t>
            </w:r>
          </w:p>
        </w:tc>
        <w:tc>
          <w:tcPr>
            <w:tcW w:w="5000" w:type="dxa"/>
            <w:shd w:val="clear" w:color="auto" w:fill="EAF2F8"/>
          </w:tcPr>
          <w:p w14:paraId="5FB945DB">
            <w:pPr>
              <w:spacing w:after="0"/>
            </w:pPr>
            <w:r>
              <w:rPr>
                <w:b/>
              </w:rPr>
              <w:t>建议展示内容</w:t>
            </w:r>
          </w:p>
        </w:tc>
        <w:tc>
          <w:tcPr>
            <w:tcW w:w="3900" w:type="dxa"/>
            <w:shd w:val="clear" w:color="auto" w:fill="EAF2F8"/>
          </w:tcPr>
          <w:p w14:paraId="1BBFFE7B">
            <w:pPr>
              <w:spacing w:after="0"/>
            </w:pPr>
            <w:r>
              <w:rPr>
                <w:b/>
              </w:rPr>
              <w:t>评委可观察点</w:t>
            </w:r>
          </w:p>
        </w:tc>
      </w:tr>
      <w:tr w14:paraId="2FA64E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50802380">
            <w:pPr>
              <w:spacing w:after="0"/>
            </w:pPr>
            <w:r>
              <w:t>1. 系统启动</w:t>
            </w:r>
          </w:p>
        </w:tc>
        <w:tc>
          <w:tcPr>
            <w:tcW w:w="5000" w:type="dxa"/>
          </w:tcPr>
          <w:p w14:paraId="3B1D97D6">
            <w:pPr>
              <w:spacing w:after="0"/>
            </w:pPr>
            <w:r>
              <w:t>展示终端日志、待机屏幕和摄像头画面</w:t>
            </w:r>
          </w:p>
        </w:tc>
        <w:tc>
          <w:tcPr>
            <w:tcW w:w="3900" w:type="dxa"/>
          </w:tcPr>
          <w:p w14:paraId="2F99E648">
            <w:pPr>
              <w:spacing w:after="0"/>
            </w:pPr>
            <w:r>
              <w:t>端侧程序可独立运行，硬件连接完整</w:t>
            </w:r>
          </w:p>
        </w:tc>
      </w:tr>
      <w:tr w14:paraId="354AD2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3457D030">
            <w:pPr>
              <w:spacing w:after="0"/>
            </w:pPr>
            <w:r>
              <w:t>2. 手势交互</w:t>
            </w:r>
          </w:p>
        </w:tc>
        <w:tc>
          <w:tcPr>
            <w:tcW w:w="5000" w:type="dxa"/>
          </w:tcPr>
          <w:p w14:paraId="3071F94D">
            <w:pPr>
              <w:spacing w:after="0"/>
            </w:pPr>
            <w:r>
              <w:t>Start进入运行、Stop返回待机、Confirm/Rock触发反馈</w:t>
            </w:r>
          </w:p>
        </w:tc>
        <w:tc>
          <w:tcPr>
            <w:tcW w:w="3900" w:type="dxa"/>
          </w:tcPr>
          <w:p w14:paraId="29868AD6">
            <w:pPr>
              <w:spacing w:after="0"/>
            </w:pPr>
            <w:r>
              <w:t>非接触控制和状态机稳定性</w:t>
            </w:r>
          </w:p>
        </w:tc>
      </w:tr>
      <w:tr w14:paraId="0AC6A3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6A0D6CF5">
            <w:pPr>
              <w:spacing w:after="0"/>
            </w:pPr>
            <w:r>
              <w:t>3. 坐姿提醒</w:t>
            </w:r>
          </w:p>
        </w:tc>
        <w:tc>
          <w:tcPr>
            <w:tcW w:w="5000" w:type="dxa"/>
          </w:tcPr>
          <w:p w14:paraId="01D74E71">
            <w:pPr>
              <w:spacing w:after="0"/>
            </w:pPr>
            <w:r>
              <w:t>模拟异常坐姿，观察屏幕和视频状态</w:t>
            </w:r>
          </w:p>
        </w:tc>
        <w:tc>
          <w:tcPr>
            <w:tcW w:w="3900" w:type="dxa"/>
          </w:tcPr>
          <w:p w14:paraId="0647EACA">
            <w:pPr>
              <w:spacing w:after="0"/>
            </w:pPr>
            <w:r>
              <w:t>姿态关键点参与业务判断</w:t>
            </w:r>
          </w:p>
        </w:tc>
      </w:tr>
      <w:tr w14:paraId="64E9B3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3E402E51">
            <w:pPr>
              <w:spacing w:after="0"/>
            </w:pPr>
            <w:r>
              <w:t>4. 饮水提醒</w:t>
            </w:r>
          </w:p>
        </w:tc>
        <w:tc>
          <w:tcPr>
            <w:tcW w:w="5000" w:type="dxa"/>
          </w:tcPr>
          <w:p w14:paraId="662FD9CC">
            <w:pPr>
              <w:spacing w:after="0"/>
            </w:pPr>
            <w:r>
              <w:t>展示杯/瓶检测、饮水动作或定时提醒</w:t>
            </w:r>
          </w:p>
        </w:tc>
        <w:tc>
          <w:tcPr>
            <w:tcW w:w="3900" w:type="dxa"/>
          </w:tcPr>
          <w:p w14:paraId="7D0A3D99">
            <w:pPr>
              <w:spacing w:after="0"/>
            </w:pPr>
            <w:r>
              <w:t>视觉判断和定时机制结合</w:t>
            </w:r>
          </w:p>
        </w:tc>
      </w:tr>
      <w:tr w14:paraId="182795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2100" w:type="dxa"/>
          </w:tcPr>
          <w:p w14:paraId="4BC8F07B">
            <w:pPr>
              <w:spacing w:after="0"/>
            </w:pPr>
            <w:r>
              <w:t>5. 多端反馈</w:t>
            </w:r>
          </w:p>
        </w:tc>
        <w:tc>
          <w:tcPr>
            <w:tcW w:w="5000" w:type="dxa"/>
          </w:tcPr>
          <w:p w14:paraId="3DD72302">
            <w:pPr>
              <w:spacing w:after="0"/>
            </w:pPr>
            <w:r>
              <w:t>VLC/HTTP-FLV视频、MQTT消息、本地屏幕同步展示</w:t>
            </w:r>
          </w:p>
        </w:tc>
        <w:tc>
          <w:tcPr>
            <w:tcW w:w="3900" w:type="dxa"/>
          </w:tcPr>
          <w:p w14:paraId="2417BBB1">
            <w:pPr>
              <w:spacing w:after="0"/>
            </w:pPr>
            <w:r>
              <w:t>系统闭环、可观测性和工程完成度</w:t>
            </w:r>
          </w:p>
        </w:tc>
      </w:tr>
    </w:tbl>
    <w:p w14:paraId="75F3CBC8">
      <w:pPr>
        <w:rPr>
          <w:color w:val="0000FF"/>
        </w:rPr>
      </w:pPr>
      <w:r>
        <w:rPr>
          <w:i/>
          <w:color w:val="0000FF"/>
        </w:rPr>
        <w:t>[图片预留：现场演示组合图。建议将本地屏幕、VLC画面和MQTT订阅窗口放在同一组图中。]</w:t>
      </w:r>
    </w:p>
    <w:p w14:paraId="4E0DCC33">
      <w:pPr>
        <w:jc w:val="center"/>
      </w:pPr>
      <w:r>
        <w:t>图3-8 现场演示与多端反馈效果图</w:t>
      </w:r>
    </w:p>
    <w:p w14:paraId="58A3DA38">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20F77175">
      <w:pPr>
        <w:pStyle w:val="15"/>
        <w:numPr>
          <w:ilvl w:val="0"/>
          <w:numId w:val="3"/>
        </w:numPr>
        <w:spacing w:line="360" w:lineRule="auto"/>
        <w:ind w:firstLineChars="0"/>
        <w:rPr>
          <w:rFonts w:ascii="Times New Roman" w:hAnsi="Times New Roman" w:eastAsia="宋体" w:cs="Times New Roman"/>
          <w:vanish/>
          <w:sz w:val="24"/>
        </w:rPr>
      </w:pPr>
    </w:p>
    <w:p w14:paraId="4FC86A8C">
      <w:pPr>
        <w:pStyle w:val="15"/>
        <w:numPr>
          <w:ilvl w:val="0"/>
          <w:numId w:val="3"/>
        </w:numPr>
        <w:spacing w:line="360" w:lineRule="auto"/>
        <w:ind w:firstLineChars="0"/>
        <w:rPr>
          <w:rFonts w:ascii="Times New Roman" w:hAnsi="Times New Roman" w:eastAsia="宋体" w:cs="Times New Roman"/>
          <w:vanish/>
          <w:sz w:val="24"/>
        </w:rPr>
      </w:pPr>
    </w:p>
    <w:p w14:paraId="56AC5CEB">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14:paraId="2D30C4C9">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本作品后续可从以下方向扩展：</w:t>
      </w:r>
    </w:p>
    <w:p w14:paraId="0F37C0F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一是扩展模型能力，在现有手势、姿态和饮品检测基础上增加疲劳检测、离座检测、视距估计和更多坐姿类别；</w:t>
      </w:r>
    </w:p>
    <w:p w14:paraId="7B67F076">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二是扩展硬件交互，加入蜂鸣器、语音播报、触摸按键或更大尺寸屏幕；</w:t>
      </w:r>
    </w:p>
    <w:p w14:paraId="2DB38D43">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三是扩展数据服务，通过 MQTT 接入上位机或服务器进行长期习惯统计，但不替代本地 AI 推理；</w:t>
      </w:r>
    </w:p>
    <w:p w14:paraId="22DA4BA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四是完善结构产品化设计，增加固定支架、外壳和摄像头角度调节；</w:t>
      </w:r>
    </w:p>
    <w:p w14:paraId="7C26DAAC">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五是继续优化端侧性能，包括模型量化、推理调度、后处理和日志等级管理，并适配教室、自习室、办公工位等更多桌面环境。</w:t>
      </w:r>
    </w:p>
    <w:p w14:paraId="0E881B58">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14:paraId="489751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开发过程中可以明显看到，端侧AI系统并不是把模型文件放到板端运行即可。一个可演示、可维护的作品需要同时打通摄像头采集、图像预处理、RKNN/NPU推理、模型后处理、业务状态判断、本地显示、视频推流和通信同步等环节。本项目围绕RV1126B平台，将手势识别、姿态估计和饮品检测接入同一条运行链路，再通过App状态机把模型输出转化为启停控制、坐姿提醒、饮水判断和多端反馈，研发重点逐渐从“模型是否能跑”转向“系统是否能形成闭环”。</w:t>
      </w:r>
    </w:p>
    <w:p w14:paraId="53D902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模型部署和后处理是本项目中较关键的经验。手势模型、姿态模型和饮品检测模型的输入尺寸、输出含义和业务用途不同，不能只按统一模板处理。图像预处理需要为不同模型生成224×224或640×640输入，并记录坐标映射关系，便于人体框、关键点和杯/瓶框反算到原始画面。</w:t>
      </w:r>
    </w:p>
    <w:p w14:paraId="053A9C7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嵌入式联调还暴露出许多模型之外的问题。摄像头/dev/video23可能被旧进程占用，RTSP relay的8554 端口也可能因为旧进程未退出而无法重新绑定</w:t>
      </w:r>
      <w:r>
        <w:rPr>
          <w:rFonts w:hint="eastAsia" w:ascii="Times New Roman" w:hAnsi="Times New Roman" w:eastAsia="宋体"/>
          <w:sz w:val="21"/>
          <w:lang w:eastAsia="zh-CN"/>
        </w:rPr>
        <w:t>。</w:t>
      </w:r>
      <w:r>
        <w:rPr>
          <w:rFonts w:ascii="Times New Roman" w:hAnsi="Times New Roman" w:eastAsia="宋体"/>
          <w:sz w:val="21"/>
        </w:rPr>
        <w:t>状态机和交互体验决定了系统是否适合现场演示和实际使用。手势识别如果只依赖单帧结果，容易出现误触发或重复触发，因此当前系统加入稳定计数、触发冷却和释放锁机制；Start/Stop用于切换运行状态，Confirm和Rock更偏向提醒确认和互动反馈。饮水提醒也不是简单检测到杯子就报警，而是结合头部关键点、杯/瓶位置、归一化距离、连续命中次数和定时提醒进行综合判断。本地ST7789屏幕、HTTP-FLV/RTSP视频查看和MQTT状态同步共同提高了系统可观察性。</w:t>
      </w:r>
    </w:p>
    <w:p w14:paraId="04655DF5">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0EF33DB1">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按照标准格式，限20篇以内。</w:t>
      </w:r>
    </w:p>
    <w:p w14:paraId="5C9140C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第五部分  参考文献</w:t>
      </w:r>
    </w:p>
    <w:p w14:paraId="2FF0A85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 Rockchip Electronics Co., Ltd. RV1126B Datasheet: Rev. 1.1[R/OL]. 2025-04-28[2026-07-03].</w:t>
      </w:r>
    </w:p>
    <w:p w14:paraId="61CC130A">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[2] Rockchip. RKNN-Toolkit2[EB/OL]. [2026-07-03].</w:t>
      </w:r>
    </w:p>
    <w:p w14:paraId="77705A2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[3] Rockchip. Rockchip RKNPU User Guide: RKNN SDK V1.6.0[EB/OL]. [2026-07-03].</w:t>
      </w:r>
    </w:p>
    <w:p w14:paraId="4CA9E9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[4] Linux Kernel Documentation. Video for Linux API[EB/OL]. [2026-07-03].</w:t>
      </w:r>
    </w:p>
    <w:p w14:paraId="6904A8D0">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[5] LVGL. LVGL Documentation[EB/OL]. [2026-07-03].</w:t>
      </w:r>
    </w:p>
    <w:p w14:paraId="278ADDD5">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[6] GStreamer Project. GStreamer Application Development Manual[EB/OL]. [2026-07-03].</w:t>
      </w:r>
    </w:p>
    <w:p w14:paraId="318AB116">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[7] GStreamer Project. GStreamer RTSP Server Documentation[EB/OL]. [2026-07-03].</w:t>
      </w:r>
    </w:p>
    <w:p w14:paraId="6DAC75AD">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[8] OASIS. MQTT Version 3.1.1 Plus Errata 01[EB/OL]. 2014-10-29[2026-07-03].</w:t>
      </w:r>
    </w:p>
    <w:p w14:paraId="4EA8B328">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[9] ITU-T. Recommendation ITU-T H.264: Advanced video coding for generic audiovisual services[S/OL]. 2024-08-13[2026-07-03].</w:t>
      </w:r>
    </w:p>
    <w:p w14:paraId="23017FC1">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[10] Ultralytics. YOLOv5 GitHub Repository[EB/OL]. [2026-07-03].</w:t>
      </w:r>
    </w:p>
    <w:p w14:paraId="4ACAD3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[11] Ultralytics. Ultralytics YOLO Documentation[EB/OL]. [2026-07-03].</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8"/>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7DE7"/>
    <w:multiLevelType w:val="singleLevel"/>
    <w:tmpl w:val="B8B67DE7"/>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EA5AC294"/>
    <w:multiLevelType w:val="singleLevel"/>
    <w:tmpl w:val="EA5AC294"/>
    <w:lvl w:ilvl="0" w:tentative="0">
      <w:start w:val="1"/>
      <w:numFmt w:val="decimal"/>
      <w:pStyle w:val="5"/>
      <w:lvlText w:val="%1."/>
      <w:lvlJc w:val="left"/>
      <w:pPr>
        <w:tabs>
          <w:tab w:val="left" w:pos="360"/>
        </w:tabs>
        <w:ind w:left="360" w:hanging="360"/>
      </w:pPr>
    </w:lvl>
  </w:abstractNum>
  <w:abstractNum w:abstractNumId="2">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6F15AA5"/>
    <w:rsid w:val="087921F6"/>
    <w:rsid w:val="0B224DC6"/>
    <w:rsid w:val="10BB15FD"/>
    <w:rsid w:val="15735157"/>
    <w:rsid w:val="181F06C4"/>
    <w:rsid w:val="18D21BDA"/>
    <w:rsid w:val="18E02B21"/>
    <w:rsid w:val="1C7F1883"/>
    <w:rsid w:val="1FBF278C"/>
    <w:rsid w:val="23E40A13"/>
    <w:rsid w:val="25441769"/>
    <w:rsid w:val="2B231E21"/>
    <w:rsid w:val="2C2F14BD"/>
    <w:rsid w:val="2D55028C"/>
    <w:rsid w:val="2DF857E7"/>
    <w:rsid w:val="2E9F5C62"/>
    <w:rsid w:val="365F190D"/>
    <w:rsid w:val="383438BF"/>
    <w:rsid w:val="3B765A19"/>
    <w:rsid w:val="3FFB43AD"/>
    <w:rsid w:val="420A5990"/>
    <w:rsid w:val="44E65F41"/>
    <w:rsid w:val="45CF2E79"/>
    <w:rsid w:val="489721C1"/>
    <w:rsid w:val="50BC64BD"/>
    <w:rsid w:val="534053B7"/>
    <w:rsid w:val="539B439B"/>
    <w:rsid w:val="5B227326"/>
    <w:rsid w:val="5E912C90"/>
    <w:rsid w:val="6038228F"/>
    <w:rsid w:val="62DD3E94"/>
    <w:rsid w:val="635A7DCF"/>
    <w:rsid w:val="64ED3905"/>
    <w:rsid w:val="67A05FCC"/>
    <w:rsid w:val="67F73E3E"/>
    <w:rsid w:val="707D347D"/>
    <w:rsid w:val="733F301D"/>
    <w:rsid w:val="741619FD"/>
    <w:rsid w:val="74BD640F"/>
    <w:rsid w:val="75862CA5"/>
    <w:rsid w:val="79C67FF1"/>
    <w:rsid w:val="7ACB06FF"/>
    <w:rsid w:val="7C825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472C4" w:themeColor="accent1"/>
      <w:sz w:val="24"/>
      <w14:textFill>
        <w14:solidFill>
          <w14:schemeClr w14:val="accent1"/>
        </w14:solidFill>
      </w14:textFill>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List Number"/>
    <w:basedOn w:val="1"/>
    <w:semiHidden/>
    <w:unhideWhenUsed/>
    <w:uiPriority w:val="99"/>
    <w:pPr>
      <w:numPr>
        <w:ilvl w:val="0"/>
        <w:numId w:val="1"/>
      </w:numPr>
    </w:pPr>
  </w:style>
  <w:style w:type="paragraph" w:styleId="6">
    <w:name w:val="List Bullet"/>
    <w:basedOn w:val="1"/>
    <w:semiHidden/>
    <w:unhideWhenUsed/>
    <w:uiPriority w:val="99"/>
    <w:pPr>
      <w:numPr>
        <w:ilvl w:val="0"/>
        <w:numId w:val="2"/>
      </w:numPr>
    </w:pPr>
  </w:style>
  <w:style w:type="paragraph" w:styleId="7">
    <w:name w:val="Balloon Text"/>
    <w:basedOn w:val="1"/>
    <w:link w:val="18"/>
    <w:semiHidden/>
    <w:unhideWhenUsed/>
    <w:uiPriority w:val="99"/>
    <w:rPr>
      <w:sz w:val="18"/>
      <w:szCs w:val="18"/>
    </w:rPr>
  </w:style>
  <w:style w:type="paragraph" w:styleId="8">
    <w:name w:val="footer"/>
    <w:basedOn w:val="1"/>
    <w:link w:val="17"/>
    <w:unhideWhenUsed/>
    <w:uiPriority w:val="99"/>
    <w:pPr>
      <w:tabs>
        <w:tab w:val="center" w:pos="4153"/>
        <w:tab w:val="right" w:pos="8306"/>
      </w:tabs>
      <w:snapToGrid w:val="0"/>
      <w:jc w:val="left"/>
    </w:pPr>
    <w:rPr>
      <w:sz w:val="18"/>
      <w:szCs w:val="18"/>
    </w:rPr>
  </w:style>
  <w:style w:type="paragraph" w:styleId="9">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2">
    <w:name w:val="Table Grid"/>
    <w:basedOn w:val="1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标题 1 字符"/>
    <w:basedOn w:val="13"/>
    <w:link w:val="2"/>
    <w:qFormat/>
    <w:uiPriority w:val="9"/>
    <w:rPr>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3"/>
    <w:link w:val="9"/>
    <w:uiPriority w:val="99"/>
    <w:rPr>
      <w:sz w:val="18"/>
      <w:szCs w:val="18"/>
    </w:rPr>
  </w:style>
  <w:style w:type="character" w:customStyle="1" w:styleId="17">
    <w:name w:val="页脚 字符"/>
    <w:basedOn w:val="13"/>
    <w:link w:val="8"/>
    <w:uiPriority w:val="99"/>
    <w:rPr>
      <w:sz w:val="18"/>
      <w:szCs w:val="18"/>
    </w:rPr>
  </w:style>
  <w:style w:type="character" w:customStyle="1" w:styleId="18">
    <w:name w:val="批注框文本 字符"/>
    <w:basedOn w:val="13"/>
    <w:link w:val="7"/>
    <w:semiHidden/>
    <w:uiPriority w:val="99"/>
    <w:rPr>
      <w:sz w:val="18"/>
      <w:szCs w:val="18"/>
    </w:rPr>
  </w:style>
  <w:style w:type="character" w:customStyle="1" w:styleId="19">
    <w:name w:val="标题 2 字符"/>
    <w:basedOn w:val="13"/>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NUL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19</Pages>
  <Words>5837</Words>
  <Characters>6864</Characters>
  <Lines>5</Lines>
  <Paragraphs>1</Paragraphs>
  <TotalTime>2</TotalTime>
  <ScaleCrop>false</ScaleCrop>
  <LinksUpToDate>false</LinksUpToDate>
  <CharactersWithSpaces>7083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长岛冰茶</cp:lastModifiedBy>
  <dcterms:modified xsi:type="dcterms:W3CDTF">2026-07-06T11:18:35Z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eyJoZGlkIjoiOWE4ZTQ4NjE4M2VhMmM4ZTc1Yjk4Y2UwOThhMjA2OGUiLCJ1c2VySWQiOiIxMTIxMjMxODI2In0=</vt:lpwstr>
  </property>
  <property fmtid="{D5CDD505-2E9C-101B-9397-08002B2CF9AE}" pid="5" name="KSOProductBuildVer">
    <vt:lpwstr>2052-12.1.0.26895</vt:lpwstr>
  </property>
  <property fmtid="{D5CDD505-2E9C-101B-9397-08002B2CF9AE}" pid="6" name="ICV">
    <vt:lpwstr>D47593179CEC43B48E125E4EA0FF591C_12</vt:lpwstr>
  </property>
</Properties>
</file>