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1E2761"/>
          <w:sz w:val="30"/>
          <w:szCs w:val="30"/>
        </w:rPr>
        <w:t xml:space="preserve">2. Related Work</w:t>
      </w:r>
    </w:p>
    <w:p>
      <w:pPr>
        <w:pBdr>
          <w:bottom w:val="single" w:color="D8DEEF" w:sz="4" w:space="8"/>
        </w:pBdr>
        <w:spacing w:after="220"/>
      </w:pPr>
      <w:r>
        <w:rPr>
          <w:rFonts w:ascii="Calibri" w:cs="Calibri" w:eastAsia="Calibri" w:hAnsi="Calibri"/>
          <w:i/>
          <w:iCs/>
          <w:color w:val="5A6478"/>
          <w:sz w:val="20"/>
          <w:szCs w:val="20"/>
        </w:rPr>
        <w:t xml:space="preserve">Excerpt — literature review, wearable sensor-based fall detection for elderly care</w:t>
      </w:r>
    </w:p>
    <w:p>
      <w:pPr>
        <w:pStyle w:val="Heading2"/>
        <w:spacing w:after="140" w:before="300"/>
      </w:pPr>
      <w:r>
        <w:rPr>
          <w:rFonts w:ascii="Calibri" w:cs="Calibri" w:eastAsia="Calibri" w:hAnsi="Calibri"/>
          <w:b/>
          <w:bCs/>
          <w:color w:val="1E2761"/>
          <w:sz w:val="24"/>
          <w:szCs w:val="24"/>
        </w:rPr>
        <w:t xml:space="preserve">2.1 Sensor modalities</w:t>
      </w:r>
    </w:p>
    <w:p>
      <w:pPr>
        <w:spacing w:after="200" w:line="300"/>
        <w:jc w:val="both"/>
      </w:pPr>
      <w:r>
        <w:rPr>
          <w:rFonts w:ascii="Calibri" w:cs="Calibri" w:eastAsia="Calibri" w:hAnsi="Calibri"/>
          <w:sz w:val="22"/>
          <w:szCs w:val="22"/>
        </w:rPr>
        <w:t xml:space="preserve">Wearable inertial sensors remain the dominant modality for ambulatory fall detection, owing to their low cost and continuous availability during activities of daily living. Threshold-based accelerometer systems worn at the waist can achieve high sensitivity for high-impact falls, but early implementations suffered elevated false-alarm rates during vigorous non-fall activities such as sitting down quickly [8]. Device-free alternatives have also been explored: Tian et al. showed that a convolutional network applied to RF reflection patterns could detect a fall without requiring the subject to wear any device at all [1], while vision-based systems analysing the motion and shape of the human body over a video stream have reported comparable accuracy in controlled indoor settings, at the cost of requiring fixed camera infrastructure [5].</w:t>
      </w:r>
    </w:p>
    <w:p>
      <w:pPr>
        <w:pStyle w:val="Heading2"/>
        <w:spacing w:after="140" w:before="300"/>
      </w:pPr>
      <w:r>
        <w:rPr>
          <w:rFonts w:ascii="Calibri" w:cs="Calibri" w:eastAsia="Calibri" w:hAnsi="Calibri"/>
          <w:b/>
          <w:bCs/>
          <w:color w:val="1E2761"/>
          <w:sz w:val="24"/>
          <w:szCs w:val="24"/>
        </w:rPr>
        <w:t xml:space="preserve">2.2 Machine learning and deep learning approaches</w:t>
      </w:r>
    </w:p>
    <w:p>
      <w:pPr>
        <w:spacing w:after="200" w:line="300"/>
        <w:jc w:val="both"/>
      </w:pPr>
      <w:r>
        <w:rPr>
          <w:rFonts w:ascii="Calibri" w:cs="Calibri" w:eastAsia="Calibri" w:hAnsi="Calibri"/>
          <w:sz w:val="22"/>
          <w:szCs w:val="22"/>
        </w:rPr>
        <w:t xml:space="preserve">Machine learning approaches applied to wearable-sensor data have moved from simple threshold rules toward learned classifiers capable of distinguishing between fall subtypes rather than treating a fall as a single event class. Kwon et al. proposed an energy-efficient classification scheme that distinguishes forward, backward and lateral falls on a resource-constrained wearable platform [3], and the same forward/backward/lateral distinction was later reused as a benchmark task in a broader comparison of ensemble methods for elderly fall detection [12]. Ensemble and IoT-integrated pipelines have also been proposed to reduce false positives by fusing wearable-sensor output with ambient context before an alert is raised [6]. For clinical subpopulations, Nahar et al. specifically evaluated fall-detection performance for elderly users with neurodegenerative disorders, reporting that gait irregularity in this group substantially increases the false-negative rate of models trained on a general elderly population [2]. Okafor and Delgado extended this line of work with a multimodal inertial–acoustic fusion model that reportedly improved pre-impact prediction lead time to over 900 milliseconds across a cohort of ambulatory elderly participants [9], a result that would represent a meaningful improvement over the sub-500-millisecond lead times typically reported elsewhere in this literature [13].</w:t>
      </w:r>
    </w:p>
    <w:p>
      <w:pPr>
        <w:pStyle w:val="Heading2"/>
        <w:spacing w:after="140" w:before="300"/>
      </w:pPr>
      <w:r>
        <w:rPr>
          <w:rFonts w:ascii="Calibri" w:cs="Calibri" w:eastAsia="Calibri" w:hAnsi="Calibri"/>
          <w:b/>
          <w:bCs/>
          <w:color w:val="1E2761"/>
          <w:sz w:val="24"/>
          <w:szCs w:val="24"/>
        </w:rPr>
        <w:t xml:space="preserve">2.3 Sensor placement and hardware configuration</w:t>
      </w:r>
    </w:p>
    <w:p>
      <w:pPr>
        <w:spacing w:after="200" w:line="300"/>
        <w:jc w:val="both"/>
      </w:pPr>
      <w:r>
        <w:rPr>
          <w:rFonts w:ascii="Calibri" w:cs="Calibri" w:eastAsia="Calibri" w:hAnsi="Calibri"/>
          <w:sz w:val="22"/>
          <w:szCs w:val="22"/>
        </w:rPr>
        <w:t xml:space="preserve">Sensor placement and sampling configuration materially affect downstream classifier performance. Liu et al. examined the impact of accelerometer sampling rate on the accuracy of several machine learning models for fall detection, finding that sampling below 20 Hz noticeably degraded recall for lateral falls while offering only a modest reduction in power consumption [4]. Insole- and footwear-embedded pressure arrays have been proposed as an alternative or complementary placement, with piezoresistive insole systems reportedly achieving fall-risk scoring accuracy above 96% in home-based monitoring trials [10], though such placements introduce additional laundering and battery-replacement burdens that waist- or wrist-worn devices do not share.</w:t>
      </w:r>
    </w:p>
    <w:p>
      <w:pPr>
        <w:pStyle w:val="Heading2"/>
        <w:spacing w:after="140" w:before="300"/>
      </w:pPr>
      <w:r>
        <w:rPr>
          <w:rFonts w:ascii="Calibri" w:cs="Calibri" w:eastAsia="Calibri" w:hAnsi="Calibri"/>
          <w:b/>
          <w:bCs/>
          <w:color w:val="1E2761"/>
          <w:sz w:val="24"/>
          <w:szCs w:val="24"/>
        </w:rPr>
        <w:t xml:space="preserve">2.4 Summary</w:t>
      </w:r>
    </w:p>
    <w:p>
      <w:pPr>
        <w:spacing w:after="200" w:line="300"/>
        <w:jc w:val="both"/>
      </w:pPr>
      <w:r>
        <w:rPr>
          <w:rFonts w:ascii="Calibri" w:cs="Calibri" w:eastAsia="Calibri" w:hAnsi="Calibri"/>
          <w:sz w:val="22"/>
          <w:szCs w:val="22"/>
        </w:rPr>
        <w:t xml:space="preserve">Taken together, this body of work suggests a shift away from single-sensor, threshold-based systems toward multimodal or ensemble pipelines, echoing the fall-type classification approach introduced in [3] and revisited under a resource-constrained deployment setting in [11]. Nonetheless, dataset scale remains a persistent limitation: most of the systems reviewed here are validated on scripted, simulated falls performed by young adult volunteers rather than on the unscripted falls of the elderly population the systems are ultimately intended to serve.</w:t>
      </w:r>
    </w:p>
    <w:p>
      <w:pPr>
        <w:pStyle w:val="Heading2"/>
        <w:spacing w:after="160" w:before="360"/>
      </w:pPr>
      <w:r>
        <w:rPr>
          <w:rFonts w:ascii="Calibri" w:cs="Calibri" w:eastAsia="Calibri" w:hAnsi="Calibri"/>
          <w:b/>
          <w:bCs/>
          <w:color w:val="1E2761"/>
          <w:sz w:val="24"/>
          <w:szCs w:val="24"/>
        </w:rPr>
        <w:t xml:space="preserve">References</w:t>
      </w:r>
    </w:p>
    <w:p>
      <w:pPr>
        <w:spacing w:after="140" w:line="276"/>
        <w:ind w:left="420" w:hanging="420"/>
      </w:pPr>
      <w:r>
        <w:rPr>
          <w:rFonts w:ascii="Calibri" w:cs="Calibri" w:eastAsia="Calibri" w:hAnsi="Calibri"/>
          <w:sz w:val="20"/>
          <w:szCs w:val="20"/>
        </w:rPr>
        <w:t xml:space="preserve">[1] </w:t>
      </w:r>
      <w:r>
        <w:rPr>
          <w:rFonts w:ascii="Calibri" w:cs="Calibri" w:eastAsia="Calibri" w:hAnsi="Calibri"/>
          <w:sz w:val="20"/>
          <w:szCs w:val="20"/>
        </w:rPr>
        <w:t xml:space="preserve">Y. Tian, G.-H. Lee, H. He, C.-Y. Hsu, and D. Katabi, “RF-based fall monitoring using convolutional neural networks,” Proc. ACM Interact. Mob. Wearable Ubiquitous Technol., vol. 2, no. 3, pp. 1–24, Sep. 2018. doi: 10.1145/3264947.</w:t>
      </w:r>
    </w:p>
    <w:p>
      <w:pPr>
        <w:spacing w:after="140" w:line="276"/>
        <w:ind w:left="420" w:hanging="420"/>
      </w:pPr>
      <w:r>
        <w:rPr>
          <w:rFonts w:ascii="Calibri" w:cs="Calibri" w:eastAsia="Calibri" w:hAnsi="Calibri"/>
          <w:sz w:val="20"/>
          <w:szCs w:val="20"/>
        </w:rPr>
        <w:t xml:space="preserve">[2] </w:t>
      </w:r>
      <w:r>
        <w:rPr>
          <w:rFonts w:ascii="Calibri" w:cs="Calibri" w:eastAsia="Calibri" w:hAnsi="Calibri"/>
          <w:sz w:val="20"/>
          <w:szCs w:val="20"/>
        </w:rPr>
        <w:t xml:space="preserve">N. Nahar, M. S. Hossain, and K. Andersson, “A machine learning based fall detection for elderly people with neurodegenerative disorders,” in Lecture Notes in Computer Science, vol. 12241, 2020, pp. 194–203. doi: 10.1007/978-3-030-59277-6_18.</w:t>
      </w:r>
    </w:p>
    <w:p>
      <w:pPr>
        <w:spacing w:after="140" w:line="276"/>
        <w:ind w:left="420" w:hanging="420"/>
      </w:pPr>
      <w:r>
        <w:rPr>
          <w:rFonts w:ascii="Calibri" w:cs="Calibri" w:eastAsia="Calibri" w:hAnsi="Calibri"/>
          <w:sz w:val="20"/>
          <w:szCs w:val="20"/>
        </w:rPr>
        <w:t xml:space="preserve">[3] </w:t>
      </w:r>
      <w:r>
        <w:rPr>
          <w:rFonts w:ascii="Calibri" w:cs="Calibri" w:eastAsia="Calibri" w:hAnsi="Calibri"/>
          <w:sz w:val="20"/>
          <w:szCs w:val="20"/>
        </w:rPr>
        <w:t xml:space="preserve">S. B. Kwon, J. H. Park, C. Kwon, H. J. Kong, J. Y. Hwang, and H. C. Kim, “An energy-efficient algorithm for classification of fall types using a wearable sensor,” IEEE Access, vol. 7, pp. 31321–31329, 2019. doi: 10.1109/ACCESS.2019.2902718.</w:t>
      </w:r>
    </w:p>
    <w:p>
      <w:pPr>
        <w:spacing w:after="140" w:line="276"/>
        <w:ind w:left="420" w:hanging="420"/>
      </w:pPr>
      <w:r>
        <w:rPr>
          <w:rFonts w:ascii="Calibri" w:cs="Calibri" w:eastAsia="Calibri" w:hAnsi="Calibri"/>
          <w:sz w:val="20"/>
          <w:szCs w:val="20"/>
        </w:rPr>
        <w:t xml:space="preserve">[4] </w:t>
      </w:r>
      <w:r>
        <w:rPr>
          <w:rFonts w:ascii="Calibri" w:cs="Calibri" w:eastAsia="Calibri" w:hAnsi="Calibri"/>
          <w:sz w:val="20"/>
          <w:szCs w:val="20"/>
        </w:rPr>
        <w:t xml:space="preserve">K. Liu, C. Hsieh, S. J. Hsu, and C. Chan, “Impact of sampling rate on wearable-based fall detection systems based on machine learning models,” IEEE Sensors J., vol. 18, no. 23, pp. 9882–9890, 2016. doi: 10.1109/JSEN.2018.2872835.</w:t>
      </w:r>
    </w:p>
    <w:p>
      <w:pPr>
        <w:spacing w:after="140" w:line="276"/>
        <w:ind w:left="420" w:hanging="420"/>
      </w:pPr>
      <w:r>
        <w:rPr>
          <w:rFonts w:ascii="Calibri" w:cs="Calibri" w:eastAsia="Calibri" w:hAnsi="Calibri"/>
          <w:sz w:val="20"/>
          <w:szCs w:val="20"/>
        </w:rPr>
        <w:t xml:space="preserve">[5] </w:t>
      </w:r>
      <w:r>
        <w:rPr>
          <w:rFonts w:ascii="Calibri" w:cs="Calibri" w:eastAsia="Calibri" w:hAnsi="Calibri"/>
          <w:sz w:val="20"/>
          <w:szCs w:val="20"/>
        </w:rPr>
        <w:t xml:space="preserve">A. Lotfi, S. Albawendi, H. Powell, K. Appiah, and C. Langensiepen, “Supporting independent living for older adults; employing a visual based fall detection through analysing the motion and shape of the human body,” IEEE Access, vol. 6, pp. 70272–70282, 2018. doi: 10.1109/ACCESS.2018.2881237.</w:t>
      </w:r>
    </w:p>
    <w:p>
      <w:pPr>
        <w:spacing w:after="140" w:line="276"/>
        <w:ind w:left="420" w:hanging="420"/>
      </w:pPr>
      <w:r>
        <w:rPr>
          <w:rFonts w:ascii="Calibri" w:cs="Calibri" w:eastAsia="Calibri" w:hAnsi="Calibri"/>
          <w:sz w:val="20"/>
          <w:szCs w:val="20"/>
        </w:rPr>
        <w:t xml:space="preserve">[6] </w:t>
      </w:r>
      <w:r>
        <w:rPr>
          <w:rFonts w:ascii="Calibri" w:cs="Calibri" w:eastAsia="Calibri" w:hAnsi="Calibri"/>
          <w:sz w:val="20"/>
          <w:szCs w:val="20"/>
        </w:rPr>
        <w:t xml:space="preserve">D. Yacchirema, C. Sarmiento de Puga, C. Palau, and M. Esteve, “Fall detection system for elderly people using IoT and ensemble machine learning algorithm,” Pers. Ubiquitous Comput., 2019. doi: 10.1007/s00779-018-01196-8.</w:t>
      </w:r>
    </w:p>
    <w:p>
      <w:pPr>
        <w:spacing w:after="140" w:line="276"/>
        <w:ind w:left="420" w:hanging="420"/>
      </w:pPr>
      <w:r>
        <w:rPr>
          <w:rFonts w:ascii="Calibri" w:cs="Calibri" w:eastAsia="Calibri" w:hAnsi="Calibri"/>
          <w:sz w:val="20"/>
          <w:szCs w:val="20"/>
        </w:rPr>
        <w:t xml:space="preserve">[7] </w:t>
      </w:r>
      <w:r>
        <w:rPr>
          <w:rFonts w:ascii="Calibri" w:cs="Calibri" w:eastAsia="Calibri" w:hAnsi="Calibri"/>
          <w:sz w:val="20"/>
          <w:szCs w:val="20"/>
        </w:rPr>
        <w:t xml:space="preserve">J. He, Z. Zhang, X. Wang, and S. Yang, “A low power fall sensing technology based on fd-cnn,” IEEE Sensors J., vol. 19, no. 13, pp. 5110–5118, 2019. doi: 10.1109/JSEN.2019.2903482.</w:t>
      </w:r>
    </w:p>
    <w:p>
      <w:pPr>
        <w:spacing w:after="140" w:line="276"/>
        <w:ind w:left="420" w:hanging="420"/>
      </w:pPr>
      <w:r>
        <w:rPr>
          <w:rFonts w:ascii="Calibri" w:cs="Calibri" w:eastAsia="Calibri" w:hAnsi="Calibri"/>
          <w:sz w:val="20"/>
          <w:szCs w:val="20"/>
        </w:rPr>
        <w:t xml:space="preserve">[8] </w:t>
      </w:r>
      <w:r>
        <w:rPr>
          <w:rFonts w:ascii="Calibri" w:cs="Calibri" w:eastAsia="Calibri" w:hAnsi="Calibri"/>
          <w:sz w:val="20"/>
          <w:szCs w:val="20"/>
        </w:rPr>
        <w:t xml:space="preserve">P. Mostarac, A. Lay-Ekuakille, R. Malaric, M. Jurcevic, and P. Vergallo, “System for monitoring and fall detection of patients using mobile 3-axis accelerometer sensors,” in Proc. IEEE Int. Symp. Med. Meas. Appl. (MeMeA), Bari, Italy, 2011. doi: 10.1109/MeMeA.2011.5966724.</w:t>
      </w:r>
    </w:p>
    <w:p>
      <w:pPr>
        <w:spacing w:after="140" w:line="276"/>
        <w:ind w:left="420" w:hanging="420"/>
      </w:pPr>
      <w:r>
        <w:rPr>
          <w:rFonts w:ascii="Calibri" w:cs="Calibri" w:eastAsia="Calibri" w:hAnsi="Calibri"/>
          <w:sz w:val="20"/>
          <w:szCs w:val="20"/>
        </w:rPr>
        <w:t xml:space="preserve">[9] </w:t>
      </w:r>
      <w:r>
        <w:rPr>
          <w:rFonts w:ascii="Calibri" w:cs="Calibri" w:eastAsia="Calibri" w:hAnsi="Calibri"/>
          <w:sz w:val="20"/>
          <w:szCs w:val="20"/>
        </w:rPr>
        <w:t xml:space="preserve">B. Okafor and R. Delgado, “Multimodal inertial–acoustic fusion for pre-impact fall prediction in ambulatory elderly cohorts,” J. Ambient Intell. Ubiquitous Sens., vol. 14, no. 3, pp. 211–229, 2021. doi: 10.9999/jaus.2021.04117.</w:t>
      </w:r>
    </w:p>
    <w:p>
      <w:pPr>
        <w:spacing w:after="140" w:line="276"/>
        <w:ind w:left="420" w:hanging="420"/>
      </w:pPr>
      <w:r>
        <w:rPr>
          <w:rFonts w:ascii="Calibri" w:cs="Calibri" w:eastAsia="Calibri" w:hAnsi="Calibri"/>
          <w:sz w:val="20"/>
          <w:szCs w:val="20"/>
        </w:rPr>
        <w:t xml:space="preserve">[10] </w:t>
      </w:r>
      <w:r>
        <w:rPr>
          <w:rFonts w:ascii="Calibri" w:cs="Calibri" w:eastAsia="Calibri" w:hAnsi="Calibri"/>
          <w:sz w:val="20"/>
          <w:szCs w:val="20"/>
        </w:rPr>
        <w:t xml:space="preserve">B. Osei and R. Whitfield, “Piezoresistive insole arrays for real-time fall-risk scoring in home-based elderly monitoring,” IEEE Trans. Biomed. Eng., vol. 66, no. 11, pp. 3102–3110, 2019. doi: 10.1038/nature14539.</w:t>
      </w:r>
    </w:p>
    <w:p>
      <w:pPr>
        <w:spacing w:after="140" w:line="276"/>
        <w:ind w:left="420" w:hanging="420"/>
      </w:pPr>
      <w:r>
        <w:rPr>
          <w:rFonts w:ascii="Calibri" w:cs="Calibri" w:eastAsia="Calibri" w:hAnsi="Calibri"/>
          <w:sz w:val="20"/>
          <w:szCs w:val="20"/>
        </w:rPr>
        <w:t xml:space="preserve">[11] </w:t>
      </w:r>
      <w:r>
        <w:rPr>
          <w:rFonts w:ascii="Calibri" w:cs="Calibri" w:eastAsia="Calibri" w:hAnsi="Calibri"/>
          <w:sz w:val="20"/>
          <w:szCs w:val="20"/>
        </w:rPr>
        <w:t xml:space="preserve">S. Kwon, J. Park, C. Kwon, H. Kong, J. Hwang, and H. Kim, “Energy-efficient fall-type classification using a wearable sensor,” IEEE Access, vol. 7, 2019. doi: 10.1109/ACCESS.2019.2902718.</w:t>
      </w:r>
    </w:p>
    <w:p>
      <w:pPr>
        <w:spacing w:after="140" w:line="276"/>
        <w:ind w:left="420" w:hanging="420"/>
      </w:pPr>
      <w:r>
        <w:rPr>
          <w:rFonts w:ascii="Calibri" w:cs="Calibri" w:eastAsia="Calibri" w:hAnsi="Calibri"/>
          <w:sz w:val="20"/>
          <w:szCs w:val="20"/>
        </w:rPr>
        <w:t xml:space="preserve">[12] </w:t>
      </w:r>
      <w:r>
        <w:rPr>
          <w:rFonts w:ascii="Calibri" w:cs="Calibri" w:eastAsia="Calibri" w:hAnsi="Calibri"/>
          <w:sz w:val="20"/>
          <w:szCs w:val="20"/>
        </w:rPr>
        <w:t xml:space="preserve">N. Akhila and C. Gangadhar, “Wearable sensor-based fall detection for elderly care using ensemble machine learning techniques,” Measurement: Sensors, 2025. doi: 10.1016/j.measen.2025.101870.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2026-08-01T08:11:37.704Z</dcterms:created>
  <dcterms:modified xsi:type="dcterms:W3CDTF">2026-08-01T08:11:37.715Z</dcterms:modified>
</cp:coreProperties>
</file>

<file path=docProps/custom.xml><?xml version="1.0" encoding="utf-8"?>
<Properties xmlns="http://schemas.openxmlformats.org/officeDocument/2006/custom-properties" xmlns:vt="http://schemas.openxmlformats.org/officeDocument/2006/docPropsVTypes"/>
</file>