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
          <w:bCs/>
        </w:rPr>
        <w:t xml:space="preserve">This document is fabricated.</w:t>
      </w:r>
      <w:r>
        <w:t xml:space="preserve"> </w:t>
      </w:r>
      <w:r>
        <w:t xml:space="preserve">It was written as test material for the Socratic Citation Coach Hackathon. Its prose, team and project are invented, and its reference list contains deliberate errors of several distinct kinds. Do not cite it, and do not treat any claim in it as established.</w:t>
      </w:r>
    </w:p>
    <w:p>
      <w:pPr>
        <w:pStyle w:val="Heading1"/>
      </w:pPr>
      <w:r>
        <w:t xml:space="preserve">Literature Review</w:t>
      </w:r>
    </w:p>
    <w:p>
      <w:pPr>
        <w:pStyle w:val="Heading2"/>
      </w:pPr>
      <w:r>
        <w:t xml:space="preserve">Project Overview</w:t>
      </w:r>
    </w:p>
    <w:p>
      <w:pPr>
        <w:pStyle w:val="FirstParagraph"/>
      </w:pPr>
      <w:r>
        <w:t xml:space="preserve">Emergency evacuation training in high-occupancy buildings is expensive to run and difficult to repeat. Live drills disrupt normal operations, cannot easily be varied, and rarely expose participants to the crowd densities that make real evacuations dangerous. Simulation offers a way to rehearse these conditions safely, provided that the simulated crowd behaves in a manner that participants recognise as plausible.</w:t>
      </w:r>
    </w:p>
    <w:p>
      <w:pPr>
        <w:pStyle w:val="BodyText"/>
      </w:pPr>
      <w:r>
        <w:t xml:space="preserve">This project proposes a real-time crowd simulation for evacuation training, delivered as a desktop application, in which a trainee marshal directs a simulated population of between 500 and 5,000 agents through a multi-storey building under varying hazard conditions. The system is intended for use by facilities-management teams and building safety officers.</w:t>
      </w:r>
    </w:p>
    <w:p>
      <w:pPr>
        <w:pStyle w:val="BodyText"/>
      </w:pPr>
      <w:r>
        <w:t xml:space="preserve">The field is mature and the foundations are settled [1]–[6]. What remains is to select among established components and integrate them.</w:t>
      </w:r>
    </w:p>
    <w:p>
      <w:pPr>
        <w:pStyle w:val="Heading2"/>
      </w:pPr>
      <w:r>
        <w:t xml:space="preserve">Problem Statement</w:t>
      </w:r>
    </w:p>
    <w:p>
      <w:pPr>
        <w:pStyle w:val="FirstParagraph"/>
      </w:pPr>
      <w:r>
        <w:t xml:space="preserve">Existing evacuation training tools fall into two groups. Analytical egress calculators produce total clearance times but no visual behaviour, and offer the trainee nothing to react to. Game-engine demonstrations produce convincing visuals but are typically scripted, so the crowd does not respond to trainee decisions. A recent review of the field concludes that the gap between behavioural fidelity and interactive performance remains the central unsolved problem in this domain [6].</w:t>
      </w:r>
    </w:p>
    <w:p>
      <w:pPr>
        <w:pStyle w:val="BodyText"/>
      </w:pPr>
      <w:r>
        <w:t xml:space="preserve">Around 70% of facilities managers report that their current drill programme is inadequate for high-density scenarios. The present project addresses that gap directly by combining a behaviourally grounded agent model with the rendering and scheduling techniques needed to run it at interactive frame rates.</w:t>
      </w:r>
    </w:p>
    <w:p>
      <w:pPr>
        <w:pStyle w:val="Heading2"/>
      </w:pPr>
      <w:r>
        <w:t xml:space="preserve">Challenges Faced</w:t>
      </w:r>
    </w:p>
    <w:p>
      <w:pPr>
        <w:pStyle w:val="Heading3"/>
      </w:pPr>
      <w:r>
        <w:t xml:space="preserve">Agent Behaviour Models</w:t>
      </w:r>
    </w:p>
    <w:p>
      <w:pPr>
        <w:pStyle w:val="FirstParagraph"/>
      </w:pPr>
      <w:r>
        <w:t xml:space="preserve">The dominant approach to pedestrian movement is the social force model, which treats each pedestrian as a particle subject to attractive and repulsive pseudo-forces derived from goals, obstacles and other pedestrians [1]. The model reproduces lane formation in bidirectional flow and arching at bottlenecks, both of which are observed in real crowds.</w:t>
      </w:r>
    </w:p>
    <w:p>
      <w:pPr>
        <w:pStyle w:val="BodyText"/>
      </w:pPr>
      <w:r>
        <w:t xml:space="preserve">Subsequent work extended the model to panic conditions and established that widening corridors and exits consistently reduces total evacuation time, a finding which has guided building-code recommendations ever since [3]. This project therefore treats exit width as the primary design variable exposed to the trainee.</w:t>
      </w:r>
    </w:p>
    <w:p>
      <w:pPr>
        <w:pStyle w:val="BodyText"/>
      </w:pPr>
      <w:r>
        <w:t xml:space="preserve">An alternative lineage derives from distributed behavioural animation, first formalised by Marchetti et al., whose boids model produced convincing flocking from three local steering rules [4]. Its low computational cost makes it attractive for large populations, although it was designed for animal aggregation rather than goal-directed human egress.</w:t>
      </w:r>
    </w:p>
    <w:p>
      <w:pPr>
        <w:pStyle w:val="BodyText"/>
      </w:pPr>
      <w:r>
        <w:t xml:space="preserve">The subsequent development of the field can be summarised chronologically. In 1995 the social force model was published [1]. In 2000 it was extended to panic [3]. In 2006 a continuum formulation appeared [2]. In 2008 reciprocal velocity obstacles were introduced [9]. In 2009 a predictive collision-avoidance model was proposed by Karamouzas, Heil, van Beek and Overmars [16], and an aggregate dynamics formulation by Narain and colleagues [17]. In 2010 Ondřej, Pettré, Olivier and Donikian introduced a synthetic-vision approach [15]. Each of these represents a refinement of its predecessor, and together they constitute the state of the art.</w:t>
      </w:r>
    </w:p>
    <w:p>
      <w:pPr>
        <w:pStyle w:val="Heading3"/>
      </w:pPr>
      <w:r>
        <w:t xml:space="preserve">Perception and Steering</w:t>
      </w:r>
    </w:p>
    <w:p>
      <w:pPr>
        <w:pStyle w:val="FirstParagraph"/>
      </w:pPr>
      <w:r>
        <w:t xml:space="preserve">The synthetic-vision approach deserves particular attention. As its authors put it, the method is</w:t>
      </w:r>
      <w:r>
        <w:t xml:space="preserve"> </w:t>
      </w:r>
      <w:r>
        <w:t xml:space="preserve">“based on a synthetic vision model”</w:t>
      </w:r>
      <w:r>
        <w:t xml:space="preserve"> </w:t>
      </w:r>
      <w:r>
        <w:t xml:space="preserve">in which each agent perceives its surroundings optically rather than through direct access to the simulation state [15]. This is attractive because, as the same authors observe, optical variables provide</w:t>
      </w:r>
      <w:r>
        <w:t xml:space="preserve"> </w:t>
      </w:r>
      <w:r>
        <w:t xml:space="preserve">“a way to avoid collisions”</w:t>
      </w:r>
      <w:r>
        <w:t xml:space="preserve"> </w:t>
      </w:r>
      <w:r>
        <w:t xml:space="preserve">that does not require a global solver. The predictive model of Karamouzas et al. takes a different route, computing an anticipated collision and steering to avoid it before it occurs [16]. As those authors note, this yields</w:t>
      </w:r>
      <w:r>
        <w:t xml:space="preserve"> </w:t>
      </w:r>
      <w:r>
        <w:t xml:space="preserve">“smooth and natural trajectories”</w:t>
      </w:r>
      <w:r>
        <w:t xml:space="preserve">. Whether either method is preferable for evacuation specifically is not addressed in the sources.</w:t>
      </w:r>
    </w:p>
    <w:p>
      <w:pPr>
        <w:pStyle w:val="BodyText"/>
      </w:pPr>
      <w:r>
        <w:t xml:space="preserve">Aggregate dynamics offers a third option [17]. The formulation treats the crowd as a continuum at high densities while retaining individual agents at low densities, so that computational effort follows density rather than population. Rahman et al. examined energy-aware scheduling of detection workloads across heterogeneous embedded processors [10]. Sokolov and colleagues reviewed structured pruning. Nakagawa proposed an adaptive precision scheme.</w:t>
      </w:r>
    </w:p>
    <w:p>
      <w:pPr>
        <w:pStyle w:val="Heading3"/>
      </w:pPr>
      <w:r>
        <w:t xml:space="preserve">Real-Time Performance at Scale</w:t>
      </w:r>
    </w:p>
    <w:p>
      <w:pPr>
        <w:pStyle w:val="FirstParagraph"/>
      </w:pPr>
      <w:r>
        <w:t xml:space="preserve">Maintaining interactive frame rates with several thousand agents requires careful attention to both simulation and rendering cost. Continuum approaches avoid per-agent pathfinding entirely by solving for a crowd-wide potential field, which scales far better than discrete planning as population grows [2].</w:t>
      </w:r>
    </w:p>
    <w:p>
      <w:pPr>
        <w:pStyle w:val="BodyText"/>
      </w:pPr>
      <w:r>
        <w:t xml:space="preserve">Vendor benchmarks report sustained 60 frames per second with 10,000 animated agents on commodity desktop hardware [8], which suggests that the rendering side of the problem is largely solved and that effort is better spent on the behavioural simulation.</w:t>
      </w:r>
    </w:p>
    <w:p>
      <w:pPr>
        <w:pStyle w:val="BodyText"/>
      </w:pPr>
      <w:r>
        <w:t xml:space="preserve">A practical system will therefore combine several techniques in sequence. The crowd is first partitioned by density so that dense regions may be handled in aggregate, then individual agents are retained where the density is low enough for their trajectories to matter, then the resulting velocity field is integrated forward, and finally the visible subset is rendered at full fidelity while the remainder is coarsened. Applying the stages in this order matters, because each stage constrains the resolution available to the next.</w:t>
      </w:r>
    </w:p>
    <w:p>
      <w:pPr>
        <w:pStyle w:val="Heading3"/>
      </w:pPr>
      <w:r>
        <w:t xml:space="preserve">Validation Against Human Behaviour</w:t>
      </w:r>
    </w:p>
    <w:p>
      <w:pPr>
        <w:pStyle w:val="FirstParagraph"/>
      </w:pPr>
      <w:r>
        <w:t xml:space="preserve">Validating simulated behaviour against real evacuations is difficult because real evacuation data is scarce and ethically constrained. A peer-reviewed study of transformer-based trajectory forecasting reports that learned models outperform force-based models on dense-scene prediction [7], suggesting a possible route to validation by comparison against learned baselines rather than against scarce ground truth.</w:t>
      </w:r>
    </w:p>
    <w:p>
      <w:pPr>
        <w:pStyle w:val="BodyText"/>
      </w:pPr>
      <w:r>
        <w:t xml:space="preserve">Two such baselines are established in the literature. Social LSTM introduced a pooling mechanism for jointly predicting the trajectories of interacting pedestrians [14], and Social GAN extended the approach with an adversarial objective capable of generating several socially plausible futures for the same scene [13]. Either would serve as a comparison model for the present project.</w:t>
      </w:r>
    </w:p>
    <w:p>
      <w:pPr>
        <w:pStyle w:val="Heading2"/>
      </w:pPr>
      <w:r>
        <w:t xml:space="preserve">Current Approaches and Technical Solutions</w:t>
      </w:r>
    </w:p>
    <w:p>
      <w:pPr>
        <w:pStyle w:val="FirstParagraph"/>
      </w:pPr>
      <w:r>
        <w:t xml:space="preserve">Reciprocal velocity obstacles remain the current state of the art for real-time collision avoidance among many agents, and are widely used where guaranteed collision-free motion is required [9].</w:t>
      </w:r>
    </w:p>
    <w:p>
      <w:pPr>
        <w:pStyle w:val="BodyText"/>
      </w:pPr>
      <w:r>
        <w:t xml:space="preserve">More recent work on adaptive agent density control demonstrates that simulation fidelity can be varied spatially, allocating computation to regions the trainee is observing and coarsening elsewhere, with reported speed-ups of up to 4.2 times at equivalent perceived quality [5]. This technique is directly applicable to the present project, in which the trainee’s viewport covers only a fraction of the building at any moment.</w:t>
      </w:r>
    </w:p>
    <w:p>
      <w:pPr>
        <w:pStyle w:val="BodyText"/>
      </w:pPr>
      <w:r>
        <w:t xml:space="preserve">Quantitative evidence for the training benefit itself is thinner. One study reports a 34 % reduction in simulated egress time among trainees after three sessions with an interactive simulator [10], although the effect on real evacuation performance was not measured. Earlier work on multi-storey evacuation dynamics reaches broadly compatible conclusions [11], and the underlying stair-flow model has since been incorporated into several commercial packages [19].</w:t>
      </w:r>
    </w:p>
    <w:p>
      <w:pPr>
        <w:pStyle w:val="Heading2"/>
      </w:pPr>
      <w:r>
        <w:t xml:space="preserve">Regulatory Context</w:t>
      </w:r>
    </w:p>
    <w:p>
      <w:pPr>
        <w:pStyle w:val="FirstParagraph"/>
      </w:pPr>
      <w:r>
        <w:t xml:space="preserve">Evacuation performance is not solely an engineering matter. Fixed guideway transit and passenger rail systems are governed by NFPA 130, which specifies egress timing requirements against which any simulation result must ultimately be judged [18]. The standard defines the permissible time to evacuate a platform and to reach a point of safety, and these figures constitute hard acceptance criteria rather than design guidance. A simulator whose output cannot be expressed in the terms the standard uses will not be adopted by the safety officers who are its intended users, however faithful its behavioural model.</w:t>
      </w:r>
    </w:p>
    <w:p>
      <w:pPr>
        <w:pStyle w:val="Heading2"/>
      </w:pPr>
      <w:r>
        <w:t xml:space="preserve">Summary and Research Gap</w:t>
      </w:r>
    </w:p>
    <w:p>
      <w:pPr>
        <w:pStyle w:val="FirstParagraph"/>
      </w:pPr>
      <w:r>
        <w:t xml:space="preserve">The literature supports a design combining a social-force behavioural core with continuum-based global planning and adaptive spatial fidelity. Every component required has been demonstrated separately and validated in its own right, so the remaining work is integration rather than investigation. The principal risks are behavioural validity, for which the available evidence remains indirect, and sustained performance at the upper end of the target population range.</w:t>
      </w:r>
    </w:p>
    <w:p>
      <w:pPr>
        <w:pStyle w:val="Heading1"/>
      </w:pPr>
      <w:r>
        <w:t xml:space="preserve">References</w:t>
      </w:r>
    </w:p>
    <w:p>
      <w:pPr>
        <w:pStyle w:val="FirstParagraph"/>
      </w:pPr>
      <w:r>
        <w:t xml:space="preserve">[1] Helbing, D. and Molnár, P. (1995). Social force model for pedestrian dynamics.</w:t>
      </w:r>
      <w:r>
        <w:t xml:space="preserve"> </w:t>
      </w:r>
      <w:r>
        <w:rPr>
          <w:i/>
          <w:iCs/>
        </w:rPr>
        <w:t xml:space="preserve">Physical Review E</w:t>
      </w:r>
      <w:r>
        <w:t xml:space="preserve">, 51(5), 4282–4286. https://doi.org/10.1103/PhysRevE.51.4282</w:t>
      </w:r>
    </w:p>
    <w:p>
      <w:pPr>
        <w:pStyle w:val="BodyText"/>
      </w:pPr>
      <w:r>
        <w:t xml:space="preserve">[2] Treuille A, Cooper S, Popović Z. Continuum crowds. In: ACM SIGGRAPH 2006 Papers. 2006.</w:t>
      </w:r>
      <w:r>
        <w:t xml:space="preserve"> </w:t>
      </w:r>
      <w:hyperlink r:id="rId20">
        <w:r>
          <w:rPr>
            <w:rStyle w:val="Hyperlink"/>
          </w:rPr>
          <w:t xml:space="preserve">doi:10.1145/1179352.1142008</w:t>
        </w:r>
      </w:hyperlink>
    </w:p>
    <w:p>
      <w:pPr>
        <w:pStyle w:val="BodyText"/>
      </w:pPr>
      <w:r>
        <w:t xml:space="preserve">[3] Helbing D, Farkas I, Vicsek T. Simulating dynamical features of escape panic. Nature. 2000;407:487–90. Available from: https://doi.org/10.1038/35035023</w:t>
      </w:r>
    </w:p>
    <w:p>
      <w:pPr>
        <w:pStyle w:val="BodyText"/>
      </w:pPr>
      <w:r>
        <w:t xml:space="preserve">[4] Marchetti L, Osei K, Rahman S. Flocks, herds and schools: A distributed behavioral model. In: Proceedings of the 14th Annual Conference on Computer Graphics and Interactive Techniques. 1987.</w:t>
      </w:r>
      <w:r>
        <w:t xml:space="preserve"> </w:t>
      </w:r>
      <w:hyperlink r:id="rId21">
        <w:r>
          <w:rPr>
            <w:rStyle w:val="Hyperlink"/>
          </w:rPr>
          <w:t xml:space="preserve">doi:10.1145/37401.37406</w:t>
        </w:r>
      </w:hyperlink>
    </w:p>
    <w:p>
      <w:pPr>
        <w:pStyle w:val="BodyText"/>
      </w:pPr>
      <w:r>
        <w:t xml:space="preserve">[5] Nakamura H, Villalobos R. Adaptive agent density control for large-scale evacuation simulation. IEEE Transactions on Visualization and Computer Graphics. 2023;29(8):3512–3526.</w:t>
      </w:r>
      <w:r>
        <w:t xml:space="preserve"> </w:t>
      </w:r>
      <w:hyperlink r:id="rId22">
        <w:r>
          <w:rPr>
            <w:rStyle w:val="Hyperlink"/>
          </w:rPr>
          <w:t xml:space="preserve">doi:10.1109/TVCG.2023.3298871</w:t>
        </w:r>
      </w:hyperlink>
    </w:p>
    <w:p>
      <w:pPr>
        <w:pStyle w:val="BodyText"/>
      </w:pPr>
      <w:r>
        <w:t xml:space="preserve">[6] Oduya B, Fernandes T. A comprehensive review of crowd dynamics in virtual environments. International Journal of Advanced Computational Intelligence and Simulation Research. 2024;11(3):55–71.</w:t>
      </w:r>
    </w:p>
    <w:p>
      <w:pPr>
        <w:pStyle w:val="BodyText"/>
      </w:pPr>
      <w:r>
        <w:t xml:space="preserve">[7] Zhao L, Petrov D. Transformer-based pedestrian trajectory forecasting for dense scenes. arXiv. 2024.</w:t>
      </w:r>
    </w:p>
    <w:p>
      <w:pPr>
        <w:pStyle w:val="BodyText"/>
      </w:pPr>
      <w:r>
        <w:t xml:space="preserve">[8] Unity Technologies. Crowd simulation performance in Unity 6: benchmarks. 2025. Available from: https://unity.com/blog/</w:t>
      </w:r>
    </w:p>
    <w:p>
      <w:pPr>
        <w:pStyle w:val="BodyText"/>
      </w:pPr>
      <w:r>
        <w:t xml:space="preserve">[9] van den Berg J, Lin M, Manocha D. Reciprocal Velocity Obstacles for real-time multi-agent navigation. In: 2008 IEEE International Conference on Robotics and Automation. 2008. p. 1928–35.</w:t>
      </w:r>
      <w:r>
        <w:t xml:space="preserve"> </w:t>
      </w:r>
      <w:hyperlink r:id="rId23">
        <w:r>
          <w:rPr>
            <w:rStyle w:val="Hyperlink"/>
          </w:rPr>
          <w:t xml:space="preserve">doi:10.1109/ROBOT.2008.4543489</w:t>
        </w:r>
      </w:hyperlink>
    </w:p>
    <w:p>
      <w:pPr>
        <w:pStyle w:val="BodyText"/>
      </w:pPr>
      <w:r>
        <w:t xml:space="preserve">[10] Duives, D., Daamen, W. and Hoogendoorn, S. (2015). State-of-the-art crowd motion simulation models.</w:t>
      </w:r>
      <w:r>
        <w:t xml:space="preserve"> </w:t>
      </w:r>
      <w:r>
        <w:rPr>
          <w:i/>
          <w:iCs/>
        </w:rPr>
        <w:t xml:space="preserve">Transportation Research Part C: Emerging Technologies</w:t>
      </w:r>
      <w:r>
        <w:t xml:space="preserve">, 37, 193–209.</w:t>
      </w:r>
      <w:r>
        <w:t xml:space="preserve"> </w:t>
      </w:r>
      <w:hyperlink r:id="rId24">
        <w:r>
          <w:rPr>
            <w:rStyle w:val="Hyperlink"/>
          </w:rPr>
          <w:t xml:space="preserve">doi:10.1016/j.trc.2013.02.005</w:t>
        </w:r>
      </w:hyperlink>
    </w:p>
    <w:p>
      <w:pPr>
        <w:pStyle w:val="BodyText"/>
      </w:pPr>
      <w:r>
        <w:t xml:space="preserve">[11] Ainsworth, R. Evacuation dynamics in multi-storey buildings [Internet]. 2019 [cited 2026 Jul]. Available from: http://research-archive.eu.org/papers/download.php?id=88213</w:t>
      </w:r>
    </w:p>
    <w:p>
      <w:pPr>
        <w:pStyle w:val="BodyText"/>
      </w:pPr>
      <w:r>
        <w:t xml:space="preserve">[12] Fung, A. W. and Iyer, S. (2020). Serious games for emergency preparedness training: a systematic review.</w:t>
      </w:r>
      <w:r>
        <w:t xml:space="preserve"> </w:t>
      </w:r>
      <w:r>
        <w:rPr>
          <w:i/>
          <w:iCs/>
        </w:rPr>
        <w:t xml:space="preserve">Journal of Simulation Studies</w:t>
      </w:r>
      <w:r>
        <w:t xml:space="preserve">.</w:t>
      </w:r>
    </w:p>
    <w:p>
      <w:pPr>
        <w:pStyle w:val="BodyText"/>
      </w:pPr>
      <w:r>
        <w:t xml:space="preserve">[13] Gupta A, Johnson J, Fei-Fei L, Savarese S, Alahi A. Social GAN: Socially acceptable trajectories with generative adversarial networks. arXiv preprint arXiv:1803.10892. 2018. Available from: https://arxiv.org/abs/1803.10892</w:t>
      </w:r>
    </w:p>
    <w:p>
      <w:pPr>
        <w:pStyle w:val="BodyText"/>
      </w:pPr>
      <w:r>
        <w:t xml:space="preserve">[14] Alahi, A., Goel, K., Ramanathan, V., Robicquet, A., Fei-Fei, L. and Savarese, S. Social LSTM: Human trajectory prediction in crowded spaces. ResearchGate. Available from: https://www.researchgate.net/publication/308365574</w:t>
      </w:r>
    </w:p>
    <w:p>
      <w:pPr>
        <w:pStyle w:val="BodyText"/>
      </w:pPr>
      <w:r>
        <w:t xml:space="preserve">[15] Ondřej J, Pettré J, Olivier A-H, Donikian S. A synthetic-vision based steering approach for crowd simulation. In: ACM SIGGRAPH 2010 Papers. 2010. p. 1–9.</w:t>
      </w:r>
      <w:r>
        <w:t xml:space="preserve"> </w:t>
      </w:r>
      <w:hyperlink r:id="rId25">
        <w:r>
          <w:rPr>
            <w:rStyle w:val="Hyperlink"/>
          </w:rPr>
          <w:t xml:space="preserve">doi:10.1145/1833349.1778860</w:t>
        </w:r>
      </w:hyperlink>
    </w:p>
    <w:p>
      <w:pPr>
        <w:pStyle w:val="BodyText"/>
      </w:pPr>
      <w:r>
        <w:t xml:space="preserve">[16] Karamouzas, I., Heil, P., van Beek, P. and Overmars, M. (2009). A predictive collision avoidance model for pedestrian simulation. In</w:t>
      </w:r>
      <w:r>
        <w:t xml:space="preserve"> </w:t>
      </w:r>
      <w:r>
        <w:rPr>
          <w:i/>
          <w:iCs/>
        </w:rPr>
        <w:t xml:space="preserve">Motion in Games</w:t>
      </w:r>
      <w:r>
        <w:t xml:space="preserve">, Lecture Notes in Computer Science, pp. 41–52. https://doi.org/10.1007/978-3-642-10347-6_4</w:t>
      </w:r>
    </w:p>
    <w:p>
      <w:pPr>
        <w:pStyle w:val="BodyText"/>
      </w:pPr>
      <w:r>
        <w:t xml:space="preserve">[17] Narain R, Golas A, Curtis S, Lin M. Aggregate dynamics for dense crowd simulation. In: ACM SIGGRAPH Asia 2009 Papers. 2009. p. 1–8.</w:t>
      </w:r>
      <w:r>
        <w:t xml:space="preserve"> </w:t>
      </w:r>
      <w:hyperlink r:id="rId26">
        <w:r>
          <w:rPr>
            <w:rStyle w:val="Hyperlink"/>
          </w:rPr>
          <w:t xml:space="preserve">doi:10.1145/1661412.1618468</w:t>
        </w:r>
      </w:hyperlink>
    </w:p>
    <w:p>
      <w:pPr>
        <w:pStyle w:val="BodyText"/>
      </w:pPr>
      <w:r>
        <w:t xml:space="preserve">[18] National Fire Protection Association. NFPA 130: Standard for Fixed Guideway Transit and Passenger Rail Systems. Quincy, MA: NFPA.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hAnsi="Cambria"/>
        <w:sz w:val="22"/>
        <w:szCs w:val="22"/>
        <w:lang w:bidi="ar-SA" w:eastAsia="zh-CN" w:val="en-US"/>
      </w:rPr>
    </w:rPrDefault>
    <w:pPrDefault>
      <w:pPr>
        <w:spacing w:after="24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2"/>
      <w:szCs w:val="22"/>
    </w:rPr>
  </w:style>
  <w:style w:styleId="Date" w:type="paragraph">
    <w:name w:val="Date"/>
    <w:basedOn w:val="Title"/>
    <w:next w:val="BodyText"/>
    <w:qFormat/>
    <w:pPr>
      <w:keepNext/>
      <w:keepLines/>
    </w:pPr>
    <w:rPr>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7F2A2A"/>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doi.org/10.1016/j.trc.2013.02.005" TargetMode="External" /><Relationship Type="http://schemas.openxmlformats.org/officeDocument/2006/relationships/hyperlink" Id="rId23" Target="https://doi.org/10.1109/ROBOT.2008.4543489" TargetMode="External" /><Relationship Type="http://schemas.openxmlformats.org/officeDocument/2006/relationships/hyperlink" Id="rId22" Target="https://doi.org/10.1109/TVCG.2023.3298871" TargetMode="External" /><Relationship Type="http://schemas.openxmlformats.org/officeDocument/2006/relationships/hyperlink" Id="rId20" Target="https://doi.org/10.1145/1179352.1142008" TargetMode="External" /><Relationship Type="http://schemas.openxmlformats.org/officeDocument/2006/relationships/hyperlink" Id="rId26" Target="https://doi.org/10.1145/1661412.1618468" TargetMode="External" /><Relationship Type="http://schemas.openxmlformats.org/officeDocument/2006/relationships/hyperlink" Id="rId25" Target="https://doi.org/10.1145/1833349.1778860" TargetMode="External" /><Relationship Type="http://schemas.openxmlformats.org/officeDocument/2006/relationships/hyperlink" Id="rId21" Target="https://doi.org/10.1145/37401.37406" TargetMode="External" /></Relationships>
</file>

<file path=word/_rels/footnotes.xml.rels><?xml version="1.0" encoding="UTF-8"?><Relationships xmlns="http://schemas.openxmlformats.org/package/2006/relationships"><Relationship Type="http://schemas.openxmlformats.org/officeDocument/2006/relationships/hyperlink" Id="rId24" Target="https://doi.org/10.1016/j.trc.2013.02.005" TargetMode="External" /><Relationship Type="http://schemas.openxmlformats.org/officeDocument/2006/relationships/hyperlink" Id="rId23" Target="https://doi.org/10.1109/ROBOT.2008.4543489" TargetMode="External" /><Relationship Type="http://schemas.openxmlformats.org/officeDocument/2006/relationships/hyperlink" Id="rId22" Target="https://doi.org/10.1109/TVCG.2023.3298871" TargetMode="External" /><Relationship Type="http://schemas.openxmlformats.org/officeDocument/2006/relationships/hyperlink" Id="rId20" Target="https://doi.org/10.1145/1179352.1142008" TargetMode="External" /><Relationship Type="http://schemas.openxmlformats.org/officeDocument/2006/relationships/hyperlink" Id="rId26" Target="https://doi.org/10.1145/1661412.1618468" TargetMode="External" /><Relationship Type="http://schemas.openxmlformats.org/officeDocument/2006/relationships/hyperlink" Id="rId25" Target="https://doi.org/10.1145/1833349.1778860" TargetMode="External" /><Relationship Type="http://schemas.openxmlformats.org/officeDocument/2006/relationships/hyperlink" Id="rId21" Target="https://doi.org/10.1145/37401.374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2026-07-29T10:34:54Z</dcterms:created>
  <dcterms:modified xsi:type="dcterms:W3CDTF">2026-07-29T10:34:54Z</dcterms:modified>
</cp:coreProperties>
</file>

<file path=docProps/custom.xml><?xml version="1.0" encoding="utf-8"?>
<Properties xmlns="http://schemas.openxmlformats.org/officeDocument/2006/custom-properties" xmlns:vt="http://schemas.openxmlformats.org/officeDocument/2006/docPropsVTypes"/>
</file>