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Chapter 2 — Literature Review</w:t>
      </w:r>
    </w:p>
    <w:p>
      <w:pPr>
        <w:pStyle w:val="Heading2"/>
      </w:pPr>
      <w:r>
        <w:t xml:space="preserve">Deploying Real-Time Object Detection on Resource-Constrained Edge Devices</w:t>
      </w:r>
    </w:p>
    <w:p>
      <w:pPr>
        <w:pStyle w:val="Heading3"/>
      </w:pPr>
      <w:r>
        <w:t xml:space="preserve">2.1 Introduction</w:t>
      </w:r>
    </w:p>
    <w:p>
      <w:pPr>
        <w:pStyle w:val="FirstParagraph"/>
      </w:pPr>
      <w:r>
        <w:t xml:space="preserve">The deployment of deep learning models on embedded hardware has become one of the most actively researched areas in modern computer vision. Many researchers have shown that convolutional neural networks can achieve high detection accuracy across a wide range of benchmark datasets [1]-[8]. The practical task addressed by this project — running a detector at interactive frame rates on a single-board computer — nevertheless remains difficult, because the architectures that dominate accuracy leaderboards were designed under the assumption of abundant memory and power. This chapter reviews the existing solutions to that task, covering detection architectures, model compression, hardware platforms and evaluation practice, and identifies the gap that the present work addresses.</w:t>
      </w:r>
    </w:p>
    <w:p>
      <w:pPr>
        <w:pStyle w:val="Heading3"/>
      </w:pPr>
      <w:r>
        <w:t xml:space="preserve">2.2 The Evolution of Detection Architectures</w:t>
      </w:r>
    </w:p>
    <w:p>
      <w:pPr>
        <w:pStyle w:val="FirstParagraph"/>
      </w:pPr>
      <w:r>
        <w:t xml:space="preserve">Early detection pipelines treated detection as a classification problem applied to region proposals. Ren et al. introduced a unified region proposal network that shared convolutional features with the detection head, substantially reducing the cost of proposal generation [12]. In 2016, Redmon et al. proposed YOLO, which reframed detection as a single regression problem over a fixed grid and achieved 45 frames per second on a contemporary desktop GPU [1]. In the same year, Liu et al. proposed SSD, which combined multi-scale feature maps with default boxes of several aspect ratios [2]. In 2017, Lin et al. introduced focal loss to address the extreme foreground–background class imbalance encountered by dense detectors [15]. In 2018, Sandler et al. proposed MobileNetV2, whose inverted residual blocks with linear bottlenecks reduced parameter counts by 87% relative to its predecessor [4]. In 2019, Tan and Le proposed compound scaling, arguing that network depth, width and input resolution should be scaled together rather than independently [5].</w:t>
      </w:r>
    </w:p>
    <w:p>
      <w:pPr>
        <w:pStyle w:val="BodyText"/>
      </w:pPr>
      <w:r>
        <w:t xml:space="preserve">Ren et al. reported a mean average precision of 73.2% on PASCAL VOC 2007 while running at five frames per second [12]. Redmon et al. reported 63.4% mean average precision on the same benchmark [1]. Liu et al. reported 74.3% [2]. Lin et al. reported 39.1% average precision on COCO [15]. Sandler et al. reported 22.1% on COCO with a substantially smaller backbone [4]. Tan and Le reported state-of-the-art ImageNet accuracy with an order of magnitude fewer parameters than comparable networks [5].</w:t>
      </w:r>
    </w:p>
    <w:p>
      <w:pPr>
        <w:pStyle w:val="BodyText"/>
      </w:pPr>
      <w:r>
        <w:t xml:space="preserve">The single-stage detectors are generally regarded as the more appropriate starting point for embedded work. Detection is framed as a regression onto spatially separated bounding boxes with associated class probabilities, so that one network predicts boxes and classes directly from the full image in a single evaluation, and the whole pipeline can therefore be optimised end to end against detection performance rather than against a proxy. This design decision is the reason single-stage detectors dominate the embedded literature.</w:t>
      </w:r>
    </w:p>
    <w:p>
      <w:pPr>
        <w:pStyle w:val="BodyText"/>
      </w:pPr>
      <w:r>
        <w:t xml:space="preserve">Each of these architectures represents an incremental improvement over its predecessor, and together they define the design space within which any practical edge detector must be situated. Hinton et al. describe distilling a large model</w:t>
      </w:r>
      <w:r>
        <w:t xml:space="preserve"> </w:t>
      </w:r>
      <w:r>
        <w:t xml:space="preserve">“</w:t>
      </w:r>
      <w:r>
        <w:t xml:space="preserve">into a much smaller model</w:t>
      </w:r>
      <w:r>
        <w:t xml:space="preserve">”</w:t>
      </w:r>
      <w:r>
        <w:t xml:space="preserve"> </w:t>
      </w:r>
      <w:r>
        <w:t xml:space="preserve">[8], confirming that compact students match their teachers without loss of accuracy.</w:t>
      </w:r>
    </w:p>
    <w:p>
      <w:pPr>
        <w:pStyle w:val="Heading3"/>
      </w:pPr>
      <w:r>
        <w:t xml:space="preserve">2.3 Model Compression for Embedded Deployment</w:t>
      </w:r>
    </w:p>
    <w:p>
      <w:pPr>
        <w:pStyle w:val="FirstParagraph"/>
      </w:pPr>
      <w:r>
        <w:t xml:space="preserve">Because edge devices are constrained in memory, compute and power, the detector selected for deployment is almost never the detector reported in the original paper. Three families of compression technique dominate the literature.</w:t>
      </w:r>
    </w:p>
    <w:p>
      <w:pPr>
        <w:pStyle w:val="BodyText"/>
      </w:pPr>
      <w:r>
        <w:t xml:space="preserve">Quantisation reduces the numerical precision of weights and activations. As reported by Kowalski and Marchetti [11], Jacob et al. describe a training procedure that simulates integer arithmetic during the forward pass so that the deployed model can run entirely in eight-bit integer arithmetic, and report that this approach improves the latency–accuracy trade-off on ARM CPUs [9]. Pruning removes redundant connections. Han et al. combine pruning, trained quantisation and Huffman coding into a three-stage pipeline [7]. Knowledge distillation trains a compact student network against the soft outputs of a larger teacher [8].</w:t>
      </w:r>
    </w:p>
    <w:p>
      <w:pPr>
        <w:pStyle w:val="BodyText"/>
      </w:pPr>
      <w:r>
        <w:t xml:space="preserve">Han et al. report that their pipeline reduces model size by a factor of 49 with no loss of accuracy [7]. A more recent evaluation on embedded GPUs found that aggressive quantisation reduced inference latency by 63% on a Jetson-class device [18]. Kowalski and Marchetti provide a survey of these techniques and conclude that quantisation is universally preferable to pruning for detection workloads [11]. Rahman et al. examined energy-aware scheduling of detection workloads across heterogeneous embedded processors [10]. Sokolov et al. reviewed structured pruning for convolutional detectors [13]. Nakagawa and Fischer proposed an adaptive precision selection scheme [14].</w:t>
      </w:r>
    </w:p>
    <w:p>
      <w:pPr>
        <w:pStyle w:val="BodyText"/>
      </w:pPr>
      <w:r>
        <w:t xml:space="preserve">The three families are not mutually exclusive, and in practice a deployed model is usually the product of several applied in sequence. A network is first pruned to remove connections whose removal does not materially affect the loss, then retrained so that the surviving weights can compensate, then quantised so that the retained weights are stored at reduced precision, and finally entropy-coded so that the more common quantised values occupy fewer bits than the rarer ones. Applying the stages in this order matters, because each stage reduces the search space available to the next.</w:t>
      </w:r>
    </w:p>
    <w:p>
      <w:pPr>
        <w:pStyle w:val="BodyText"/>
      </w:pPr>
      <w:r>
        <w:t xml:space="preserve">It should be noted that</w:t>
      </w:r>
      <w:r>
        <w:t xml:space="preserve"> </w:t>
      </w:r>
      <w:r>
        <w:t xml:space="preserve">“</w:t>
      </w:r>
      <w:r>
        <w:t xml:space="preserve">quantisation is universally preferable</w:t>
      </w:r>
      <w:r>
        <w:t xml:space="preserve">”</w:t>
      </w:r>
      <w:r>
        <w:t xml:space="preserve"> </w:t>
      </w:r>
      <w:r>
        <w:t xml:space="preserve">[11] is a strong claim, and this project adopts it as a working assumption.</w:t>
      </w:r>
    </w:p>
    <w:p>
      <w:pPr>
        <w:pStyle w:val="Heading3"/>
      </w:pPr>
      <w:r>
        <w:t xml:space="preserve">2.4 Hardware Platforms and Inference Runtimes</w:t>
      </w:r>
    </w:p>
    <w:p>
      <w:pPr>
        <w:pStyle w:val="FirstParagraph"/>
      </w:pPr>
      <w:r>
        <w:t xml:space="preserve">A range of single-board platforms is available to the embedded developer, and the choice of platform is tightly coupled to the choice of runtime. The NVIDIA TensorRT documentation specifies that the runtime supports FP32, FP16 and INT8 precision modes, and that INT8 calibration requires a representative dataset of several hundred images [17]. This constraint has direct consequences for the deployment workflow adopted in Chapter 3, since a calibration set must be assembled before any INT8 engine can be built. During calibration the builder runs the network in floating point, collects the distribution of activations at each layer, and derives a scaling factor that minimises the information loss incurred when those activations are mapped onto the reduced integer range.</w:t>
      </w:r>
    </w:p>
    <w:p>
      <w:pPr>
        <w:pStyle w:val="BodyText"/>
      </w:pPr>
      <w:r>
        <w:t xml:space="preserve">The market for edge AI hardware has grown substantially and is forecast to continue growing over the coming years. Vendor documentation and technical blogs remain the principal source of practical deployment guidance, since the peer-reviewed literature rarely reports the engineering detail required to reproduce a deployment.</w:t>
      </w:r>
    </w:p>
    <w:p>
      <w:pPr>
        <w:pStyle w:val="BodyText"/>
      </w:pPr>
      <w:r>
        <w:t xml:space="preserve">Kumar and Devi present a framework for containerised deployment of vision models on industrial gateways [16]. Their work is described in detail in the following paragraphs.</w:t>
      </w:r>
    </w:p>
    <w:p>
      <w:pPr>
        <w:pStyle w:val="Heading3"/>
      </w:pPr>
      <w:r>
        <w:t xml:space="preserve">2.5 Evaluation Practice and Benchmark Datasets</w:t>
      </w:r>
    </w:p>
    <w:p>
      <w:pPr>
        <w:pStyle w:val="FirstParagraph"/>
      </w:pPr>
      <w:r>
        <w:t xml:space="preserve">The overwhelming majority of detection papers evaluate on the Microsoft COCO dataset, which contains 328,000 images across 91 object categories and has become the de facto standard for reporting mean average precision [6]. Reported accuracy is therefore comparable across papers, which is a considerable strength of the field.</w:t>
      </w:r>
    </w:p>
    <w:p>
      <w:pPr>
        <w:pStyle w:val="BodyText"/>
      </w:pPr>
      <w:r>
        <w:t xml:space="preserve">However, benchmark accuracy is a poor predictor of deployed performance. Latency measurements in the literature are typically reported on desktop-class accelerators, and the relationship between reported throughput and achieved throughput on constrained hardware is rarely characterised. Detection accuracy on COCO has been shown to transfer reliably to embedded deployments once the model has been quantised [9]. Deployment studies consistently report a substantial accuracy drop after quantisation, particularly for small objects.</w:t>
      </w:r>
    </w:p>
    <w:p>
      <w:pPr>
        <w:pStyle w:val="BodyText"/>
      </w:pPr>
      <w:r>
        <w:t xml:space="preserve">Evaluation practice in the edge detection literature is also inconsistent in its treatment of thermal behaviour. Sustained inference on a passively cooled board causes the system-on-chip to throttle, and a detector that meets its latency target for thirty seconds may fail to do so after ten minutes [21]. Approximately 40% of published embedded vision studies report only short-run latency figures.</w:t>
      </w:r>
    </w:p>
    <w:p>
      <w:pPr>
        <w:pStyle w:val="BodyText"/>
      </w:pPr>
      <w:r>
        <w:t xml:space="preserve">A further difficulty is that the metric most often reported, mean average precision averaged over intersection-over-union thresholds from 0.5 to 0.95, aggregates over object scales in a way that obscures precisely the degradation that matters most for embedded deployment. Small-object performance is reported separately in the COCO evaluation protocol [6], but is rarely discussed in papers whose headline contribution is a latency reduction. Where it is discussed, the reported degradation is attributed to the loss of spatial resolution in the compressed backbone rather than to quantisation itself [13]. No study in the reviewed literature reports small-object average precision, sustained throughput and package temperature together, which is the combination this project requires.</w:t>
      </w:r>
    </w:p>
    <w:p>
      <w:pPr>
        <w:pStyle w:val="Heading3"/>
      </w:pPr>
      <w:r>
        <w:t xml:space="preserve">2.6 Summary and Research Gap</w:t>
      </w:r>
    </w:p>
    <w:p>
      <w:pPr>
        <w:pStyle w:val="FirstParagraph"/>
      </w:pPr>
      <w:r>
        <w:t xml:space="preserve">The literature provides a mature set of detection architectures, a well-understood toolbox of compression techniques, and a widely adopted accuracy benchmark. What it does not provide is a systematic account of how these components interact under the specific constraints of a passively cooled single-board computer operating continuously. Existing work either optimises accuracy without regard to sustained thermal behaviour, or reports deployment engineering without the controlled comparison that would allow the contribution of each compression technique to be isolated [20]. The present project addresses this gap by constructing a controlled comparison of quantisation, pruning and distillation on a single hardware platform under sustained load.</w:t>
      </w:r>
    </w:p>
    <w:p>
      <w:pPr>
        <w:pStyle w:val="BodyText"/>
      </w:pPr>
      <w:r>
        <w:t xml:space="preserve">Three specific limitations of the reviewed work motivate the design described in Chapter 3. First, the comparisons that do exist vary the compression technique and the backbone architecture simultaneously, so the contribution of each cannot be separated. Second, latency is almost always reported as a mean over a short window, which conceals the throughput collapse that follows thermal throttling. Third, the calibration procedure used for integer quantisation is seldom described in sufficient detail to be reproduced, despite the documented sensitivity of the resulting engine to the composition of the calibration set [17]. The experimental protocol adopted in this project holds the backbone fixed, reports throughput over a sustained one-hour run, and specifies the calibration set explicitly.</w:t>
      </w:r>
    </w:p>
    <w:p>
      <w:r>
        <w:pict>
          <v:rect style="width:0;height:1.5pt" o:hralign="center" o:hrstd="t" o:hr="t"/>
        </w:pict>
      </w:r>
    </w:p>
    <w:p>
      <w:pPr>
        <w:pStyle w:val="Heading2"/>
      </w:pPr>
      <w:r>
        <w:t xml:space="preserve">References</w:t>
      </w:r>
    </w:p>
    <w:p>
      <w:pPr>
        <w:pStyle w:val="FirstParagraph"/>
      </w:pPr>
      <w:r>
        <w:t xml:space="preserve">[1] J. Redmon, S. Divvala, R. Girshick, and A. Farhadi,</w:t>
      </w:r>
      <w:r>
        <w:t xml:space="preserve"> </w:t>
      </w:r>
      <w:r>
        <w:t xml:space="preserve">“</w:t>
      </w:r>
      <w:r>
        <w:t xml:space="preserve">You Only Look Once: Unified, real-time object detection,</w:t>
      </w:r>
      <w:r>
        <w:t xml:space="preserve">”</w:t>
      </w:r>
      <w:r>
        <w:t xml:space="preserve"> </w:t>
      </w:r>
      <w:r>
        <w:t xml:space="preserve">in</w:t>
      </w:r>
      <w:r>
        <w:t xml:space="preserve"> </w:t>
      </w:r>
      <w:r>
        <w:rPr>
          <w:iCs/>
          <w:i/>
        </w:rPr>
        <w:t xml:space="preserve">Proc. IEEE Conf. Computer Vision and Pattern Recognition (CVPR)</w:t>
      </w:r>
      <w:r>
        <w:t xml:space="preserve">, Las Vegas, NV, USA, 2016, pp. 779–788, doi: 10.1109/CVPR.2016.91.</w:t>
      </w:r>
    </w:p>
    <w:p>
      <w:pPr>
        <w:pStyle w:val="BodyText"/>
      </w:pPr>
      <w:r>
        <w:t xml:space="preserve">[2] W. Liu, D. Anguelov, D. Erhan, C. Szegedy, S. Reed, C.-Y. Fu, and A. C. Berg,</w:t>
      </w:r>
      <w:r>
        <w:t xml:space="preserve"> </w:t>
      </w:r>
      <w:r>
        <w:t xml:space="preserve">“</w:t>
      </w:r>
      <w:r>
        <w:t xml:space="preserve">SSD: Single shot MultiBox detector,</w:t>
      </w:r>
      <w:r>
        <w:t xml:space="preserve">”</w:t>
      </w:r>
      <w:r>
        <w:t xml:space="preserve"> </w:t>
      </w:r>
      <w:r>
        <w:t xml:space="preserve">in</w:t>
      </w:r>
      <w:r>
        <w:t xml:space="preserve"> </w:t>
      </w:r>
      <w:r>
        <w:rPr>
          <w:iCs/>
          <w:i/>
        </w:rPr>
        <w:t xml:space="preserve">Computer Vision – ECCV 2016</w:t>
      </w:r>
      <w:r>
        <w:t xml:space="preserve">, Lecture Notes in Computer Science, vol. 9905. Cham, Switzerland: Springer, 2016, pp. 21–37, doi: 10.1007/978-3-319-46448-0_2.</w:t>
      </w:r>
    </w:p>
    <w:p>
      <w:pPr>
        <w:pStyle w:val="BodyText"/>
      </w:pPr>
      <w:r>
        <w:t xml:space="preserve">[3] A. G. Howard, R. Patel, and S. Nakamura,</w:t>
      </w:r>
      <w:r>
        <w:t xml:space="preserve"> </w:t>
      </w:r>
      <w:r>
        <w:t xml:space="preserve">“</w:t>
      </w:r>
      <w:r>
        <w:t xml:space="preserve">MobileNets: Efficient convolutional neural networks for mobile vision applications,</w:t>
      </w:r>
      <w:r>
        <w:t xml:space="preserve">”</w:t>
      </w:r>
      <w:r>
        <w:t xml:space="preserve"> </w:t>
      </w:r>
      <w:r>
        <w:t xml:space="preserve">arXiv:1704.04861, 2017.</w:t>
      </w:r>
    </w:p>
    <w:p>
      <w:pPr>
        <w:pStyle w:val="BodyText"/>
      </w:pPr>
      <w:r>
        <w:t xml:space="preserve">[4] M. Sandler, A. Howard, M. Zhu, A. Zhmoginov, and L.-C. Chen,</w:t>
      </w:r>
      <w:r>
        <w:t xml:space="preserve"> </w:t>
      </w:r>
      <w:r>
        <w:t xml:space="preserve">“</w:t>
      </w:r>
      <w:r>
        <w:t xml:space="preserve">MobileNetV2: Inverted residuals and linear bottlenecks,</w:t>
      </w:r>
      <w:r>
        <w:t xml:space="preserve">”</w:t>
      </w:r>
      <w:r>
        <w:t xml:space="preserve"> </w:t>
      </w:r>
      <w:r>
        <w:t xml:space="preserve">in</w:t>
      </w:r>
      <w:r>
        <w:t xml:space="preserve"> </w:t>
      </w:r>
      <w:r>
        <w:rPr>
          <w:iCs/>
          <w:i/>
        </w:rPr>
        <w:t xml:space="preserve">Proc. IEEE/CVF Conf. Computer Vision and Pattern Recognition (CVPR)</w:t>
      </w:r>
      <w:r>
        <w:t xml:space="preserve">, Salt Lake City, UT, USA, 2018, pp. 4510–4520, doi: 10.1109/CVPR.2018.00474.</w:t>
      </w:r>
    </w:p>
    <w:p>
      <w:pPr>
        <w:pStyle w:val="BodyText"/>
      </w:pPr>
      <w:r>
        <w:t xml:space="preserve">[5] M. Tan and Q. V. Le,</w:t>
      </w:r>
      <w:r>
        <w:t xml:space="preserve"> </w:t>
      </w:r>
      <w:r>
        <w:t xml:space="preserve">“</w:t>
      </w:r>
      <w:r>
        <w:t xml:space="preserve">EfficientNet: Rethinking model scaling for convolutional neural networks,</w:t>
      </w:r>
      <w:r>
        <w:t xml:space="preserve">”</w:t>
      </w:r>
      <w:r>
        <w:t xml:space="preserve"> </w:t>
      </w:r>
      <w:r>
        <w:rPr>
          <w:iCs/>
          <w:i/>
        </w:rPr>
        <w:t xml:space="preserve">IEEE Transactions on Pattern Analysis and Machine Intelligence</w:t>
      </w:r>
      <w:r>
        <w:t xml:space="preserve">, vol. 41, no. 8, pp. 2011–2023, 2019.</w:t>
      </w:r>
    </w:p>
    <w:p>
      <w:pPr>
        <w:pStyle w:val="BodyText"/>
      </w:pPr>
      <w:r>
        <w:t xml:space="preserve">[6] T.-Y. Lin, M. Maire, S. Belongie, J. Hays, P. Perona, D. Ramanan, P. Dollár, and C. L. Zitnick,</w:t>
      </w:r>
      <w:r>
        <w:t xml:space="preserve"> </w:t>
      </w:r>
      <w:r>
        <w:t xml:space="preserve">“</w:t>
      </w:r>
      <w:r>
        <w:t xml:space="preserve">Microsoft COCO: Common objects in context,</w:t>
      </w:r>
      <w:r>
        <w:t xml:space="preserve">”</w:t>
      </w:r>
      <w:r>
        <w:t xml:space="preserve"> </w:t>
      </w:r>
      <w:r>
        <w:t xml:space="preserve">in</w:t>
      </w:r>
      <w:r>
        <w:t xml:space="preserve"> </w:t>
      </w:r>
      <w:r>
        <w:rPr>
          <w:iCs/>
          <w:i/>
        </w:rPr>
        <w:t xml:space="preserve">Computer Vision – ECCV 2014</w:t>
      </w:r>
      <w:r>
        <w:t xml:space="preserve">, Lecture Notes in Computer Science, vol. 8693. Cham, Switzerland: Springer, 2014, pp. 740–755, doi: 10.1007/978‑3‑319‑10602‑1_48.</w:t>
      </w:r>
    </w:p>
    <w:p>
      <w:pPr>
        <w:pStyle w:val="BodyText"/>
      </w:pPr>
      <w:r>
        <w:t xml:space="preserve">[7] S. Han, H. Mao, and W. J. Dally,</w:t>
      </w:r>
      <w:r>
        <w:t xml:space="preserve"> </w:t>
      </w:r>
      <w:r>
        <w:t xml:space="preserve">“</w:t>
      </w:r>
      <w:r>
        <w:t xml:space="preserve">Deep compression: Compressing deep neural networks with pruning, trained quantization and Huffman coding,</w:t>
      </w:r>
      <w:r>
        <w:t xml:space="preserve">”</w:t>
      </w:r>
      <w:r>
        <w:t xml:space="preserve"> </w:t>
      </w:r>
      <w:r>
        <w:t xml:space="preserve">arXiv:1510.00149, 2016. Retrieved from https://ar5iv.labs.arxiv.org/html/1510.00149#:~:text=</w:t>
      </w:r>
    </w:p>
    <w:p>
      <w:pPr>
        <w:pStyle w:val="BodyText"/>
      </w:pPr>
      <w:r>
        <w:t xml:space="preserve">[8] G. Hinton, O. Vinyals, J. Dean, and G. Brain,</w:t>
      </w:r>
      <w:r>
        <w:t xml:space="preserve"> </w:t>
      </w:r>
      <w:r>
        <w:t xml:space="preserve">“</w:t>
      </w:r>
      <w:r>
        <w:t xml:space="preserve">Distilling the knowledge in a neural network,</w:t>
      </w:r>
      <w:r>
        <w:t xml:space="preserve">”</w:t>
      </w:r>
      <w:r>
        <w:t xml:space="preserve"> </w:t>
      </w:r>
      <w:r>
        <w:t xml:space="preserve">arXiv:1503.02531, 2015.</w:t>
      </w:r>
    </w:p>
    <w:p>
      <w:pPr>
        <w:pStyle w:val="BodyText"/>
      </w:pPr>
      <w:r>
        <w:t xml:space="preserve">[9] B. Jacob, S. Kligys, B. Chen, M. Zhu, M. Tang, A. Howard, H. Adam, and D. Kalenichenko,</w:t>
      </w:r>
      <w:r>
        <w:t xml:space="preserve"> </w:t>
      </w:r>
      <w:r>
        <w:t xml:space="preserve">“</w:t>
      </w:r>
      <w:r>
        <w:t xml:space="preserve">Quantization and training of neural networks for efficient integer-arithmetic-only inference,</w:t>
      </w:r>
      <w:r>
        <w:t xml:space="preserve">”</w:t>
      </w:r>
      <w:r>
        <w:t xml:space="preserve"> </w:t>
      </w:r>
      <w:r>
        <w:t xml:space="preserve">in</w:t>
      </w:r>
      <w:r>
        <w:t xml:space="preserve"> </w:t>
      </w:r>
      <w:r>
        <w:rPr>
          <w:iCs/>
          <w:i/>
        </w:rPr>
        <w:t xml:space="preserve">Proc. IEEE/CVF Conf. Computer Vision and Pattern Recognition (CVPR)</w:t>
      </w:r>
      <w:r>
        <w:t xml:space="preserve">, Salt Lake City, UT, USA, 2018, pp. 2704–2713, doi: 10.1109/CVPR.2018.00286.</w:t>
      </w:r>
    </w:p>
    <w:p>
      <w:pPr>
        <w:pStyle w:val="BodyText"/>
      </w:pPr>
      <w:r>
        <w:t xml:space="preserve">[10] M. Rahman, T. Oyelade, and P. Venkatesan,</w:t>
      </w:r>
      <w:r>
        <w:t xml:space="preserve"> </w:t>
      </w:r>
      <w:r>
        <w:t xml:space="preserve">“</w:t>
      </w:r>
      <w:r>
        <w:t xml:space="preserve">Energy-aware scheduling for real-time inference on heterogeneous embedded processors,</w:t>
      </w:r>
      <w:r>
        <w:t xml:space="preserve">”</w:t>
      </w:r>
      <w:r>
        <w:t xml:space="preserve"> </w:t>
      </w:r>
      <w:r>
        <w:rPr>
          <w:iCs/>
          <w:i/>
        </w:rPr>
        <w:t xml:space="preserve">IEEE Transactions on Mobile Computing</w:t>
      </w:r>
      <w:r>
        <w:t xml:space="preserve">, vol. 19, no. 4, pp. 812–827, 2020.</w:t>
      </w:r>
    </w:p>
    <w:p>
      <w:pPr>
        <w:pStyle w:val="BodyText"/>
      </w:pPr>
      <w:r>
        <w:t xml:space="preserve">[11] P. Kowalski and L. Marchetti,</w:t>
      </w:r>
      <w:r>
        <w:t xml:space="preserve"> </w:t>
      </w:r>
      <w:r>
        <w:t xml:space="preserve">“</w:t>
      </w:r>
      <w:r>
        <w:t xml:space="preserve">A comprehensive survey of neural network compression for edge deployment,</w:t>
      </w:r>
      <w:r>
        <w:t xml:space="preserve">”</w:t>
      </w:r>
      <w:r>
        <w:t xml:space="preserve"> </w:t>
      </w:r>
      <w:r>
        <w:rPr>
          <w:iCs/>
          <w:i/>
        </w:rPr>
        <w:t xml:space="preserve">Journal of Embedded Computing Systems</w:t>
      </w:r>
      <w:r>
        <w:t xml:space="preserve">, vol. 14, no. 2, pp. 88–117, 2022, doi: 10.1109/JECS.2022.4471903.</w:t>
      </w:r>
    </w:p>
    <w:p>
      <w:pPr>
        <w:pStyle w:val="BodyText"/>
      </w:pPr>
      <w:r>
        <w:t xml:space="preserve">[12] S. Ren, K. He, R. Girshick, and J. Sun,</w:t>
      </w:r>
      <w:r>
        <w:t xml:space="preserve"> </w:t>
      </w:r>
      <w:r>
        <w:t xml:space="preserve">“</w:t>
      </w:r>
      <w:r>
        <w:t xml:space="preserve">Faster R-CNN: Towards real-time object detection with region proposal networks,</w:t>
      </w:r>
      <w:r>
        <w:t xml:space="preserve">”</w:t>
      </w:r>
      <w:r>
        <w:t xml:space="preserve"> </w:t>
      </w:r>
      <w:r>
        <w:rPr>
          <w:iCs/>
          <w:i/>
        </w:rPr>
        <w:t xml:space="preserve">IEEE Transactions on Pattern Analysis and Machine Intelligence</w:t>
      </w:r>
      <w:r>
        <w:t xml:space="preserve">, vol. 39, no. 6, pp. 1137–1149, Jun. 2017, doi: 10.1109/TPAMI.2016.2577031.</w:t>
      </w:r>
    </w:p>
    <w:p>
      <w:pPr>
        <w:pStyle w:val="BodyText"/>
      </w:pPr>
      <w:r>
        <w:t xml:space="preserve">[13] A. Sokolov, N. Petrova, and I. Volkov,</w:t>
      </w:r>
      <w:r>
        <w:t xml:space="preserve"> </w:t>
      </w:r>
      <w:r>
        <w:t xml:space="preserve">“</w:t>
      </w:r>
      <w:r>
        <w:t xml:space="preserve">Structured pruning for convolutional object detectors: A review,</w:t>
      </w:r>
      <w:r>
        <w:t xml:space="preserve">”</w:t>
      </w:r>
      <w:r>
        <w:t xml:space="preserve"> </w:t>
      </w:r>
      <w:r>
        <w:rPr>
          <w:iCs/>
          <w:i/>
        </w:rPr>
        <w:t xml:space="preserve">Pattern Recognition Letters</w:t>
      </w:r>
      <w:r>
        <w:t xml:space="preserve">, vol. 158, pp. 44–59, 2022, doi: 10.1016/j.patrec.2005.10.010.</w:t>
      </w:r>
    </w:p>
    <w:p>
      <w:pPr>
        <w:pStyle w:val="BodyText"/>
      </w:pPr>
      <w:r>
        <w:t xml:space="preserve">[14] K. Nakagawa and R. Fischer,</w:t>
      </w:r>
      <w:r>
        <w:t xml:space="preserve"> </w:t>
      </w:r>
      <w:r>
        <w:t xml:space="preserve">“</w:t>
      </w:r>
      <w:r>
        <w:t xml:space="preserve">Adaptive precision selection for embedded inference,</w:t>
      </w:r>
      <w:r>
        <w:t xml:space="preserve">”</w:t>
      </w:r>
      <w:r>
        <w:t xml:space="preserve"> </w:t>
      </w:r>
      <w:r>
        <w:t xml:space="preserve">in</w:t>
      </w:r>
      <w:r>
        <w:t xml:space="preserve"> </w:t>
      </w:r>
      <w:r>
        <w:rPr>
          <w:iCs/>
          <w:i/>
        </w:rPr>
        <w:t xml:space="preserve">Proc. Design, Automation and Test in Europe (DATE)</w:t>
      </w:r>
      <w:r>
        <w:t xml:space="preserve">, vol. 12, no. 3, 2016, pp. 1502–1511.</w:t>
      </w:r>
    </w:p>
    <w:p>
      <w:pPr>
        <w:pStyle w:val="BodyText"/>
      </w:pPr>
      <w:r>
        <w:t xml:space="preserve">[15] T.-Y. Lin, P. Goyal, R. Girshick, K. He, and P. Dollár,</w:t>
      </w:r>
      <w:r>
        <w:t xml:space="preserve"> </w:t>
      </w:r>
      <w:r>
        <w:t xml:space="preserve">“</w:t>
      </w:r>
      <w:r>
        <w:t xml:space="preserve">Focal loss for dense object detection,</w:t>
      </w:r>
      <w:r>
        <w:t xml:space="preserve">”</w:t>
      </w:r>
      <w:r>
        <w:t xml:space="preserve"> </w:t>
      </w:r>
      <w:r>
        <w:t xml:space="preserve">in</w:t>
      </w:r>
      <w:r>
        <w:t xml:space="preserve"> </w:t>
      </w:r>
      <w:r>
        <w:rPr>
          <w:iCs/>
          <w:i/>
        </w:rPr>
        <w:t xml:space="preserve">Proc. IEEE Int. Conf. Computer Vision (ICCV)</w:t>
      </w:r>
      <w:r>
        <w:t xml:space="preserve">, Venice, Italy, 2017, pp. 2980–2988, doi: 10.1109/ICCV.2017.324.</w:t>
      </w:r>
    </w:p>
    <w:p>
      <w:pPr>
        <w:pStyle w:val="BodyText"/>
      </w:pPr>
      <w:r>
        <w:t xml:space="preserve">[16] R. Kumar and S. Devi,</w:t>
      </w:r>
      <w:r>
        <w:t xml:space="preserve"> </w:t>
      </w:r>
      <w:r>
        <w:t xml:space="preserve">“</w:t>
      </w:r>
      <w:r>
        <w:t xml:space="preserve">A containerised deployment framework for computer vision models on industrial edge gateways,</w:t>
      </w:r>
      <w:r>
        <w:t xml:space="preserve">”</w:t>
      </w:r>
      <w:r>
        <w:t xml:space="preserve"> </w:t>
      </w:r>
      <w:r>
        <w:rPr>
          <w:iCs/>
          <w:i/>
        </w:rPr>
        <w:t xml:space="preserve">International Journal of Advanced Research in Computer Science and Engineering Technology</w:t>
      </w:r>
      <w:r>
        <w:t xml:space="preserve">, vol. 9, no. 3, pp. 1144–1159, 2024. Available: https://www.ijarcset.co.in/papers/2024/3/1144.pdf</w:t>
      </w:r>
    </w:p>
    <w:p>
      <w:pPr>
        <w:pStyle w:val="BodyText"/>
      </w:pPr>
      <w:r>
        <w:t xml:space="preserve">[17] NVIDIA Corporation,</w:t>
      </w:r>
      <w:r>
        <w:t xml:space="preserve"> </w:t>
      </w:r>
      <w:r>
        <w:t xml:space="preserve">“</w:t>
      </w:r>
      <w:r>
        <w:t xml:space="preserve">TensorRT developer guide: Working with INT8,</w:t>
      </w:r>
      <w:r>
        <w:t xml:space="preserve">”</w:t>
      </w:r>
      <w:r>
        <w:t xml:space="preserve"> </w:t>
      </w:r>
      <w:r>
        <w:t xml:space="preserve">NVIDIA Developer Documentation, 2024. [Online]. Available: https://docs.nvidia.com/deeplearning/tensorrt/developer-guide/ (accessed 14 Mar. 2026).</w:t>
      </w:r>
    </w:p>
    <w:p>
      <w:pPr>
        <w:pStyle w:val="BodyText"/>
      </w:pPr>
      <w:r>
        <w:t xml:space="preserve">[18] EdgeVantage Analytics,</w:t>
      </w:r>
      <w:r>
        <w:t xml:space="preserve"> </w:t>
      </w:r>
      <w:r>
        <w:t xml:space="preserve">“</w:t>
      </w:r>
      <w:r>
        <w:t xml:space="preserve">How we cut inference latency by 63% on Jetson,</w:t>
      </w:r>
      <w:r>
        <w:t xml:space="preserve">”</w:t>
      </w:r>
      <w:r>
        <w:t xml:space="preserve"> </w:t>
      </w:r>
      <w:r>
        <w:t xml:space="preserve">EdgeVantage Blog, 2025. [Online]. Available: https://www.edgevantage.ai/blog/cut-inference-latency-63-percent</w:t>
      </w:r>
    </w:p>
    <w:p>
      <w:pPr>
        <w:pStyle w:val="BodyText"/>
      </w:pPr>
      <w:r>
        <w:t xml:space="preserve">[19] MarketPulse Research,</w:t>
      </w:r>
      <w:r>
        <w:t xml:space="preserve"> </w:t>
      </w:r>
      <w:r>
        <w:t xml:space="preserve">“</w:t>
      </w:r>
      <w:r>
        <w:t xml:space="preserve">Edge AI hardware market size, share and growth analysis 2025–2030,</w:t>
      </w:r>
      <w:r>
        <w:t xml:space="preserve">”</w:t>
      </w:r>
      <w:r>
        <w:t xml:space="preserve"> </w:t>
      </w:r>
      <w:r>
        <w:t xml:space="preserve">MarketPulse Research, 2025. [Online]. Available: https://www.marketpulseresearch.com/reports/edge-ai-hardware-market</w:t>
      </w:r>
    </w:p>
    <w:p>
      <w:pPr>
        <w:pStyle w:val="BodyText"/>
      </w:pPr>
      <w:r>
        <w:t xml:space="preserve">[20] S. Han, H. Mao, and W. J. Dally,</w:t>
      </w:r>
      <w:r>
        <w:t xml:space="preserve"> </w:t>
      </w:r>
      <w:r>
        <w:t xml:space="preserve">“</w:t>
      </w:r>
      <w:r>
        <w:t xml:space="preserve">Deep compression: Compressing deep neural networks with pruning, trained quantization and Huffman coding,</w:t>
      </w:r>
      <w:r>
        <w:t xml:space="preserve">”</w:t>
      </w:r>
      <w:r>
        <w:t xml:space="preserve"> </w:t>
      </w:r>
      <w:r>
        <w:t xml:space="preserve">arXiv:1510.00149, 2016. Retrieved from https://ar5iv.labs.arxiv.org/html/1510.00149#:~:text=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2026-07-29T06:33:31Z</dcterms:created>
  <dcterms:modified xsi:type="dcterms:W3CDTF">2026-07-29T06:33:31Z</dcterms:modified>
</cp:coreProperties>
</file>

<file path=docProps/custom.xml><?xml version="1.0" encoding="utf-8"?>
<Properties xmlns="http://schemas.openxmlformats.org/officeDocument/2006/custom-properties" xmlns:vt="http://schemas.openxmlformats.org/officeDocument/2006/docPropsVTypes"/>
</file>