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/>
      <w:bookmarkStart w:id="0" w:name="_Toc404249137"/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Федеральное государственное бюджетное образовательное учреждение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высшего образования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«РОССИЙСКАЯ АКАДЕМИЯ НАРОДНОГО ХОЗЯЙСТВА </w:t>
      </w: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br/>
        <w:t xml:space="preserve">И ГОСУДАРСТВЕННОЙ СЛУЖБЫ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ПРИ ПРЕЗИДЕНТЕ РОССИЙСКОЙ ФЕДЕРАЦИИ»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MS Mincho" w:cs="Mangal"/>
          <w:b/>
          <w:sz w:val="24"/>
          <w:szCs w:val="24"/>
          <w:lang w:eastAsia="zh-CN" w:bidi="hi-IN"/>
        </w:rPr>
        <w:t xml:space="preserve">НИЖЕГОРОДСКИЙ ИНСТИТУТ УПРАВЛЕНИЯ – филиал </w:t>
      </w:r>
      <w:r>
        <w:rPr>
          <w:rFonts w:ascii="Liberation Serif" w:hAnsi="Liberation Serif" w:eastAsia="MS Mincho" w:cs="Mangal"/>
          <w:b/>
          <w:sz w:val="24"/>
          <w:szCs w:val="24"/>
          <w:lang w:eastAsia="zh-CN" w:bidi="hi-IN"/>
        </w:rPr>
        <w:t xml:space="preserve">РАНХиГС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8"/>
          <w:szCs w:val="26"/>
          <w:lang w:eastAsia="zh-CN" w:bidi="hi-IN"/>
        </w:rPr>
      </w:pPr>
      <w:r>
        <w:rPr>
          <w:rFonts w:hint="eastAsia" w:ascii="Liberation Serif" w:hAnsi="Liberation Serif" w:eastAsia="SimSun" w:cs="Mangal"/>
          <w:sz w:val="28"/>
          <w:szCs w:val="26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Факультет:  _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управления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__________________________________________________</w:t>
      </w:r>
      <w:r/>
    </w:p>
    <w:p>
      <w:pPr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Кафедра  _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Информатики и информационных технологий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Направление подготовки / специальность: 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09.04.03 Прикладная информатика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</w:t>
      </w:r>
      <w:r>
        <w:rPr>
          <w:rFonts w:ascii="Liberation Serif" w:hAnsi="Liberation Serif" w:eastAsia="SimSun" w:cs="Mangal"/>
          <w:b/>
          <w:sz w:val="24"/>
          <w:szCs w:val="24"/>
          <w:lang w:eastAsia="zh-CN" w:bidi="hi-IN"/>
        </w:rPr>
        <w:t xml:space="preserve">__________________________________________________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i/>
          <w:sz w:val="18"/>
          <w:szCs w:val="18"/>
          <w:lang w:eastAsia="zh-CN" w:bidi="hi-IN"/>
        </w:rPr>
        <w:t xml:space="preserve">(код, наименование)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Направленность (профиль) / специализация: __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Корпоративные информационные_______________ системы управления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_____________________________________</w:t>
      </w:r>
      <w:r>
        <w:rPr>
          <w:rFonts w:ascii="Times New Roman" w:hAnsi="Times New Roman" w:eastAsia="SimSun" w:cs="Times New Roman"/>
          <w:b/>
          <w:sz w:val="26"/>
          <w:szCs w:val="24"/>
          <w:lang w:eastAsia="zh-CN" w:bidi="hi-IN"/>
        </w:rPr>
        <w:t xml:space="preserve">_________________________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ПРАКТИЧЕСКАЯ</w:t>
      </w:r>
      <w:r>
        <w:rPr>
          <w:rFonts w:ascii="Liberation Serif" w:hAnsi="Liberation Serif" w:eastAsia="SimSun" w:cs="Mangal"/>
          <w:b/>
          <w:bCs/>
          <w:sz w:val="24"/>
          <w:szCs w:val="24"/>
          <w:lang w:val="en-US" w:eastAsia="zh-CN" w:bidi="hi-IN"/>
        </w:rPr>
        <w:t xml:space="preserve"> РАБОТА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i/>
          <w:sz w:val="16"/>
          <w:szCs w:val="16"/>
          <w:lang w:val="en-US" w:eastAsia="zh-CN" w:bidi="hi-IN"/>
        </w:rPr>
      </w:pPr>
      <w:r>
        <w:rPr>
          <w:rFonts w:hint="eastAsia" w:ascii="Liberation Serif" w:hAnsi="Liberation Serif" w:eastAsia="SimSun" w:cs="Mangal"/>
          <w:i/>
          <w:sz w:val="16"/>
          <w:szCs w:val="16"/>
          <w:lang w:val="en-US" w:eastAsia="zh-CN" w:bidi="hi-IN"/>
        </w:rPr>
      </w:r>
      <w:r/>
    </w:p>
    <w:tbl>
      <w:tblPr>
        <w:tblW w:w="1031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59"/>
        <w:gridCol w:w="7655"/>
      </w:tblGrid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ind w:left="-142" w:right="-108"/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по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дисциплине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:</w:t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___Программная инженерия____________________________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ind w:left="-142" w:right="-108"/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на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тему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:</w:t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«__Работа с 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Git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 и 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Github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________________________________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_____________________________________________________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____________________________________________________»</w:t>
            </w:r>
            <w:r/>
          </w:p>
        </w:tc>
      </w:tr>
    </w:tbl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r>
      <w:r/>
    </w:p>
    <w:tbl>
      <w:tblPr>
        <w:tblW w:w="9924" w:type="dxa"/>
        <w:tblInd w:w="-4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03"/>
        <w:gridCol w:w="442"/>
        <w:gridCol w:w="4679"/>
      </w:tblGrid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  <w:t xml:space="preserve">АВТОР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Обучающийся(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иеся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) 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3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 курса группы 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Иб-531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___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заочной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____________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формы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обучения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  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Иголь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 А.А.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подпись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                                       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фамилия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инициалы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  <w:t xml:space="preserve">РУКОВОДИТЕЛЬ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ученая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степень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ученое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звание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оценка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 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«_____» __________________ 20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val="en-US" w:bidi="hi-IN"/>
              </w:rPr>
              <w:t xml:space="preserve">23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 г.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дата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защиты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  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Окулич В.И.</w:t>
            </w:r>
            <w:bookmarkStart w:id="1" w:name="_GoBack"/>
            <w:r/>
            <w:bookmarkEnd w:id="1"/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подпись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                                       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фамилия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инициалы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</w:tbl>
    <w:p>
      <w:pPr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pStyle w:val="827"/>
        <w:jc w:val="center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Нижний</w:t>
      </w:r>
      <w:r>
        <w:t xml:space="preserve"> </w:t>
      </w:r>
      <w:r>
        <w:t xml:space="preserve">Новгород</w:t>
      </w:r>
      <w:r>
        <w:t xml:space="preserve">, </w:t>
      </w:r>
      <w:bookmarkStart w:id="2" w:name="_Toc441146753"/>
      <w:r>
        <w:rPr>
          <w:lang w:val="ru-RU"/>
        </w:rPr>
        <w:t xml:space="preserve">20</w:t>
      </w:r>
      <w:r>
        <w:rPr>
          <w:u w:val="single"/>
          <w:lang w:val="ru-RU"/>
        </w:rPr>
        <w:t xml:space="preserve">23</w:t>
      </w:r>
      <w:r>
        <w:rPr>
          <w:lang w:val="ru-RU"/>
        </w:rPr>
        <w:t xml:space="preserve">_г</w:t>
      </w:r>
      <w:r>
        <w:t xml:space="preserve">.</w:t>
      </w:r>
      <w:bookmarkEnd w:id="0"/>
      <w:r/>
      <w:bookmarkEnd w:id="2"/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/>
    </w:p>
    <w:p>
      <w:pPr>
        <w:pStyle w:val="827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Практическая работа №1. Работа с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 набор консольных утилит, которые отслеживают и фиксируют изменения в файлах. Файлы могут быть как кодом программ, так и любым другим файлом по типу .</w:t>
      </w:r>
      <w:r>
        <w:rPr>
          <w:rFonts w:ascii="Times New Roman" w:hAnsi="Times New Roman" w:cs="Times New Roman"/>
          <w:sz w:val="28"/>
          <w:szCs w:val="28"/>
        </w:rPr>
        <w:t xml:space="preserve">docx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 Изначально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создан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Линусом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Торвальдсом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разработке ядра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Однако инструмент так понравился разработчикам, что получил широкое распространение и стал использоваться в других проектах.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его помощью можно сравнивать, анализировать, редактировать, сливать изменения и возвращаться назад к последнему сохранению, т. е. выполнять контроль версий. Это бывает очень удобно, когда нужно откатиться на некоторое количество версий назад.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полезен при командной разработке одного проекта.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сливает различные изменения нескольких разработчиков в один итоговый код, который (с большой долей вероятности) будет корректно соединен.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распределенным. Он работает локально, сохраняя данные в директориях на жестком диске, которые называются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этом можно хранить копию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онлайн, что сильно облегчает работу над одним проектом для нескольких людей. Для этого используются сайты вроде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bitbucket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используется понятие веток. Это значит, что два разных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разработчкиа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могут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одним кодом в разных версиях программы без затрагивания изменений друг друга. Когда разработчик заканчивает работу над своим кодом на данной ветке, он выполняет процесс слияния его ветки с главной.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 </w:t>
      </w:r>
      <w:hyperlink r:id="rId9" w:tooltip="https://git-scm.com/download/win" w:history="1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сайта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скачать загрузочный пакет, запустить его и выполнять команды, появляющиеся на экране.</w:t>
      </w:r>
      <w:r/>
      <w:r>
        <w:rPr>
          <w:rFonts w:ascii="Times New Roman" w:hAnsi="Times New Roman" w:cs="Times New Roman"/>
          <w:sz w:val="28"/>
          <w:szCs w:val="28"/>
          <w:lang w:val="ru-RU"/>
        </w:rPr>
      </w:r>
      <w:r/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зарегистрироваться на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добавление файлов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как создать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уже оттуда загрузить его на локальную машину через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и создать проект на локальной машине и загрузить его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GitHub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нового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перейти на вкладку </w:t>
      </w:r>
      <w:r>
        <w:rPr>
          <w:rFonts w:ascii="Times New Roman" w:hAnsi="Times New Roman" w:cs="Times New Roman"/>
          <w:sz w:val="28"/>
          <w:szCs w:val="28"/>
        </w:rPr>
        <w:t xml:space="preserve">Repositories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</w:t>
      </w:r>
      <w:r>
        <w:rPr>
          <w:rFonts w:ascii="Times New Roman" w:hAnsi="Times New Roman" w:cs="Times New Roman"/>
          <w:sz w:val="28"/>
          <w:szCs w:val="28"/>
        </w:rPr>
        <w:t xml:space="preserve">New</w:t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заполнить необходимые поля: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Repository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(Имя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Description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(описание проекта, желательно добавлять, чтобы другие разработчики понимали, о чем этот проект)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Public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Private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(настройки приватности)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(добавление файла </w:t>
      </w:r>
      <w:r>
        <w:rPr>
          <w:rFonts w:ascii="Times New Roman" w:hAnsi="Times New Roman" w:cs="Times New Roman"/>
          <w:sz w:val="28"/>
          <w:szCs w:val="28"/>
        </w:rPr>
        <w:t xml:space="preserve"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болле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подробно описывается проект, возможно с картинками и примерами работы)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итоге создается новый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кнопки </w:t>
      </w:r>
      <w:r>
        <w:rPr>
          <w:rFonts w:ascii="Times New Roman" w:hAnsi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добавить файл (как создать новый, так и загрузить готовый).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файл отобразится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также загрузить файл. После загрузки он также отобразится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загрузить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локальную машину и работать с файлами, нужно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склонировать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его с помощью команды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clone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пути до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Git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создать папку с файлами в любом удобном редакторе.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настраиваем имя пользователя и </w:t>
      </w:r>
      <w:r>
        <w:rPr>
          <w:rFonts w:ascii="Times New Roman" w:hAnsi="Times New Roman" w:cs="Times New Roman"/>
          <w:sz w:val="28"/>
          <w:szCs w:val="28"/>
        </w:rPr>
        <w:t xml:space="preserve">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каждое действие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отмечалось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в папку с проектом. Создаем там новый локальный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Добавляем файлы в локальный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 протоколу </w:t>
      </w:r>
      <w:r>
        <w:rPr>
          <w:rFonts w:ascii="Times New Roman" w:hAnsi="Times New Roman" w:cs="Times New Roman"/>
          <w:sz w:val="28"/>
          <w:szCs w:val="28"/>
        </w:rPr>
        <w:t xml:space="preserve"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добавляем удаленный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hyperlink r:id="rId10" w:tooltip="https://habr.com/ru/sandbox/127958/" w:history="1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Первый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коммит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в </w:t>
        </w:r>
        <w:r>
          <w:rPr>
            <w:rFonts w:ascii="Times New Roman" w:hAnsi="Times New Roman" w:cs="Times New Roman"/>
            <w:sz w:val="28"/>
            <w:szCs w:val="28"/>
          </w:rPr>
          <w:t xml:space="preserve">Github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/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Хабр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</w:rPr>
          <w:t xml:space="preserve">habr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.</w:t>
        </w:r>
        <w:r>
          <w:rPr>
            <w:rFonts w:ascii="Times New Roman" w:hAnsi="Times New Roman" w:cs="Times New Roman"/>
            <w:sz w:val="28"/>
            <w:szCs w:val="28"/>
          </w:rPr>
          <w:t xml:space="preserve">com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)</w:t>
        </w:r>
      </w:hyperlink>
      <w:r/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Практический опыт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Попробуем добавить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 этой лабораторной работы и исправить его через создание новой ветки с ее последующим слиянием.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820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183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28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54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7552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612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575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45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820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605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228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54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267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897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132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46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811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60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281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8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617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6949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246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176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Style w:val="828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Рис. 1.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Практическое задание №2. Проведение реквизитного анализа финансово – экономических документов.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работы является ознакомление с методологией реквизитного анализа документа и методикой проектирования на его основе базы данных экономической информационной системы.</w:t>
      </w:r>
      <w:r/>
    </w:p>
    <w:p>
      <w:pPr>
        <w:ind w:firstLine="720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большинства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внемашинных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документов в фиксированном формате принято выделять: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Общую часть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(иногда называемую заголовочной, хотя по месту расположения реквизиты общей части могут располагаться и в так называемом подножии (обычно итоговые реквизиты).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Предметные строки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– множество однородных строк данных, в большинстве случаев содержащее неопределенное количество подобных строк.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Оформительскую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или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заверительную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часть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документа – подписи, печати и штампы, удостоверяющие юридическую силу документа и ответственность за его оформление и выполнение; оформительские реквизиты не предназначены, как правило, для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хранения в виде нормализованного файла; отметим, что существуют современные технологии электронной подписи и другие методы электронной авторизации юридической силы документа, введенного в память ЭВМ, которые относятся к технологиям защиты информации в ЭВМ.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Реквизиты, предназначенные для улучшения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читабельности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внемашинного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документа и не подлежащие вводу в нормализованный файл, но, возможно, хранящиеся в форме машинной константы того или иного вида или же в позиции машинного файла специального вида, например, в поле типа MEMO.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Текст в свободном формате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который может храниться в виде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машинной константы, отдельного файла или же в поле типа MEMO.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возьмем документ График отпусков.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810000"/>
                <wp:effectExtent l="0" t="0" r="9525" b="0"/>
                <wp:docPr id="7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4075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2pt;height:300.0pt;mso-wrap-distance-left:0.0pt;mso-wrap-distance-top:0.0pt;mso-wrap-distance-right:0.0pt;mso-wrap-distance-bottom:0.0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График отпусков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составе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  <w:szCs w:val="28"/>
        </w:rPr>
        <w:t xml:space="preserve"> мы видим СЭД заголовочной (тип 1) части документа (с такими реквизитами, как «Номер документа», «Дата составления», «На год»), а также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(наименование организации). Данный реквизит был отнесен сюда в связи с тем, что предприятие может являться холдингом, состоящим из нескольких организаций, в каждой из которых будет свой график отпусков.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Предметные строки (тип 2)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 в количестве, равном количеству сотрудников на предприятии, содержат</w:t>
      </w:r>
      <w:r>
        <w:rPr>
          <w:rFonts w:ascii="Times New Roman" w:hAnsi="Times New Roman" w:cs="Times New Roman"/>
          <w:sz w:val="28"/>
          <w:szCs w:val="28"/>
        </w:rPr>
        <w:t xml:space="preserve"> реквизиты «Структурное подразделение», «Должность», «Фамилия, имя, отчество», «Табельный номер», «Количество календарных дней отпуска», «Дата запланированная», «Дата фактическая», «Основание переноса отпуска», «дата предполагаемого отпуска», «Примечания».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Оформительские (тип 3) реквизиты имеются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 (Должность руководителя, подпись руководителя, расшифровка подписи, дата подписания) и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  <w:szCs w:val="28"/>
        </w:rPr>
        <w:t xml:space="preserve"> (должность руководителя кадровой службы, личная подпись, расшифровка подписи), а также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(дата мнения, номер мнения).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Реквизиты типа 4 расположены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  <w:szCs w:val="28"/>
        </w:rPr>
        <w:t xml:space="preserve"> (заголовок «График отпусков»). СЭД 5 типа мы видим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(информация об утверждении формы).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базы данных представлена на рис. 3.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124200"/>
                <wp:effectExtent l="0" t="0" r="9525" b="0"/>
                <wp:docPr id="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4075" cy="312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2pt;height:246.0pt;mso-wrap-distance-left:0.0pt;mso-wrap-distance-top:0.0pt;mso-wrap-distance-right:0.0pt;mso-wrap-distance-bottom:0.0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Схема базы данных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анализа сведены в табл. 1.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1. Результаты реквизитного анализа</w:t>
      </w:r>
      <w:r/>
    </w:p>
    <w:tbl>
      <w:tblPr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454"/>
        <w:gridCol w:w="1077"/>
        <w:gridCol w:w="794"/>
        <w:gridCol w:w="2642"/>
        <w:gridCol w:w="1080"/>
        <w:gridCol w:w="1080"/>
        <w:gridCol w:w="2160"/>
      </w:tblGrid>
      <w:tr>
        <w:trPr/>
        <w:tc>
          <w:tcPr>
            <w:tcW w:w="454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№№№</w:t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Часть </w:t>
            </w:r>
            <w:r/>
          </w:p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документа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Тип части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рекв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во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внемаш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документе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Перенос в норм. файл 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в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нормал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файле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Тип в нормализованном. </w:t>
            </w:r>
            <w:r/>
          </w:p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файле</w:t>
            </w:r>
            <w:r/>
          </w:p>
        </w:tc>
      </w:tr>
      <w:tr>
        <w:trPr>
          <w:trHeight w:val="218"/>
        </w:trPr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jc w:val="center"/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4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Информация об утверждении формы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tabs>
                <w:tab w:val="left" w:pos="511" w:leader="none"/>
              </w:tabs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организации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мнения выборного профсоюза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Номер мнения выборного профсоюза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Номер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P2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Год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 руководителя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Подпись руководителя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Расшифровка подписи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подписания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Структурное подразделение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P3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P4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Сотрудник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P5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Табельный номер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P6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Количество календарных дней отпуска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P7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запланированная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P8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фактическая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P9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Основание переноса отпуска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предполагаемого отпуска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P10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Примечания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P11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Подпись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Расшифровка подписи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Реквизиты 1-4, 8-11 и 22-24 не переносятся в документ, т.к. относятся к оформительскому типу. Реквизит 7 не переносится, т.к. нужен только во </w:t>
      </w:r>
      <w:r>
        <w:rPr>
          <w:rFonts w:ascii="Times New Roman" w:hAnsi="Times New Roman" w:cs="Times New Roman"/>
          <w:sz w:val="28"/>
          <w:szCs w:val="28"/>
        </w:rPr>
        <w:t xml:space="preserve">внемашинном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представлении, год для отбора хранится в реквизите «Дата предполагаемая». Реквизит 19 не переносится по соображению проектировщика, т.к. предполагается хранение данных в отдельном файле.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Нормализованный вид полученного файла представлен в табл. 2.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2. Нормализованный вид полученного файла</w:t>
      </w:r>
      <w:r/>
    </w:p>
    <w:tbl>
      <w:tblPr>
        <w:tblStyle w:val="821"/>
        <w:tblW w:w="10837" w:type="dxa"/>
        <w:tblInd w:w="-1281" w:type="dxa"/>
        <w:tblLook w:val="04A0" w:firstRow="1" w:lastRow="0" w:firstColumn="1" w:lastColumn="0" w:noHBand="0" w:noVBand="1"/>
      </w:tblPr>
      <w:tblGrid>
        <w:gridCol w:w="512"/>
        <w:gridCol w:w="1476"/>
        <w:gridCol w:w="1546"/>
        <w:gridCol w:w="1829"/>
        <w:gridCol w:w="1388"/>
        <w:gridCol w:w="1056"/>
        <w:gridCol w:w="512"/>
        <w:gridCol w:w="1476"/>
        <w:gridCol w:w="1476"/>
        <w:gridCol w:w="652"/>
        <w:gridCol w:w="1191"/>
      </w:tblGrid>
      <w:tr>
        <w:trPr/>
        <w:tc>
          <w:tcPr>
            <w:tcW w:w="4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17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</w:t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P2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P3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P4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P5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P6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P7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P8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P9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P10</w:t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P11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23.04.2022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Отдел разработки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Иванов Иван Иванович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111333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12.06.2022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12.06.2022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Ушел вовремя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файла состоит из двух первых ненумерованных строк, одна из которых содержит номера реквизитов согласно табл. 1, во второй</w:t>
      </w:r>
      <w:r>
        <w:rPr>
          <w:rFonts w:ascii="Times New Roman" w:hAnsi="Times New Roman" w:cs="Times New Roman"/>
          <w:sz w:val="28"/>
          <w:szCs w:val="28"/>
        </w:rPr>
        <w:t xml:space="preserve"> строке помещены идентификаторы реквизитов согласно той же таблице. Значения реквизитов в ячейках табл. 2 построены по правилам, перечисленным выше, и соответствуют значениям реквизитов в исходном документе. Ключом является реквизит Р1 – «Номер документа».</w:t>
      </w:r>
      <w:r/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093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424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Рис. 4.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IDEF0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модель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Практическое задание №3. Изучение единой системы кодирования и классификации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работы является ознакомление с системами классификации и кодирования объектов экономической сферы и методикой использования классификаторов при проектировании экономических информационных систем.</w:t>
      </w:r>
      <w:r/>
    </w:p>
    <w:p>
      <w:pPr>
        <w:pStyle w:val="81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Основные классификаторы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(для просмотра необходимо развернуть заголовок)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: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услуг населению (ОКУН)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002-93.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услуги, оказываемые населению в сферах бытового обслуживания, пассажирского транспорта и связи, жилищно-коммунального хозяйства, культуры, туризма, спорта, образования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функциональное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назначение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характер и особенности предоставляемых услуг.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шестизначный,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ХХ+Х+Х+ХХ.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27"/>
        <w:gridCol w:w="1127"/>
        <w:gridCol w:w="4376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услуги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011000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Ремонт, окраска и пошив обуви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Бытовые услуги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 Ремонт, окраска и пошив обуви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 Ремонт обуви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011101 Ремонт верха обуви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информации по социальной защите населения (ОКИСЗН)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003-93.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пенсии, виды трудового стажа, группы и причины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инвалидности,компенсации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пособия, льготы, виды освидетельствования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функциональное и целевое назначение, характер и особенности объектов классификации.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имеет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фасетную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(списочную) структуру, при которой каждый фасет строится на последовательном порядковом перечислении объектов классификации по одному признаку.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однозначные, двухзначные и трехзначные, цифровые десятичные коды.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кода: Х, ХХ,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"Виды пенсий"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Пенсия трудовая по старости (по возрасту)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Пенсия по инвалидности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"Основания, определяющие право на пенсию"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Основания общие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Основания льготные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"Компенсации и льготы гражданам, подвергшимся воздействию радиации вследствие чернобыльской катастрофы"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Бесплатное оказание медицинской помощи (в стационаре и амбулаторно)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видов экономической деятельности, продукции и услуг (ОКДП)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004-93.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виды экономической деятельности, осущ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ествляемые во всех отраслях экономики: сельское хозяйство, охота и лесоводство; рыболовство; горнодобывающая промышленность и разработка карьеров; обрабатывающая промышленность и другие; а также продукция и услуги, как результат экономической деятельности.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функциональное назначение, направленность использования, характерные свойства, конструктивно- технологические особенности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четырехзначный, цифровой, десятичный код для видов экономической деятельности; семизначный, цифровой, десятичный код для группировок продукции и услуг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кодов: ХХ+Х+Х - для видов экономической деятельности; ХХ+Х+Х+ХХ+Х - для видов продукции и услуг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видов экономической деятельности: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1724"/>
        <w:gridCol w:w="3182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Группа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Подгруппа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деятельности услуг)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192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Производство обуви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1921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Производство кожаной обуви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Раздел А Сельское хозяйство, охота и лесоводство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Сельское хозяйство, охота и связанная с этим деятельность по предоставлению услуг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 Растениеводство: выращивание сельскохозяйственных культур, товарное овощеводство, садоводство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 Выращивание зерновых культур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видов продукции и услуг: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1724"/>
        <w:gridCol w:w="3182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Класс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Вид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видов продукции (услуг)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0111000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Зерновые, основные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зернобовые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культуры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0111110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Пшеница озимая твердая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0111111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Зерно пшеницы озимой твердой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Раздел А Продукция и услуги сельского хозяйства, охоты и лесоводства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 Зерновые, основные зернобобовые культуры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011111 Пшеница озимая твердая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0111111 Зерно пшеницы озимой твердой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Для уточнения содержания группировок видов экономической деятельности и обеспечения однозначного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трактования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интерпретации используемых понятий в ОКДП приведены текстовые описания группировок,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например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80"/>
        <w:gridCol w:w="4850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Группировка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Описание группировки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2524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Производство тары из пластмасс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Эта подгруппа включает виды деятельности, связанные с производством тары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из пластмасс. Номенклатура производимых видов продукции включает: мешки, пакеты, бочки, фляги, флаконы, бутыли, банки, ящики, коробки, лотки из полиэтилена, поливинилхлорида, полистирола, полипропилена, фторопласта, полиамида и прочих полимерных материалов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продукции (ОКП)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005-93.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промышленная и сельскохозяйственная продукция,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электро-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теплоэнергия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нефть, газ, уголь, кокс, руда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назначение, материал, способ и степень обработки, конструктивные особенности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шестизначный,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ХХ+Х+Х+Х+Х.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1127"/>
        <w:gridCol w:w="3779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38 1000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</w:t>
            </w:r>
            <w:r/>
          </w:p>
        </w:tc>
        <w:tc>
          <w:tcPr>
            <w:tcW w:w="2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Станки металлорежущие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Оборудование металлообрабатывающее и деревообрабатывающее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 Станки металлорежущие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11 Станки токарной группы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38 111 Автоматы и полуавтоматы токарные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1111 Автоматы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одношпиндельные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горизонтальные (прутковые)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органов государственной власти и управления (ОКОГУ)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006-93.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Объектами классификации являются: федеральные органы представит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ельной (законодательной), исполнительной и судебной власти, органы государственной власти субъектов Российской Федерации; органы местного самоуправления; объединения предприятий и организаций, выполняющие крупные экономические функции в народном хозяйстве.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организационный уровень и характер выполняемых функций.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пятизначный,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Х+Х+Х+ХХ.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W w:w="6795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302"/>
        <w:gridCol w:w="2844"/>
        <w:gridCol w:w="2649"/>
      </w:tblGrid>
      <w:tr>
        <w:trPr>
          <w:tblCellSpacing w:w="7" w:type="dxa"/>
        </w:trPr>
        <w:tc>
          <w:tcPr>
            <w:tcW w:w="9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gridSpan w:val="2"/>
            <w:tcW w:w="41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>
          <w:tblCellSpacing w:w="7" w:type="dxa"/>
        </w:trPr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полное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сокращенное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10000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Федеральные органы государственной власти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13000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Исполнительная власть Российской Федерации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13100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Федеральные министерства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13101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Министерство Российской Федерации по атомной энергии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Минатом России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предприятий и организаций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(ОКПО)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007-93.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юридические лица, филиалы, представительства, отделения и другие обособленные подразделения предприятий и организаций.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ведомственная принадлежность, административно-территориальная принадлежность, вид деятельности, форма собственности, организационно-правовая форма.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ХХХХХХХ.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W w:w="6660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31"/>
        <w:gridCol w:w="413"/>
        <w:gridCol w:w="2171"/>
        <w:gridCol w:w="996"/>
        <w:gridCol w:w="1444"/>
        <w:gridCol w:w="1040"/>
        <w:gridCol w:w="639"/>
        <w:gridCol w:w="864"/>
      </w:tblGrid>
      <w:tr>
        <w:trPr>
          <w:tblCellSpacing w:w="7" w:type="dxa"/>
        </w:trPr>
        <w:tc>
          <w:tcPr>
            <w:tcW w:w="7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15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объекта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 местонахождение</w:t>
            </w:r>
            <w:r/>
          </w:p>
        </w:tc>
        <w:tc>
          <w:tcPr>
            <w:gridSpan w:val="5"/>
            <w:tcW w:w="23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Коды признаков</w:t>
            </w:r>
            <w:r/>
          </w:p>
        </w:tc>
      </w:tr>
      <w:tr>
        <w:trPr>
          <w:tblCellSpacing w:w="7" w:type="dxa"/>
        </w:trPr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СООГУ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СОАТО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ОКОНХ</w:t>
            </w:r>
            <w:r/>
          </w:p>
        </w:tc>
        <w:tc>
          <w:tcPr>
            <w:tcW w:w="3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КФС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КОПФ</w:t>
            </w:r>
            <w:r/>
          </w:p>
        </w:tc>
      </w:tr>
      <w:tr>
        <w:trPr>
          <w:tblCellSpacing w:w="7" w:type="dxa"/>
        </w:trPr>
        <w:tc>
          <w:tcPr>
            <w:tcW w:w="7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0143752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W w:w="15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Государственный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институт по проектированию предприятий торговли и общественного питания "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Гипроторг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"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г.Москва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07274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1145286555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66000</w:t>
            </w:r>
            <w:r/>
          </w:p>
        </w:tc>
        <w:tc>
          <w:tcPr>
            <w:tcW w:w="3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12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специальностей по образованию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(ОКСО)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009-93.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специальности и специализации среднего профессионального и высшего образования; направления подготовки в высшем образовании.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дифференциация специальностей по областям знаний.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состоит из двух разделов: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 "Среднее профессиональное образование" (специальности);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"Высшее образование" (специальности, направления подготовки).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структура кода: ХХ+ХХ+ХХ+Х.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1 раздела:</w:t>
      </w:r>
      <w:r/>
    </w:p>
    <w:tbl>
      <w:tblPr>
        <w:tblW w:w="6630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136"/>
        <w:gridCol w:w="1720"/>
        <w:gridCol w:w="2835"/>
        <w:gridCol w:w="939"/>
      </w:tblGrid>
      <w:tr>
        <w:trPr>
          <w:tblCellSpacing w:w="7" w:type="dxa"/>
        </w:trPr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</w:tr>
      <w:tr>
        <w:trPr>
          <w:tblCellSpacing w:w="7" w:type="dxa"/>
        </w:trPr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0605 00 1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Cтатистика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54611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 Экономика и управление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0605 00 1 Статистика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 - специальности: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797"/>
        <w:gridCol w:w="585"/>
        <w:gridCol w:w="2286"/>
        <w:gridCol w:w="1041"/>
        <w:gridCol w:w="1921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Сокращенный код направления подготовки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0217 01 3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Русский язык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62211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5203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 Гуманитарно-социальные специальности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0217 Филология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0217 01 3 Русский язык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 - направления подготовки: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056"/>
        <w:gridCol w:w="585"/>
        <w:gridCol w:w="1965"/>
        <w:gridCol w:w="1041"/>
        <w:gridCol w:w="2117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группы специальностей высшего образования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510100 2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Математика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64601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0100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51 Естественные науки и математика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5101 00 2 Математика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занятий (ОКЗ)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010-93.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виды трудовой деятельности (занятия).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характер выполняемых функций и профессиональная специализация.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четырехзначный,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Х+Х+Х+Х.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3"/>
        <w:gridCol w:w="597"/>
        <w:gridCol w:w="4310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группы занятий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Специалисты в области естественных и инженерных наук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Специалисты высшего уровня квалификации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21 Специалисты в области естественных и инженерных наук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211 Физики, химики и специалисты родственных профессий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2111 Физики и астрономы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ОКЗ включает пояснения к занятиям по укрупненным группам, подгруппам, составным и базовым группам.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управленческой документации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(ОКУД)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011-93.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общероссийские (межотраслевые, межведомственные) унифицированные формы документов, утвержденные министерствами (ведомствами) Российской Федерации - разработчиками унифицированных систем документации (УСД).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принадлежность к соответствующей унифицированной системе документации, общность содержания документов и направленности их использования.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ХХ+ХХ+ХХХ.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96"/>
        <w:gridCol w:w="585"/>
        <w:gridCol w:w="1965"/>
        <w:gridCol w:w="1096"/>
        <w:gridCol w:w="2070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формы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Индекс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Периодичность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0602001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Отчет о наличии и движении ос-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новных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фондов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годовая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 Унифицированная система отчетно-статистической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документации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0606 Документация по статистике труда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0606002 Отчет по труду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основных фондов (ОКОФ)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013-94.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основные фонды,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здания, сооружения, жилища, машины, оборудование и др.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отраслевое назначение основных фондов в увязке с видами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деятельности,в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результате которых они создаются.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девятизначный,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 + ХХХХ + XXX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96"/>
        <w:gridCol w:w="585"/>
        <w:gridCol w:w="4849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11 4521011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Здания электростанций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 Материальные фонды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Здания (кроме жилых)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11 452 Здания топливно-энергетических, металлургических, химических и нефтехимических предприятий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4521010 Здания электроэнергетики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4521011 Здания электростанций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валют (ОКВ)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014-94.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национальные валюты - денежные единицы стран мира и территорий.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принадлежность национальных валют к странам мира и территориям.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 включает два идентификационных кода: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трехзначный, цифровой код;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трехзначный, буквенный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060" w:type="dxa"/>
        <w:tblLook w:val="04A0" w:firstRow="1" w:lastRow="0" w:firstColumn="1" w:lastColumn="0" w:noHBand="0" w:noVBand="1"/>
      </w:tblPr>
      <w:tblGrid>
        <w:gridCol w:w="1400"/>
        <w:gridCol w:w="1529"/>
        <w:gridCol w:w="1965"/>
        <w:gridCol w:w="2201"/>
      </w:tblGrid>
      <w:tr>
        <w:trPr/>
        <w:tc>
          <w:tcPr>
            <w:gridSpan w:val="2"/>
            <w:tcW w:w="1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валюты</w:t>
            </w:r>
            <w:r/>
          </w:p>
        </w:tc>
        <w:tc>
          <w:tcPr>
            <w:tcW w:w="14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валюты</w:t>
            </w:r>
            <w:r/>
          </w:p>
        </w:tc>
        <w:tc>
          <w:tcPr>
            <w:tcW w:w="22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Краткое наименование стран и территорий</w:t>
            </w:r>
            <w:r/>
          </w:p>
        </w:tc>
      </w:tr>
      <w:tr>
        <w:trPr/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цифровой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буквенный</w:t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</w:tr>
      <w:tr>
        <w:trPr/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810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RUR</w:t>
            </w:r>
            <w:r/>
          </w:p>
        </w:tc>
        <w:tc>
          <w:tcPr>
            <w:tcW w:w="14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Российский рубль</w:t>
            </w:r>
            <w:r/>
          </w:p>
        </w:tc>
        <w:tc>
          <w:tcPr>
            <w:tcW w:w="22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Россия</w:t>
            </w:r>
            <w:r/>
          </w:p>
        </w:tc>
      </w:tr>
      <w:tr>
        <w:trPr/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826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GBP</w:t>
            </w:r>
            <w:r/>
          </w:p>
        </w:tc>
        <w:tc>
          <w:tcPr>
            <w:tcW w:w="14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Фунт стерлингов</w:t>
            </w:r>
            <w:r/>
          </w:p>
        </w:tc>
        <w:tc>
          <w:tcPr>
            <w:tcW w:w="22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Великобритания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единиц измерения (ОКЕИ)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015-94.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единицы измерения, используемые в различных сферах,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единицы длины, площади, объема, технические единицы, единицы времени, экономические единицы.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ОКЕИ содержит два раздела.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Первый раздел 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КЕИ - "Международные единицы измерения, включенные в ЕСКК" - сформирован на базе международной классификации единиц измерения, представленной в Рекомендации N 20 РГ ЕЭК ООН, и включает в себя наиболее употребляемые в Российской Федерации единицы измерения.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Второй раздел ОКЕИ - "Национальные единицы измерения, включенные в ЕСКК".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трехзначный, цифровой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I раздела:</w:t>
      </w:r>
      <w:r/>
    </w:p>
    <w:tbl>
      <w:tblPr>
        <w:tblStyle w:val="821"/>
        <w:tblW w:w="6645" w:type="dxa"/>
        <w:tblLook w:val="04A0" w:firstRow="1" w:lastRow="0" w:firstColumn="1" w:lastColumn="0" w:noHBand="0" w:noVBand="1"/>
      </w:tblPr>
      <w:tblGrid>
        <w:gridCol w:w="686"/>
        <w:gridCol w:w="1965"/>
        <w:gridCol w:w="1565"/>
        <w:gridCol w:w="1361"/>
        <w:gridCol w:w="1565"/>
        <w:gridCol w:w="1361"/>
      </w:tblGrid>
      <w:tr>
        <w:trPr/>
        <w:tc>
          <w:tcPr>
            <w:tcW w:w="4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17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единицы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измерения</w:t>
            </w:r>
            <w:r/>
          </w:p>
        </w:tc>
        <w:tc>
          <w:tcPr>
            <w:gridSpan w:val="2"/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Условное обозначение</w:t>
            </w:r>
            <w:r/>
          </w:p>
        </w:tc>
        <w:tc>
          <w:tcPr>
            <w:gridSpan w:val="2"/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Кодовое буквенное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обозначение</w:t>
            </w:r>
            <w:r/>
          </w:p>
        </w:tc>
      </w:tr>
      <w:tr>
        <w:trPr/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националь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ное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междуна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родное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националь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ное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междуна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родное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003</w:t>
            </w:r>
            <w:r/>
          </w:p>
        </w:tc>
        <w:tc>
          <w:tcPr>
            <w:tcW w:w="1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Миллиметр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мм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mm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ММ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ММТ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II раздела: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686"/>
        <w:gridCol w:w="1965"/>
        <w:gridCol w:w="2072"/>
        <w:gridCol w:w="2072"/>
      </w:tblGrid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1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единицы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измерения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Условное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обозначение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(национальное)</w:t>
            </w:r>
            <w:r/>
          </w:p>
        </w:tc>
        <w:tc>
          <w:tcPr>
            <w:tcW w:w="16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Кодовое буквенное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обозначение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(национальное)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018</w:t>
            </w:r>
            <w:r/>
          </w:p>
        </w:tc>
        <w:tc>
          <w:tcPr>
            <w:tcW w:w="1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Погонный метр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пог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. м</w:t>
            </w:r>
            <w:r/>
          </w:p>
        </w:tc>
        <w:tc>
          <w:tcPr>
            <w:tcW w:w="16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ПОГ М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профессий рабочих,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должностей служащих и тарифных разрядов (ОКПДТР)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016-94.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профессии рабочих и должности служащих.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ОКПДТР состоит из двух разделов: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профессии рабочих;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должности служащих.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Первый раздел ОКПДТР - профессии рабочих - включает в себя профессии рабочих в соответствии с Единым тарифно-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квалификационным справочником работ и профессий рабочих (ЕТКС), а также профессии рабочих, права и обязанности которых предусмотрены в уставах, специальных положениях и соответствующих постановлениях, регламентирующих состав профессий в отраслях экономики.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пятизначный,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916"/>
        <w:gridCol w:w="585"/>
        <w:gridCol w:w="2703"/>
        <w:gridCol w:w="1246"/>
        <w:gridCol w:w="1180"/>
      </w:tblGrid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профессии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выпуска ЕТКС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ОКЗ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19149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Токарь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7223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качестве дополнительных классификационных признаков закодированы 2-ой выпуск ЕТКС (код 02) и базовая группа по Общероссийскому классификатору занятий: 7223 Станочники на металлообрабатывающих станках, наладчики станков и оборудования.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ОКПДТР отдельно представлены следующие фасеты, характеризующие признаки профессий рабочих: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01 - виды производств и работ - два знака;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02 - тарифные разряды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03 - классы (категории) квалификации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04 - формы и системы оплаты труда - два знака;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05 - условия труда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06 - степень механизации труда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07 - производные профессии - один знак.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сборного кода, включающего коды фасетов: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19149 6 02 7223 5 12 1 2,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где 1 - профессия; 9149 - токарь; 6 - КЧ; 02 - 2-й выпуск ЕТКС;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7223 - базовая группа по ОКЗ; 5 - 5-й тарифный разряд; 12 - сдельно-премиальная система оплаты труда; 1 - нормальные условия труда; 2 - рабочий, выполняющий работу при помощи машин и механизмов.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Второй раздел ОКПДТР - должности служащих - включает в себя должности служащих в соответствии с Единой номенклатурой должностей служащих.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пятизначный,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916"/>
        <w:gridCol w:w="585"/>
        <w:gridCol w:w="2663"/>
        <w:gridCol w:w="1418"/>
        <w:gridCol w:w="1048"/>
      </w:tblGrid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должности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категории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ОКЗ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24695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Начальник отдела (финансово-экономического и административного)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1231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качестве дополнительных классификационных признаков закодированы 1-я категория должности и базовая группа по ОКЗ: 1231 Руководители финансово-экономических и административных подразделений (служб).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ОКПДТР отдельно представлены следующие фасеты, характеризующие признаки должностей служащих: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10 - категории должностей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11 - производные должности - два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знака 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12 - категории (классы) квалификации - один знак.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сборного кода, включающего коды фасетов: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24695 1 1 1231 03,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где: 2 - должность; 4695 - начальник отдела (финансово-экономического и административного); 1- КЧ; 1 - категория руководителей; 1231 - базовая группа по ОКЗ; 03 - производная должность - заместитель.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специальностей высшей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научной квалификации (ОКСВНК)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017-94.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отрасли науки и специальности высшей научной квалификации.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дифференциация специальностей по видам отраслей науки.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шестизначный,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ХХ+ХХ+ХХ.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27"/>
        <w:gridCol w:w="1127"/>
        <w:gridCol w:w="2851"/>
        <w:gridCol w:w="1525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отрасли науки, группы специальностей, специальности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01 01 09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Математическая кибернетика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74641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Физико-математические науки (1-я ступень - отрасль науки);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01 Математика (2-я ступень - группа специальностей);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01 09 Математическая кибернетика (3-я ступень - специальность).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информации о населении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(ОКИН)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018-95.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информация о населении,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пол, гражданство, национальности, языки, родство, свойство, воинские звания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имеет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фасетную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(списочную) структуру, при которой каждый фасет строится на последовательном порядковом перечислении объектов классификации по одному признаку.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однозначные, двухзначные и трехзначные цифровые десятичные коды.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кодов: Х, ХХ,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144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"Родство, свойство"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Муж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Жена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03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Отец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04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Мать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"Национальности"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015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Буряты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219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Венгры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Вепсы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объектов административно-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территориального деления (ОКАТО)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019-95.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республики, края, области, города федерального значения, автономная область, автономные округа, районы; города, внутригородские районы, округа города; поселки городского типа, сельсоветы, сельские населенные пункты.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классификации:территориальное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деление объектов в соответствии с административной подчиненностью.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включает два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раздела:"Объекты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административно-территориального деления, кроме сельских населенных пунктов" (1-й раздел) и " Сельские населенные пункты" (2-й раздел).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восьмизначный, цифровой, десятичный код (для 1 раздела);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одиннадцатизначный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цифровой, десятичный код (для 2 раздела).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кода: ХХ+ХХХ+ХХХ (для I раздела);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ХХ+ХХХ+ХХХ+ХХХ (для 2 раздела).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1 раздела: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884"/>
        <w:gridCol w:w="884"/>
        <w:gridCol w:w="2609"/>
        <w:gridCol w:w="2253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Дополнительные данные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46 230 800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Сельсоветы Луховицкого р-на/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46 230 802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Аксеновский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д.Аксеново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кода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76 212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825 ,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где: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76 (1 и 2-й разряды) - Читинская область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(3-й разряд) - признак района (второй уровень классификации)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12 (4 и 5-й разряды) - код Забайкальского района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8 (6-й разряд) - признак сельсовета (третий уровень классификации)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25 (7 и 8-й разряды) - код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Даурского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сельсовета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46 230 802 000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Сельские населенные пункты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Аксеновского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сельсовета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46 230 802 001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д.Аксеново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кода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03 201 557 002 где: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03 (1 и 2-й разряды) - Краснодарский край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(3-й разряд) - признак района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(4 и 5-й разряды) -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Абинский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район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 (6-й разряд) - признак рабочего поселка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57 (7 и 8-й разряды) -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рп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Холмский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002 (9, 10, 11-й разряды) - хутор Кравченко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начального профессионального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образования (ОКНПО)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023-95.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профессии, специальности и уровни начального профессионального образования.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виды и характер выполняемых работ.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ХХ+ХХ+ХХ+Х, на 7-м разряде кода обозначается ступень квалификации, соответствующая уровню начального профессионального образования.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27"/>
        <w:gridCol w:w="1127"/>
        <w:gridCol w:w="2851"/>
        <w:gridCol w:w="1525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групп профессий и специальностей; профессий; специальностей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МСКО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010101 4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Модельщик по деревянным моделям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35262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Профессии, общие для всех отраслей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зкономики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010100 4 Модельщик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010101 4 Модельщик по деревянным моделям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экономических регионов (ОКЭР)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024-95.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экономические районы, межрегиональные ассоциации экономического взаимодействия, экономические зоны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макрозоны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изнаки классификации: общность регионов по условиям хозяйствования, разработки и осуществления региональных программ, изучения и контроля природно-климатических, экологических и геологических параметров местности, обеспечения таможенного контроля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трехзначный,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946"/>
        <w:gridCol w:w="585"/>
        <w:gridCol w:w="1965"/>
        <w:gridCol w:w="1701"/>
        <w:gridCol w:w="2016"/>
      </w:tblGrid>
      <w:tr>
        <w:trPr/>
        <w:tc>
          <w:tcPr>
            <w:gridSpan w:val="3"/>
            <w:tcW w:w="22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Экономический район</w:t>
            </w:r>
            <w:r/>
          </w:p>
        </w:tc>
        <w:tc>
          <w:tcPr>
            <w:gridSpan w:val="2"/>
            <w:tcW w:w="2900" w:type="pct"/>
            <w:textDirection w:val="lrTb"/>
            <w:noWrap w:val="false"/>
          </w:tcPr>
          <w:p>
            <w:pPr>
              <w:ind w:left="720"/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Республика, край,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область,автономный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округ, город федерального значения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ОКЭР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ОКАТО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051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Cеверо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-Западный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40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г. Санкт-Петербург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район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41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Ленинградская область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49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Новгородская область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58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Псковская область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стран мира (ОКСМ)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025-95.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суверенные государства и территории, имеющие политические, экономические, географические и исторические особенности.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построен путем перечисления стран и территорий в порядке возрастания цифровых кодов.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трехзначный, цифровой, десятичный код и два буквенных кода: двухзначный и трехзначный, знаками которых являются буквы алфавита латинского языка.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цифрового кода: ХХХ; буквенных кодов: ХХ и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452"/>
        <w:gridCol w:w="3164"/>
        <w:gridCol w:w="1007"/>
        <w:gridCol w:w="1007"/>
      </w:tblGrid>
      <w:tr>
        <w:trPr/>
        <w:tc>
          <w:tcPr>
            <w:tcW w:w="850" w:type="pct"/>
            <w:vMerge w:val="restar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Цифровой код</w:t>
            </w:r>
            <w:r/>
          </w:p>
        </w:tc>
        <w:tc>
          <w:tcPr>
            <w:tcW w:w="3100" w:type="pct"/>
            <w:vMerge w:val="restar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Краткое (общепринятое) наименование. Официальное (полное и сокращенное) наименование</w:t>
            </w:r>
            <w:r/>
          </w:p>
        </w:tc>
        <w:tc>
          <w:tcPr>
            <w:gridSpan w:val="2"/>
            <w:tcW w:w="10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Буквенный код</w:t>
            </w:r>
            <w:r/>
          </w:p>
        </w:tc>
      </w:tr>
      <w:tr>
        <w:trPr/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альфа-2</w:t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альфа-3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012</w:t>
            </w:r>
            <w:r/>
          </w:p>
        </w:tc>
        <w:tc>
          <w:tcPr>
            <w:tcW w:w="31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АЛЖИР</w:t>
            </w:r>
            <w:r/>
          </w:p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Алжирская Народная Демократическая Республика</w:t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DZ</w:t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DZA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информации об общероссийских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классификаторах (ОКОК)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 ОК 026-95.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общероссийские классификаторы технико-экономической и социальной информации, а также выделенные в них фасеты.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трехзначный,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десятичный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цифровой код для общероссийских классификаторов, для фасетов - цифровой код, принятый в соответствующем общероссийском классификаторе.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 (для идентификации общероссийских классификаторов).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общероссийских классификаторов: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vanish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vanish/>
          <w:sz w:val="28"/>
          <w:szCs w:val="28"/>
          <w:lang w:eastAsia="ru-RU"/>
        </w:rPr>
      </w:r>
      <w:r/>
    </w:p>
    <w:tbl>
      <w:tblPr>
        <w:tblStyle w:val="821"/>
        <w:tblW w:w="8640" w:type="dxa"/>
        <w:tblLook w:val="04A0" w:firstRow="1" w:lastRow="0" w:firstColumn="1" w:lastColumn="0" w:noHBand="0" w:noVBand="1"/>
      </w:tblPr>
      <w:tblGrid>
        <w:gridCol w:w="457"/>
        <w:gridCol w:w="406"/>
        <w:gridCol w:w="1285"/>
        <w:gridCol w:w="1085"/>
        <w:gridCol w:w="663"/>
        <w:gridCol w:w="794"/>
        <w:gridCol w:w="775"/>
        <w:gridCol w:w="902"/>
        <w:gridCol w:w="1152"/>
        <w:gridCol w:w="734"/>
        <w:gridCol w:w="1092"/>
      </w:tblGrid>
      <w:tr>
        <w:trPr/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ОК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Аббревиатура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Группа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Год принятия ОК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Дата введения ОК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Новизна разработки</w:t>
            </w:r>
            <w:r/>
          </w:p>
        </w:tc>
        <w:tc>
          <w:tcPr>
            <w:tcW w:w="2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Использование МК</w:t>
            </w:r>
            <w:r/>
          </w:p>
        </w:tc>
        <w:tc>
          <w:tcPr>
            <w:tcW w:w="5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Издание ОК</w:t>
            </w:r>
            <w:r/>
          </w:p>
        </w:tc>
        <w:tc>
          <w:tcPr>
            <w:tcW w:w="8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Организация, ответственная за разработку и ведение ОК</w:t>
            </w:r>
            <w:r/>
          </w:p>
        </w:tc>
      </w:tr>
      <w:tr>
        <w:trPr/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003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9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Общероссийский классификатор органов государственной власти и управления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ОКОГУ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1993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01.07.97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5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8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Госкомстат России ВЦ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фасетов общероссийских классификаторов: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общероссийского классификатора и содержащихся в нем фасетов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Общероссийский классификатор информации о населении (ОКИН)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Гражданство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03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Национальности</w:t>
            </w:r>
            <w:r/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1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824"/>
          <w:rFonts w:ascii="Times New Roman" w:hAnsi="Times New Roman" w:cs="Times New Roman"/>
          <w:color w:val="auto"/>
          <w:sz w:val="28"/>
          <w:szCs w:val="28"/>
        </w:rPr>
        <w:t xml:space="preserve">Для общероссийского классификатора установлены следующие стадии разработки и ведения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</w:t>
      </w:r>
      <w:bookmarkStart w:id="3" w:name="l130"/>
      <w:r/>
      <w:bookmarkEnd w:id="3"/>
      <w:r/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1-я стадия - организация разработки общероссийского классификатора;</w:t>
      </w:r>
      <w:bookmarkStart w:id="4" w:name="l36"/>
      <w:r/>
      <w:bookmarkEnd w:id="4"/>
      <w:r/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2-я стадия - разработка первой редакции проекта общероссийского классификатора и ее рассылка в заинтересованные организации;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3-я стадия - разработка окончательной редакции проекта общероссийского классификатора, ее обязательное согласование и представление для принятия;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4-стадия - принятие и государственная регистрация общероссийского классификатора;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5-я стадия - официальное издание общероссийского классификатора;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6-я стадия - ведение общероссийского классификатора.</w:t>
      </w:r>
      <w:bookmarkStart w:id="5" w:name="l131"/>
      <w:r/>
      <w:bookmarkEnd w:id="5"/>
      <w:r/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Порядок разработки, утвер</w:t>
      </w:r>
      <w:r>
        <w:rPr>
          <w:color w:val="000000"/>
          <w:sz w:val="28"/>
          <w:szCs w:val="28"/>
        </w:rPr>
        <w:t xml:space="preserve">ждения, введения в действие, издания, ведения и применения отраслевых (ведомственных) классификаторов и классификаторов организаций устанавливают соответственно утвердившие их федеральные органы исполнительной власти, министерства, ведомства и организации.</w:t>
      </w:r>
      <w:bookmarkStart w:id="6" w:name="l38"/>
      <w:r/>
      <w:bookmarkEnd w:id="6"/>
      <w:r/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базы данных с классификатором «Виды отпусков» представлен на рис. 4.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2543175"/>
                <wp:effectExtent l="0" t="0" r="9525" b="9525"/>
                <wp:docPr id="1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4075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2pt;height:200.2pt;mso-wrap-distance-left:0.0pt;mso-wrap-distance-top:0.0pt;mso-wrap-distance-right:0.0pt;mso-wrap-distance-bottom:0.0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4. Схема базы данных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Классификаторы являются той вещью, которая помогает в унификации информации, что упрощает анализ информации из разных организаций соответствующими ведомствами.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Созданное на базе схемы </w:t>
      </w:r>
      <w:r>
        <w:rPr>
          <w:color w:val="000000"/>
          <w:sz w:val="28"/>
          <w:szCs w:val="28"/>
          <w:lang w:val="en-US"/>
        </w:rPr>
        <w:t xml:space="preserve">Windows</w:t>
      </w:r>
      <w:r>
        <w:rPr>
          <w:color w:val="000000"/>
          <w:sz w:val="28"/>
          <w:szCs w:val="28"/>
        </w:rPr>
        <w:t xml:space="preserve">-приложение позволяет вводить необходимые данные по отпускам и просматривать данные.</w:t>
      </w:r>
      <w:r>
        <w:rPr>
          <w:color w:val="000000"/>
          <w:sz w:val="28"/>
          <w:szCs w:val="28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8545" cy="207791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3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7488" t="13441" r="8379" b="33779"/>
                        <a:stretch/>
                      </pic:blipFill>
                      <pic:spPr bwMode="auto">
                        <a:xfrm flipH="0" flipV="0">
                          <a:off x="0" y="0"/>
                          <a:ext cx="5888543" cy="2077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3.7pt;height:163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5. </w:t>
      </w:r>
      <w:r>
        <w:rPr>
          <w:color w:val="000000"/>
          <w:sz w:val="28"/>
          <w:szCs w:val="28"/>
          <w:lang w:val="en-US"/>
        </w:rPr>
        <w:t xml:space="preserve">Windows</w:t>
      </w:r>
      <w:r>
        <w:rPr>
          <w:color w:val="000000"/>
          <w:sz w:val="28"/>
          <w:szCs w:val="28"/>
        </w:rPr>
        <w:t xml:space="preserve">-приложение</w:t>
      </w:r>
      <w:r/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 w:clear="all"/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Практическое задание №3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Освоение программного средства б</w:t>
      </w:r>
      <w:r>
        <w:rPr>
          <w:color w:val="000000"/>
          <w:sz w:val="28"/>
          <w:szCs w:val="28"/>
        </w:rPr>
        <w:t xml:space="preserve">изнес-моделирования </w:t>
      </w:r>
      <w:r>
        <w:rPr>
          <w:color w:val="000000"/>
          <w:sz w:val="28"/>
          <w:szCs w:val="28"/>
        </w:rPr>
        <w:t xml:space="preserve">Орг-мастер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выполнения работы является ознакомление с методикой построения функциональной модели предприятия и ее реализацией в программном средстве </w:t>
      </w:r>
      <w:r>
        <w:rPr>
          <w:color w:val="000000"/>
          <w:sz w:val="28"/>
          <w:szCs w:val="28"/>
        </w:rPr>
        <w:t xml:space="preserve">Оргмастер</w:t>
      </w:r>
      <w:r>
        <w:rPr>
          <w:color w:val="000000"/>
          <w:sz w:val="28"/>
          <w:szCs w:val="28"/>
        </w:rPr>
        <w:t xml:space="preserve">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ОРГ-МАСТЕР решает весь комплекс задач моделирования деятельности к</w:t>
      </w:r>
      <w:r>
        <w:rPr>
          <w:color w:val="000000"/>
          <w:sz w:val="28"/>
          <w:szCs w:val="28"/>
        </w:rPr>
        <w:t xml:space="preserve">омпании на структурном и процессном уровнях, а также формирует документированные процедуры - регламенты выполнения бизнес-процессов и организационные Положения. Пакет Должностных инструкций строится в четком соответствии с организационно-функциональной и п</w:t>
      </w:r>
      <w:r>
        <w:rPr>
          <w:color w:val="000000"/>
          <w:sz w:val="28"/>
          <w:szCs w:val="28"/>
        </w:rPr>
        <w:t xml:space="preserve">роцессной моделями предприятия.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ОРГ-МАСТЕР существенно дополняет управленческие возможности компании, что пов</w:t>
      </w:r>
      <w:r>
        <w:rPr>
          <w:color w:val="000000"/>
          <w:sz w:val="28"/>
          <w:szCs w:val="28"/>
        </w:rPr>
        <w:t xml:space="preserve">ышает ее конкурентоспособность.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создании бизнес-модели компании формируется база знаний о ее целях, структурах, ресурсах, процессах и</w:t>
      </w:r>
      <w:r>
        <w:rPr>
          <w:color w:val="000000"/>
          <w:sz w:val="28"/>
          <w:szCs w:val="28"/>
        </w:rPr>
        <w:t xml:space="preserve"> других объектах управления. Наличие полной процессной бизнес-модели позволяет оперативно и наглядно получать информацию «как организована деятельность компании» и помогает принимать управленческие решения по ее изменению, создавая и корректируя необходимы</w:t>
      </w:r>
      <w:r>
        <w:rPr>
          <w:color w:val="000000"/>
          <w:sz w:val="28"/>
          <w:szCs w:val="28"/>
        </w:rPr>
        <w:t xml:space="preserve">е регламенты.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Средствами ОРГ-МАСТЕР строится </w:t>
      </w:r>
      <w:r>
        <w:rPr>
          <w:color w:val="000000"/>
          <w:sz w:val="28"/>
          <w:szCs w:val="28"/>
        </w:rPr>
        <w:t xml:space="preserve">базовая организационно-функциональная модель</w:t>
      </w:r>
      <w:r>
        <w:rPr>
          <w:color w:val="000000"/>
          <w:sz w:val="28"/>
          <w:szCs w:val="28"/>
        </w:rPr>
        <w:t xml:space="preserve"> состоящая из иерархически упорядоченных классификаторов функций-процессов, организационных звеньев, ресурсов и документов, также отношений между ними. Это позволяет провести первичный управленческий анализ организационных асп</w:t>
      </w:r>
      <w:r>
        <w:rPr>
          <w:color w:val="000000"/>
          <w:sz w:val="28"/>
          <w:szCs w:val="28"/>
        </w:rPr>
        <w:t xml:space="preserve">ектов деятельности предприятия.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следующем этапе программа позволяет реализовать </w:t>
      </w:r>
      <w:r>
        <w:rPr>
          <w:color w:val="000000"/>
          <w:sz w:val="28"/>
          <w:szCs w:val="28"/>
        </w:rPr>
        <w:t xml:space="preserve">полное описание системы процессов компании. Для каждого идентифицированного процесса определяется его целевое назначение, сопряженные процессы: предшественник и потребитель, информационное взаимодействие и обрабатываемые материальные ресурсы, средства реал</w:t>
      </w:r>
      <w:r>
        <w:rPr>
          <w:color w:val="000000"/>
          <w:sz w:val="28"/>
          <w:szCs w:val="28"/>
        </w:rPr>
        <w:t xml:space="preserve">изации и регламенты исполнения.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формируется перви</w:t>
      </w:r>
      <w:r>
        <w:rPr>
          <w:color w:val="000000"/>
          <w:sz w:val="28"/>
          <w:szCs w:val="28"/>
        </w:rPr>
        <w:t xml:space="preserve">чный набор базовых организационных документов: Положения об организационной структуре, Положения о функциональных областях управления и бизнес-направлениях компании, Положения о подразделениях (службах, отделах), Должностных инструкций, а также спецификаци</w:t>
      </w:r>
      <w:r>
        <w:rPr>
          <w:color w:val="000000"/>
          <w:sz w:val="28"/>
          <w:szCs w:val="28"/>
        </w:rPr>
        <w:t xml:space="preserve">и выделенных процессов компании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образом, программа обеспечивает реализацию начального этапа постановки регулярного менеджмента в компании.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139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091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087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97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404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MS Mincho">
    <w:panose1 w:val="02020503050405090304"/>
  </w:font>
  <w:font w:name="SimSun">
    <w:panose1 w:val="02010600030101010101"/>
  </w:font>
  <w:font w:name="Mangal">
    <w:panose1 w:val="02040503050406030204"/>
  </w:font>
  <w:font w:name="Liberation Serif">
    <w:panose1 w:val="02020603050405020304"/>
  </w:font>
  <w:font w:name="Segoe UI">
    <w:panose1 w:val="020B0502040204020203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/>
        <w:b w:val="0"/>
        <w:i/>
        <w:caps w:val="0"/>
        <w:strike w:val="0"/>
        <w:vanish w:val="0"/>
        <w:sz w:val="22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0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2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4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6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8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0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4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6"/>
    <w:uiPriority w:val="9"/>
    <w:rPr>
      <w:rFonts w:ascii="Arial" w:hAnsi="Arial" w:eastAsia="Arial" w:cs="Arial"/>
      <w:sz w:val="40"/>
      <w:szCs w:val="40"/>
    </w:rPr>
  </w:style>
  <w:style w:type="paragraph" w:styleId="641">
    <w:name w:val="Heading 2"/>
    <w:basedOn w:val="815"/>
    <w:next w:val="815"/>
    <w:link w:val="64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2">
    <w:name w:val="Heading 2 Char"/>
    <w:basedOn w:val="817"/>
    <w:link w:val="641"/>
    <w:uiPriority w:val="9"/>
    <w:rPr>
      <w:rFonts w:ascii="Arial" w:hAnsi="Arial" w:eastAsia="Arial" w:cs="Arial"/>
      <w:sz w:val="34"/>
    </w:rPr>
  </w:style>
  <w:style w:type="paragraph" w:styleId="643">
    <w:name w:val="Heading 3"/>
    <w:basedOn w:val="815"/>
    <w:next w:val="815"/>
    <w:link w:val="64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4">
    <w:name w:val="Heading 3 Char"/>
    <w:basedOn w:val="817"/>
    <w:link w:val="643"/>
    <w:uiPriority w:val="9"/>
    <w:rPr>
      <w:rFonts w:ascii="Arial" w:hAnsi="Arial" w:eastAsia="Arial" w:cs="Arial"/>
      <w:sz w:val="30"/>
      <w:szCs w:val="30"/>
    </w:rPr>
  </w:style>
  <w:style w:type="paragraph" w:styleId="645">
    <w:name w:val="Heading 4"/>
    <w:basedOn w:val="815"/>
    <w:next w:val="815"/>
    <w:link w:val="6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6">
    <w:name w:val="Heading 4 Char"/>
    <w:basedOn w:val="817"/>
    <w:link w:val="645"/>
    <w:uiPriority w:val="9"/>
    <w:rPr>
      <w:rFonts w:ascii="Arial" w:hAnsi="Arial" w:eastAsia="Arial" w:cs="Arial"/>
      <w:b/>
      <w:bCs/>
      <w:sz w:val="26"/>
      <w:szCs w:val="26"/>
    </w:rPr>
  </w:style>
  <w:style w:type="paragraph" w:styleId="647">
    <w:name w:val="Heading 5"/>
    <w:basedOn w:val="815"/>
    <w:next w:val="815"/>
    <w:link w:val="64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8">
    <w:name w:val="Heading 5 Char"/>
    <w:basedOn w:val="817"/>
    <w:link w:val="647"/>
    <w:uiPriority w:val="9"/>
    <w:rPr>
      <w:rFonts w:ascii="Arial" w:hAnsi="Arial" w:eastAsia="Arial" w:cs="Arial"/>
      <w:b/>
      <w:bCs/>
      <w:sz w:val="24"/>
      <w:szCs w:val="24"/>
    </w:rPr>
  </w:style>
  <w:style w:type="paragraph" w:styleId="649">
    <w:name w:val="Heading 6"/>
    <w:basedOn w:val="815"/>
    <w:next w:val="815"/>
    <w:link w:val="65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0">
    <w:name w:val="Heading 6 Char"/>
    <w:basedOn w:val="817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651">
    <w:name w:val="Heading 7"/>
    <w:basedOn w:val="815"/>
    <w:next w:val="815"/>
    <w:link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2">
    <w:name w:val="Heading 7 Char"/>
    <w:basedOn w:val="817"/>
    <w:link w:val="6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3">
    <w:name w:val="Heading 8"/>
    <w:basedOn w:val="815"/>
    <w:next w:val="815"/>
    <w:link w:val="65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4">
    <w:name w:val="Heading 8 Char"/>
    <w:basedOn w:val="817"/>
    <w:link w:val="653"/>
    <w:uiPriority w:val="9"/>
    <w:rPr>
      <w:rFonts w:ascii="Arial" w:hAnsi="Arial" w:eastAsia="Arial" w:cs="Arial"/>
      <w:i/>
      <w:iCs/>
      <w:sz w:val="22"/>
      <w:szCs w:val="22"/>
    </w:rPr>
  </w:style>
  <w:style w:type="paragraph" w:styleId="655">
    <w:name w:val="Heading 9"/>
    <w:basedOn w:val="815"/>
    <w:next w:val="815"/>
    <w:link w:val="6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6">
    <w:name w:val="Heading 9 Char"/>
    <w:basedOn w:val="817"/>
    <w:link w:val="655"/>
    <w:uiPriority w:val="9"/>
    <w:rPr>
      <w:rFonts w:ascii="Arial" w:hAnsi="Arial" w:eastAsia="Arial" w:cs="Arial"/>
      <w:i/>
      <w:iCs/>
      <w:sz w:val="21"/>
      <w:szCs w:val="21"/>
    </w:rPr>
  </w:style>
  <w:style w:type="paragraph" w:styleId="657">
    <w:name w:val="No Spacing"/>
    <w:uiPriority w:val="1"/>
    <w:qFormat/>
    <w:pPr>
      <w:spacing w:before="0" w:after="0" w:line="240" w:lineRule="auto"/>
    </w:pPr>
  </w:style>
  <w:style w:type="paragraph" w:styleId="658">
    <w:name w:val="Title"/>
    <w:basedOn w:val="815"/>
    <w:next w:val="815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basedOn w:val="817"/>
    <w:link w:val="658"/>
    <w:uiPriority w:val="10"/>
    <w:rPr>
      <w:sz w:val="48"/>
      <w:szCs w:val="48"/>
    </w:rPr>
  </w:style>
  <w:style w:type="paragraph" w:styleId="660">
    <w:name w:val="Subtitle"/>
    <w:basedOn w:val="815"/>
    <w:next w:val="815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basedOn w:val="817"/>
    <w:link w:val="660"/>
    <w:uiPriority w:val="11"/>
    <w:rPr>
      <w:sz w:val="24"/>
      <w:szCs w:val="24"/>
    </w:rPr>
  </w:style>
  <w:style w:type="paragraph" w:styleId="662">
    <w:name w:val="Quote"/>
    <w:basedOn w:val="815"/>
    <w:next w:val="815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5"/>
    <w:next w:val="815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5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basedOn w:val="817"/>
    <w:link w:val="666"/>
    <w:uiPriority w:val="99"/>
  </w:style>
  <w:style w:type="paragraph" w:styleId="668">
    <w:name w:val="Footer"/>
    <w:basedOn w:val="815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basedOn w:val="817"/>
    <w:link w:val="668"/>
    <w:uiPriority w:val="99"/>
  </w:style>
  <w:style w:type="paragraph" w:styleId="670">
    <w:name w:val="Caption"/>
    <w:basedOn w:val="815"/>
    <w:next w:val="8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 Light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Plain Table 1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2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6">
    <w:name w:val="Plain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Plain Table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8">
    <w:name w:val="Grid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0">
    <w:name w:val="Grid Table 4 - Accent 1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1">
    <w:name w:val="Grid Table 4 - Accent 2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2">
    <w:name w:val="Grid Table 4 - Accent 3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3">
    <w:name w:val="Grid Table 4 - Accent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4">
    <w:name w:val="Grid Table 4 - Accent 5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5">
    <w:name w:val="Grid Table 4 - Accent 6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6">
    <w:name w:val="Grid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0">
    <w:name w:val="Grid Table 5 Dark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3">
    <w:name w:val="Grid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4">
    <w:name w:val="Grid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5">
    <w:name w:val="Grid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6">
    <w:name w:val="Grid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7">
    <w:name w:val="Grid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8">
    <w:name w:val="Grid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5">
    <w:name w:val="List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6">
    <w:name w:val="List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7">
    <w:name w:val="List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8">
    <w:name w:val="List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9">
    <w:name w:val="List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0">
    <w:name w:val="List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1">
    <w:name w:val="List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3">
    <w:name w:val="List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4">
    <w:name w:val="List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List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6">
    <w:name w:val="List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List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8">
    <w:name w:val="List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9">
    <w:name w:val="List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0">
    <w:name w:val="List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1">
    <w:name w:val="List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2">
    <w:name w:val="List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3">
    <w:name w:val="List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4">
    <w:name w:val="List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5">
    <w:name w:val="List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6">
    <w:name w:val="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7">
    <w:name w:val="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8">
    <w:name w:val="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9">
    <w:name w:val="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0">
    <w:name w:val="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1">
    <w:name w:val="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2">
    <w:name w:val="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3">
    <w:name w:val="Bordered &amp; 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4">
    <w:name w:val="Bordered &amp; 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5">
    <w:name w:val="Bordered &amp; 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6">
    <w:name w:val="Bordered &amp; 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7">
    <w:name w:val="Bordered &amp; 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8">
    <w:name w:val="Bordered &amp; 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9">
    <w:name w:val="Bordered &amp; 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0">
    <w:name w:val="Bordered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1">
    <w:name w:val="Bordered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2">
    <w:name w:val="Bordered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3">
    <w:name w:val="Bordered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4">
    <w:name w:val="Bordered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5">
    <w:name w:val="Bordered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6">
    <w:name w:val="Bordered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7">
    <w:name w:val="Hyperlink"/>
    <w:uiPriority w:val="99"/>
    <w:unhideWhenUsed/>
    <w:rPr>
      <w:color w:val="0000ff" w:themeColor="hyperlink"/>
      <w:u w:val="single"/>
    </w:rPr>
  </w:style>
  <w:style w:type="paragraph" w:styleId="798">
    <w:name w:val="footnote text"/>
    <w:basedOn w:val="815"/>
    <w:link w:val="799"/>
    <w:uiPriority w:val="99"/>
    <w:semiHidden/>
    <w:unhideWhenUsed/>
    <w:pPr>
      <w:spacing w:after="40" w:line="240" w:lineRule="auto"/>
    </w:pPr>
    <w:rPr>
      <w:sz w:val="18"/>
    </w:rPr>
  </w:style>
  <w:style w:type="character" w:styleId="799">
    <w:name w:val="Footnote Text Char"/>
    <w:link w:val="798"/>
    <w:uiPriority w:val="99"/>
    <w:rPr>
      <w:sz w:val="18"/>
    </w:rPr>
  </w:style>
  <w:style w:type="character" w:styleId="800">
    <w:name w:val="footnote reference"/>
    <w:basedOn w:val="817"/>
    <w:uiPriority w:val="99"/>
    <w:unhideWhenUsed/>
    <w:rPr>
      <w:vertAlign w:val="superscript"/>
    </w:rPr>
  </w:style>
  <w:style w:type="paragraph" w:styleId="801">
    <w:name w:val="endnote text"/>
    <w:basedOn w:val="815"/>
    <w:link w:val="802"/>
    <w:uiPriority w:val="99"/>
    <w:semiHidden/>
    <w:unhideWhenUsed/>
    <w:pPr>
      <w:spacing w:after="0" w:line="240" w:lineRule="auto"/>
    </w:pPr>
    <w:rPr>
      <w:sz w:val="20"/>
    </w:rPr>
  </w:style>
  <w:style w:type="character" w:styleId="802">
    <w:name w:val="Endnote Text Char"/>
    <w:link w:val="801"/>
    <w:uiPriority w:val="99"/>
    <w:rPr>
      <w:sz w:val="20"/>
    </w:rPr>
  </w:style>
  <w:style w:type="character" w:styleId="803">
    <w:name w:val="endnote reference"/>
    <w:basedOn w:val="817"/>
    <w:uiPriority w:val="99"/>
    <w:semiHidden/>
    <w:unhideWhenUsed/>
    <w:rPr>
      <w:vertAlign w:val="superscript"/>
    </w:rPr>
  </w:style>
  <w:style w:type="paragraph" w:styleId="804">
    <w:name w:val="toc 1"/>
    <w:basedOn w:val="815"/>
    <w:next w:val="815"/>
    <w:uiPriority w:val="39"/>
    <w:unhideWhenUsed/>
    <w:pPr>
      <w:ind w:left="0" w:right="0" w:firstLine="0"/>
      <w:spacing w:after="57"/>
    </w:pPr>
  </w:style>
  <w:style w:type="paragraph" w:styleId="805">
    <w:name w:val="toc 2"/>
    <w:basedOn w:val="815"/>
    <w:next w:val="815"/>
    <w:uiPriority w:val="39"/>
    <w:unhideWhenUsed/>
    <w:pPr>
      <w:ind w:left="283" w:right="0" w:firstLine="0"/>
      <w:spacing w:after="57"/>
    </w:pPr>
  </w:style>
  <w:style w:type="paragraph" w:styleId="806">
    <w:name w:val="toc 3"/>
    <w:basedOn w:val="815"/>
    <w:next w:val="815"/>
    <w:uiPriority w:val="39"/>
    <w:unhideWhenUsed/>
    <w:pPr>
      <w:ind w:left="567" w:right="0" w:firstLine="0"/>
      <w:spacing w:after="57"/>
    </w:pPr>
  </w:style>
  <w:style w:type="paragraph" w:styleId="807">
    <w:name w:val="toc 4"/>
    <w:basedOn w:val="815"/>
    <w:next w:val="815"/>
    <w:uiPriority w:val="39"/>
    <w:unhideWhenUsed/>
    <w:pPr>
      <w:ind w:left="850" w:right="0" w:firstLine="0"/>
      <w:spacing w:after="57"/>
    </w:pPr>
  </w:style>
  <w:style w:type="paragraph" w:styleId="808">
    <w:name w:val="toc 5"/>
    <w:basedOn w:val="815"/>
    <w:next w:val="815"/>
    <w:uiPriority w:val="39"/>
    <w:unhideWhenUsed/>
    <w:pPr>
      <w:ind w:left="1134" w:right="0" w:firstLine="0"/>
      <w:spacing w:after="57"/>
    </w:pPr>
  </w:style>
  <w:style w:type="paragraph" w:styleId="809">
    <w:name w:val="toc 6"/>
    <w:basedOn w:val="815"/>
    <w:next w:val="815"/>
    <w:uiPriority w:val="39"/>
    <w:unhideWhenUsed/>
    <w:pPr>
      <w:ind w:left="1417" w:right="0" w:firstLine="0"/>
      <w:spacing w:after="57"/>
    </w:pPr>
  </w:style>
  <w:style w:type="paragraph" w:styleId="810">
    <w:name w:val="toc 7"/>
    <w:basedOn w:val="815"/>
    <w:next w:val="815"/>
    <w:uiPriority w:val="39"/>
    <w:unhideWhenUsed/>
    <w:pPr>
      <w:ind w:left="1701" w:right="0" w:firstLine="0"/>
      <w:spacing w:after="57"/>
    </w:pPr>
  </w:style>
  <w:style w:type="paragraph" w:styleId="811">
    <w:name w:val="toc 8"/>
    <w:basedOn w:val="815"/>
    <w:next w:val="815"/>
    <w:uiPriority w:val="39"/>
    <w:unhideWhenUsed/>
    <w:pPr>
      <w:ind w:left="1984" w:right="0" w:firstLine="0"/>
      <w:spacing w:after="57"/>
    </w:pPr>
  </w:style>
  <w:style w:type="paragraph" w:styleId="812">
    <w:name w:val="toc 9"/>
    <w:basedOn w:val="815"/>
    <w:next w:val="815"/>
    <w:uiPriority w:val="39"/>
    <w:unhideWhenUsed/>
    <w:pPr>
      <w:ind w:left="2268" w:right="0" w:firstLine="0"/>
      <w:spacing w:after="57"/>
    </w:pPr>
  </w:style>
  <w:style w:type="paragraph" w:styleId="813">
    <w:name w:val="TOC Heading"/>
    <w:uiPriority w:val="39"/>
    <w:unhideWhenUsed/>
  </w:style>
  <w:style w:type="paragraph" w:styleId="814">
    <w:name w:val="table of figures"/>
    <w:basedOn w:val="815"/>
    <w:next w:val="815"/>
    <w:uiPriority w:val="99"/>
    <w:unhideWhenUsed/>
    <w:pPr>
      <w:spacing w:after="0" w:afterAutospacing="0"/>
    </w:pPr>
  </w:style>
  <w:style w:type="paragraph" w:styleId="815" w:default="1">
    <w:name w:val="Normal"/>
    <w:qFormat/>
  </w:style>
  <w:style w:type="paragraph" w:styleId="816">
    <w:name w:val="Heading 1"/>
    <w:basedOn w:val="815"/>
    <w:next w:val="815"/>
    <w:link w:val="824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paragraph" w:styleId="820">
    <w:name w:val="List Paragraph"/>
    <w:basedOn w:val="815"/>
    <w:uiPriority w:val="34"/>
    <w:qFormat/>
    <w:pPr>
      <w:contextualSpacing/>
      <w:ind w:left="720"/>
    </w:pPr>
  </w:style>
  <w:style w:type="table" w:styleId="821">
    <w:name w:val="Table Grid"/>
    <w:basedOn w:val="818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22" w:customStyle="1">
    <w:name w:val="dt-p"/>
    <w:basedOn w:val="81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23" w:customStyle="1">
    <w:name w:val="dt-m"/>
    <w:basedOn w:val="817"/>
  </w:style>
  <w:style w:type="character" w:styleId="824" w:customStyle="1">
    <w:name w:val="Заголовок 1 Знак"/>
    <w:basedOn w:val="817"/>
    <w:link w:val="816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25">
    <w:name w:val="Balloon Text"/>
    <w:basedOn w:val="815"/>
    <w:link w:val="826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826" w:customStyle="1">
    <w:name w:val="Текст выноски Знак"/>
    <w:basedOn w:val="817"/>
    <w:link w:val="825"/>
    <w:uiPriority w:val="99"/>
    <w:semiHidden/>
    <w:rPr>
      <w:rFonts w:ascii="Segoe UI" w:hAnsi="Segoe UI" w:cs="Segoe UI"/>
      <w:sz w:val="18"/>
      <w:szCs w:val="18"/>
    </w:rPr>
  </w:style>
  <w:style w:type="paragraph" w:styleId="827" w:customStyle="1">
    <w:name w:val="Text body"/>
    <w:basedOn w:val="815"/>
    <w:pPr>
      <w:spacing w:after="140" w:line="288" w:lineRule="auto"/>
    </w:pPr>
    <w:rPr>
      <w:rFonts w:ascii="Liberation Serif" w:hAnsi="Liberation Serif" w:eastAsia="SimSun" w:cs="Mangal"/>
      <w:sz w:val="24"/>
      <w:szCs w:val="24"/>
      <w:lang w:val="en-US" w:eastAsia="zh-CN" w:bidi="hi-IN"/>
    </w:rPr>
  </w:style>
  <w:style w:type="paragraph" w:styleId="828">
    <w:name w:val="Body Text 2"/>
    <w:basedOn w:val="815"/>
    <w:link w:val="829"/>
    <w:pPr>
      <w:spacing w:after="120" w:line="480" w:lineRule="auto"/>
    </w:pPr>
    <w:rPr>
      <w:rFonts w:ascii="Liberation Serif" w:hAnsi="Liberation Serif" w:eastAsia="SimSun" w:cs="Mangal"/>
      <w:sz w:val="24"/>
      <w:szCs w:val="24"/>
      <w:lang w:val="en-US" w:eastAsia="zh-CN" w:bidi="hi-IN"/>
    </w:rPr>
  </w:style>
  <w:style w:type="character" w:styleId="829" w:customStyle="1">
    <w:name w:val="Основной текст 2 Знак"/>
    <w:basedOn w:val="817"/>
    <w:link w:val="828"/>
    <w:rPr>
      <w:rFonts w:ascii="Liberation Serif" w:hAnsi="Liberation Serif" w:eastAsia="SimSun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-scm.com/download/win" TargetMode="External"/><Relationship Id="rId10" Type="http://schemas.openxmlformats.org/officeDocument/2006/relationships/hyperlink" Target="https://habr.com/ru/sandbox/127958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revision>11</cp:revision>
  <dcterms:created xsi:type="dcterms:W3CDTF">2023-04-04T08:36:00Z</dcterms:created>
  <dcterms:modified xsi:type="dcterms:W3CDTF">2023-04-04T14:48:14Z</dcterms:modified>
</cp:coreProperties>
</file>