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1F4E79"/>
          <w:sz w:val="36"/>
          <w:szCs w:val="36"/>
        </w:rPr>
        <w:t xml:space="preserve">CTV AD INTELLIGENCE PLATFORM</w:t>
      </w:r>
    </w:p>
    <w:p>
      <w:pPr>
        <w:spacing w:after="200" w:before="0"/>
        <w:jc w:val="center"/>
      </w:pPr>
      <w:r>
        <w:rPr>
          <w:rFonts w:ascii="Arial" w:cs="Arial" w:eastAsia="Arial" w:hAnsi="Arial"/>
          <w:i/>
          <w:iCs/>
          <w:color w:val="555555"/>
          <w:sz w:val="20"/>
          <w:szCs w:val="20"/>
        </w:rPr>
        <w:t xml:space="preserve">Full Architecture, Build Guide &amp; Interview Talking Points</w:t>
      </w:r>
    </w:p>
    <w:p>
      <w:pPr>
        <w:pBdr>
          <w:bottom w:val="single" w:color="1F4E79" w:sz="12" w:space="2"/>
        </w:pBdr>
        <w:spacing w:after="300" w:before="0"/>
      </w:pPr>
    </w:p>
    <w:p>
      <w:pPr>
        <w:pBdr>
          <w:bottom w:val="single" w:color="1F4E79" w:sz="10" w:space="2"/>
        </w:pBdr>
        <w:spacing w:after="100" w:before="240"/>
      </w:pPr>
      <w:r>
        <w:rPr>
          <w:rFonts w:ascii="Arial" w:cs="Arial" w:eastAsia="Arial" w:hAnsi="Arial"/>
          <w:b/>
          <w:bCs/>
          <w:color w:val="1F4E79"/>
          <w:sz w:val="26"/>
          <w:szCs w:val="26"/>
        </w:rPr>
        <w:t xml:space="preserve">1. WHAT THIS PROJECT PROVES TO INTERVIEWERS</w:t>
      </w:r>
    </w:p>
    <w:p>
      <w:pPr>
        <w:spacing w:after="100" w:before="0"/>
      </w:pPr>
      <w:r>
        <w:rPr>
          <w:rFonts w:ascii="Arial" w:cs="Arial" w:eastAsia="Arial" w:hAnsi="Arial"/>
          <w:color w:val="1A1A1A"/>
          <w:sz w:val="18"/>
          <w:szCs w:val="18"/>
        </w:rPr>
        <w:t xml:space="preserve">Every module in this project maps directly to a question you will be asked in ad tech interviews. This is not a portfolio project for its own sake — it is interview preparation in code form.</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200"/>
        <w:gridCol w:w="3360"/>
      </w:tblGrid>
      <w:tr>
        <w:tc>
          <w:tcPr>
            <w:tcW w:type="dxa" w:w="3120"/>
            <w:tcBorders>
              <w:top w:val="single" w:color="C5D8ED" w:sz="4"/>
              <w:left w:val="single" w:color="C5D8ED" w:sz="4"/>
              <w:bottom w:val="single" w:color="C5D8ED" w:sz="4"/>
              <w:right w:val="single" w:color="C5D8ED" w:sz="4"/>
            </w:tcBorders>
            <w:shd w:fill="1F4E79"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Module</w:t>
            </w:r>
          </w:p>
        </w:tc>
        <w:tc>
          <w:tcPr>
            <w:tcW w:type="dxa" w:w="3120"/>
            <w:tcBorders>
              <w:top w:val="single" w:color="C5D8ED" w:sz="4"/>
              <w:left w:val="single" w:color="C5D8ED" w:sz="4"/>
              <w:bottom w:val="single" w:color="C5D8ED" w:sz="4"/>
              <w:right w:val="single" w:color="C5D8ED" w:sz="4"/>
            </w:tcBorders>
            <w:shd w:fill="1F4E79"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Interview Question It Answers</w:t>
            </w:r>
          </w:p>
        </w:tc>
        <w:tc>
          <w:tcPr>
            <w:tcW w:type="dxa" w:w="3120"/>
            <w:tcBorders>
              <w:top w:val="single" w:color="C5D8ED" w:sz="4"/>
              <w:left w:val="single" w:color="C5D8ED" w:sz="4"/>
              <w:bottom w:val="single" w:color="C5D8ED" w:sz="4"/>
              <w:right w:val="single" w:color="C5D8ED" w:sz="4"/>
            </w:tcBorders>
            <w:shd w:fill="1F4E79"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Target Roles</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Impression Pipeline</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How do you work with raw ad event data?</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LG Ad Solutions, Reddit, Spotify Ads</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Viewability Engine</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What is IAB viewability? How do you measure it?</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LG Ad Solutions, IRIS.TV, Viant</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Audience Segmentation</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How would you identify high-value CTV audiences?</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Spotify Ads, Adobe, Reddit Ads</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Anomaly Detection</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How do you catch delivery issues before billing?</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LG Ad Solutions, Judi Health, Baker Tilly</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Attribution Models</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How does MTA differ from last-touch attribution?</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Spotify Growth, Reddit, Adobe</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A/B Test Framework</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Walk me through an experiment you designed.</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All ad tech roles</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Frequency / Reach</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What is the optimal ad frequency? How do you find it?</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LG Ad Solutions, Spotify, Reddit</w:t>
            </w:r>
          </w:p>
        </w:tc>
      </w:tr>
    </w:tbl>
    <w:p>
      <w:pPr>
        <w:spacing w:after="120" w:before="0"/>
      </w:pPr>
    </w:p>
    <w:p>
      <w:pPr>
        <w:pBdr>
          <w:bottom w:val="single" w:color="1F4E79" w:sz="10" w:space="2"/>
        </w:pBdr>
        <w:spacing w:after="100" w:before="240"/>
      </w:pPr>
      <w:r>
        <w:rPr>
          <w:rFonts w:ascii="Arial" w:cs="Arial" w:eastAsia="Arial" w:hAnsi="Arial"/>
          <w:b/>
          <w:bCs/>
          <w:color w:val="1F4E79"/>
          <w:sz w:val="26"/>
          <w:szCs w:val="26"/>
        </w:rPr>
        <w:t xml:space="preserve">2. RECOMMENDED BUILD SEQUENCE</w:t>
      </w:r>
    </w:p>
    <w:p>
      <w:pPr>
        <w:spacing w:after="100" w:before="0"/>
      </w:pPr>
      <w:r>
        <w:rPr>
          <w:rFonts w:ascii="Arial" w:cs="Arial" w:eastAsia="Arial" w:hAnsi="Arial"/>
          <w:color w:val="1A1A1A"/>
          <w:sz w:val="18"/>
          <w:szCs w:val="18"/>
        </w:rPr>
        <w:t xml:space="preserve">Build in this order. Each phase is independently deployable and adds interview talking points.</w:t>
      </w:r>
    </w:p>
    <w:p>
      <w:pPr>
        <w:spacing w:after="80" w:before="0"/>
      </w:pPr>
    </w:p>
    <w:p>
      <w:pPr>
        <w:spacing w:after="80" w:before="200"/>
      </w:pPr>
      <w:r>
        <w:rPr>
          <w:rFonts w:ascii="Arial" w:cs="Arial" w:eastAsia="Arial" w:hAnsi="Arial"/>
          <w:b/>
          <w:bCs/>
          <w:color w:val="2E75B6"/>
          <w:sz w:val="21"/>
          <w:szCs w:val="21"/>
        </w:rPr>
        <w:t xml:space="preserve">Phase 1 — Foundation (Days 1–2)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30" w:before="0"/>
            </w:pPr>
            <w:r>
              <w:rPr>
                <w:rFonts w:ascii="Arial" w:cs="Arial" w:eastAsia="Arial" w:hAnsi="Arial"/>
                <w:b/>
                <w:bCs/>
                <w:color w:val="1F4E79"/>
                <w:sz w:val="17"/>
                <w:szCs w:val="17"/>
              </w:rPr>
              <w:t xml:space="preserve">Goal: Working data pipeline with clean impression data in DuckDB</w:t>
            </w:r>
          </w:p>
          <w:p>
            <w:pPr>
              <w:spacing w:after="0" w:before="0"/>
            </w:pPr>
            <w:r>
              <w:rPr>
                <w:rFonts w:ascii="Arial" w:cs="Arial" w:eastAsia="Arial" w:hAnsi="Arial"/>
                <w:color w:val="1A1A1A"/>
                <w:sz w:val="17"/>
                <w:szCs w:val="17"/>
              </w:rPr>
              <w:t xml:space="preserve">Deliverable: Can run queries against 1M+ impression records locally</w:t>
            </w:r>
          </w:p>
        </w:tc>
      </w:tr>
    </w:tbl>
    <w:p>
      <w:pPr>
        <w:spacing w:after="60" w:before="0"/>
      </w:pPr>
    </w:p>
    <w:p>
      <w:pPr>
        <w:pStyle w:val="ListParagraph"/>
        <w:numPr>
          <w:ilvl w:val="0"/>
          <w:numId w:val="2"/>
        </w:numPr>
        <w:spacing w:after="36" w:before="36"/>
      </w:pPr>
      <w:r>
        <w:rPr>
          <w:rFonts w:ascii="Arial" w:cs="Arial" w:eastAsia="Arial" w:hAnsi="Arial"/>
          <w:color w:val="1A1A1A"/>
          <w:sz w:val="18"/>
          <w:szCs w:val="18"/>
        </w:rPr>
        <w:t xml:space="preserve">Run ctv_simulator.py to generate 1M synthetic CTV impression records with realistic distributions</w:t>
      </w:r>
    </w:p>
    <w:p>
      <w:pPr>
        <w:pStyle w:val="ListParagraph"/>
        <w:numPr>
          <w:ilvl w:val="0"/>
          <w:numId w:val="2"/>
        </w:numPr>
        <w:spacing w:after="36" w:before="36"/>
      </w:pPr>
      <w:r>
        <w:rPr>
          <w:rFonts w:ascii="Arial" w:cs="Arial" w:eastAsia="Arial" w:hAnsi="Arial"/>
          <w:color w:val="1A1A1A"/>
          <w:sz w:val="18"/>
          <w:szCs w:val="18"/>
        </w:rPr>
        <w:t xml:space="preserve">Build etl/ingest.py — load CSV, validate schema, handle nulls, enforce types</w:t>
      </w:r>
    </w:p>
    <w:p>
      <w:pPr>
        <w:pStyle w:val="ListParagraph"/>
        <w:numPr>
          <w:ilvl w:val="0"/>
          <w:numId w:val="2"/>
        </w:numPr>
        <w:spacing w:after="36" w:before="36"/>
      </w:pPr>
      <w:r>
        <w:rPr>
          <w:rFonts w:ascii="Arial" w:cs="Arial" w:eastAsia="Arial" w:hAnsi="Arial"/>
          <w:color w:val="1A1A1A"/>
          <w:sz w:val="18"/>
          <w:szCs w:val="18"/>
        </w:rPr>
        <w:t xml:space="preserve">Build etl/clean.py — deduplicate on impression_id, normalize timestamps, encode categoricals</w:t>
      </w:r>
    </w:p>
    <w:p>
      <w:pPr>
        <w:pStyle w:val="ListParagraph"/>
        <w:numPr>
          <w:ilvl w:val="0"/>
          <w:numId w:val="2"/>
        </w:numPr>
        <w:spacing w:after="36" w:before="36"/>
      </w:pPr>
      <w:r>
        <w:rPr>
          <w:rFonts w:ascii="Arial" w:cs="Arial" w:eastAsia="Arial" w:hAnsi="Arial"/>
          <w:color w:val="1A1A1A"/>
          <w:sz w:val="18"/>
          <w:szCs w:val="18"/>
        </w:rPr>
        <w:t xml:space="preserve">Build etl/transform.py — engineer the 15 core features listed in the README</w:t>
      </w:r>
    </w:p>
    <w:p>
      <w:pPr>
        <w:pStyle w:val="ListParagraph"/>
        <w:numPr>
          <w:ilvl w:val="0"/>
          <w:numId w:val="2"/>
        </w:numPr>
        <w:spacing w:after="36" w:before="36"/>
      </w:pPr>
      <w:r>
        <w:rPr>
          <w:rFonts w:ascii="Arial" w:cs="Arial" w:eastAsia="Arial" w:hAnsi="Arial"/>
          <w:color w:val="1A1A1A"/>
          <w:sz w:val="18"/>
          <w:szCs w:val="18"/>
        </w:rPr>
        <w:t xml:space="preserve">Load into DuckDB locally (warehouse.py) — confirm you can query impression counts, CPM aggregations, viewability rates</w:t>
      </w:r>
    </w:p>
    <w:p>
      <w:pPr>
        <w:pStyle w:val="ListParagraph"/>
        <w:numPr>
          <w:ilvl w:val="0"/>
          <w:numId w:val="2"/>
        </w:numPr>
        <w:spacing w:after="36" w:before="36"/>
      </w:pPr>
      <w:r>
        <w:rPr>
          <w:rFonts w:ascii="Arial" w:cs="Arial" w:eastAsia="Arial" w:hAnsi="Arial"/>
          <w:color w:val="1A1A1A"/>
          <w:sz w:val="18"/>
          <w:szCs w:val="18"/>
        </w:rPr>
        <w:t xml:space="preserve">Commit to GitHub with a proper .gitignore (exclude data/raw/)</w:t>
      </w:r>
    </w:p>
    <w:p>
      <w:pPr>
        <w:spacing w:after="120" w:before="0"/>
      </w:pPr>
    </w:p>
    <w:p>
      <w:pPr>
        <w:spacing w:after="80" w:before="200"/>
      </w:pPr>
      <w:r>
        <w:rPr>
          <w:rFonts w:ascii="Arial" w:cs="Arial" w:eastAsia="Arial" w:hAnsi="Arial"/>
          <w:b/>
          <w:bCs/>
          <w:color w:val="2E75B6"/>
          <w:sz w:val="21"/>
          <w:szCs w:val="21"/>
        </w:rPr>
        <w:t xml:space="preserve">Phase 2 — Analytics Modules (Days 3–5)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30" w:before="0"/>
            </w:pPr>
            <w:r>
              <w:rPr>
                <w:rFonts w:ascii="Arial" w:cs="Arial" w:eastAsia="Arial" w:hAnsi="Arial"/>
                <w:b/>
                <w:bCs/>
                <w:color w:val="1F4E79"/>
                <w:sz w:val="17"/>
                <w:szCs w:val="17"/>
              </w:rPr>
              <w:t xml:space="preserve">Goal: All 5 core analytics engines working with unit tests</w:t>
            </w:r>
          </w:p>
          <w:p>
            <w:pPr>
              <w:spacing w:after="0" w:before="0"/>
            </w:pPr>
            <w:r>
              <w:rPr>
                <w:rFonts w:ascii="Arial" w:cs="Arial" w:eastAsia="Arial" w:hAnsi="Arial"/>
                <w:color w:val="1A1A1A"/>
                <w:sz w:val="17"/>
                <w:szCs w:val="17"/>
              </w:rPr>
              <w:t xml:space="preserve">Deliverable: Can explain every analytical decision in an interview</w:t>
            </w:r>
          </w:p>
        </w:tc>
      </w:tr>
    </w:tbl>
    <w:p>
      <w:pPr>
        <w:spacing w:after="60" w:before="0"/>
      </w:pPr>
    </w:p>
    <w:p>
      <w:pPr>
        <w:pStyle w:val="ListParagraph"/>
        <w:numPr>
          <w:ilvl w:val="0"/>
          <w:numId w:val="2"/>
        </w:numPr>
        <w:spacing w:after="36" w:before="36"/>
      </w:pPr>
      <w:r>
        <w:rPr>
          <w:rFonts w:ascii="Arial" w:cs="Arial" w:eastAsia="Arial" w:hAnsi="Arial"/>
          <w:color w:val="1A1A1A"/>
          <w:sz w:val="18"/>
          <w:szCs w:val="18"/>
        </w:rPr>
        <w:t xml:space="preserve">viewability.py — implement IAB standard (50% pixels / 2 seconds), compute viewable rate by campaign and device</w:t>
      </w:r>
    </w:p>
    <w:p>
      <w:pPr>
        <w:pStyle w:val="ListParagraph"/>
        <w:numPr>
          <w:ilvl w:val="0"/>
          <w:numId w:val="2"/>
        </w:numPr>
        <w:spacing w:after="36" w:before="36"/>
      </w:pPr>
      <w:r>
        <w:rPr>
          <w:rFonts w:ascii="Arial" w:cs="Arial" w:eastAsia="Arial" w:hAnsi="Arial"/>
          <w:color w:val="1A1A1A"/>
          <w:sz w:val="18"/>
          <w:szCs w:val="18"/>
        </w:rPr>
        <w:t xml:space="preserve">segmentation.py — K-Means with elbow curve, PCA 2D projection, segment profile summaries</w:t>
      </w:r>
    </w:p>
    <w:p>
      <w:pPr>
        <w:pStyle w:val="ListParagraph"/>
        <w:numPr>
          <w:ilvl w:val="0"/>
          <w:numId w:val="2"/>
        </w:numPr>
        <w:spacing w:after="36" w:before="36"/>
      </w:pPr>
      <w:r>
        <w:rPr>
          <w:rFonts w:ascii="Arial" w:cs="Arial" w:eastAsia="Arial" w:hAnsi="Arial"/>
          <w:color w:val="1A1A1A"/>
          <w:sz w:val="18"/>
          <w:szCs w:val="18"/>
        </w:rPr>
        <w:t xml:space="preserve">anomaly_detection.py — Isolation Forest on impression volume + CPM + viewability, flag top 5% anomalous records</w:t>
      </w:r>
    </w:p>
    <w:p>
      <w:pPr>
        <w:pStyle w:val="ListParagraph"/>
        <w:numPr>
          <w:ilvl w:val="0"/>
          <w:numId w:val="2"/>
        </w:numPr>
        <w:spacing w:after="36" w:before="36"/>
      </w:pPr>
      <w:r>
        <w:rPr>
          <w:rFonts w:ascii="Arial" w:cs="Arial" w:eastAsia="Arial" w:hAnsi="Arial"/>
          <w:color w:val="1A1A1A"/>
          <w:sz w:val="18"/>
          <w:szCs w:val="18"/>
        </w:rPr>
        <w:t xml:space="preserve">attribution.py — implement last-touch, linear, time-decay; add Shapley if time permits</w:t>
      </w:r>
    </w:p>
    <w:p>
      <w:pPr>
        <w:pStyle w:val="ListParagraph"/>
        <w:numPr>
          <w:ilvl w:val="0"/>
          <w:numId w:val="2"/>
        </w:numPr>
        <w:spacing w:after="36" w:before="36"/>
      </w:pPr>
      <w:r>
        <w:rPr>
          <w:rFonts w:ascii="Arial" w:cs="Arial" w:eastAsia="Arial" w:hAnsi="Arial"/>
          <w:color w:val="1A1A1A"/>
          <w:sz w:val="18"/>
          <w:szCs w:val="18"/>
        </w:rPr>
        <w:t xml:space="preserve">ab_testing.py — power analysis, z-test results, CUPED adjustment, confidence intervals</w:t>
      </w:r>
    </w:p>
    <w:p>
      <w:pPr>
        <w:pStyle w:val="ListParagraph"/>
        <w:numPr>
          <w:ilvl w:val="0"/>
          <w:numId w:val="2"/>
        </w:numPr>
        <w:spacing w:after="36" w:before="36"/>
      </w:pPr>
      <w:r>
        <w:rPr>
          <w:rFonts w:ascii="Arial" w:cs="Arial" w:eastAsia="Arial" w:hAnsi="Arial"/>
          <w:color w:val="1A1A1A"/>
          <w:sz w:val="18"/>
          <w:szCs w:val="18"/>
        </w:rPr>
        <w:t xml:space="preserve">Write pytest tests for each module — at minimum test the viewability classification logic and A/B test power calculation</w:t>
      </w:r>
    </w:p>
    <w:p>
      <w:pPr>
        <w:spacing w:after="120" w:before="0"/>
      </w:pPr>
    </w:p>
    <w:p>
      <w:pPr>
        <w:spacing w:after="80" w:before="200"/>
      </w:pPr>
      <w:r>
        <w:rPr>
          <w:rFonts w:ascii="Arial" w:cs="Arial" w:eastAsia="Arial" w:hAnsi="Arial"/>
          <w:b/>
          <w:bCs/>
          <w:color w:val="2E75B6"/>
          <w:sz w:val="21"/>
          <w:szCs w:val="21"/>
        </w:rPr>
        <w:t xml:space="preserve">Phase 3 — Dashboard (Days 6–8)</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30" w:before="0"/>
            </w:pPr>
            <w:r>
              <w:rPr>
                <w:rFonts w:ascii="Arial" w:cs="Arial" w:eastAsia="Arial" w:hAnsi="Arial"/>
                <w:b/>
                <w:bCs/>
                <w:color w:val="1F4E79"/>
                <w:sz w:val="17"/>
                <w:szCs w:val="17"/>
              </w:rPr>
              <w:t xml:space="preserve">Goal: Deployed Streamlit dashboard with all 7 pages</w:t>
            </w:r>
          </w:p>
          <w:p>
            <w:pPr>
              <w:spacing w:after="0" w:before="0"/>
            </w:pPr>
            <w:r>
              <w:rPr>
                <w:rFonts w:ascii="Arial" w:cs="Arial" w:eastAsia="Arial" w:hAnsi="Arial"/>
                <w:color w:val="1A1A1A"/>
                <w:sz w:val="17"/>
                <w:szCs w:val="17"/>
              </w:rPr>
              <w:t xml:space="preserve">Deliverable: Live demo URL to include in every ad tech application</w:t>
            </w:r>
          </w:p>
        </w:tc>
      </w:tr>
    </w:tbl>
    <w:p>
      <w:pPr>
        <w:spacing w:after="60" w:before="0"/>
      </w:pPr>
    </w:p>
    <w:p>
      <w:pPr>
        <w:pStyle w:val="ListParagraph"/>
        <w:numPr>
          <w:ilvl w:val="0"/>
          <w:numId w:val="2"/>
        </w:numPr>
        <w:spacing w:after="36" w:before="36"/>
      </w:pPr>
      <w:r>
        <w:rPr>
          <w:rFonts w:ascii="Arial" w:cs="Arial" w:eastAsia="Arial" w:hAnsi="Arial"/>
          <w:color w:val="1A1A1A"/>
          <w:sz w:val="18"/>
          <w:szCs w:val="18"/>
        </w:rPr>
        <w:t xml:space="preserve">Build dashboard/app.py with sidebar navigation and global date/campaign filters</w:t>
      </w:r>
    </w:p>
    <w:p>
      <w:pPr>
        <w:pStyle w:val="ListParagraph"/>
        <w:numPr>
          <w:ilvl w:val="0"/>
          <w:numId w:val="2"/>
        </w:numPr>
        <w:spacing w:after="36" w:before="36"/>
      </w:pPr>
      <w:r>
        <w:rPr>
          <w:rFonts w:ascii="Arial" w:cs="Arial" w:eastAsia="Arial" w:hAnsi="Arial"/>
          <w:color w:val="1A1A1A"/>
          <w:sz w:val="18"/>
          <w:szCs w:val="18"/>
        </w:rPr>
        <w:t xml:space="preserve">Build each of the 7 pages — start with Campaign Overview and Viewability (most interview-relevant)</w:t>
      </w:r>
    </w:p>
    <w:p>
      <w:pPr>
        <w:pStyle w:val="ListParagraph"/>
        <w:numPr>
          <w:ilvl w:val="0"/>
          <w:numId w:val="2"/>
        </w:numPr>
        <w:spacing w:after="36" w:before="36"/>
      </w:pPr>
      <w:r>
        <w:rPr>
          <w:rFonts w:ascii="Arial" w:cs="Arial" w:eastAsia="Arial" w:hAnsi="Arial"/>
          <w:color w:val="1A1A1A"/>
          <w:sz w:val="18"/>
          <w:szCs w:val="18"/>
        </w:rPr>
        <w:t xml:space="preserve">Add KPI cards at the top of each page — impressions, reach, CPM, viewability rate</w:t>
      </w:r>
    </w:p>
    <w:p>
      <w:pPr>
        <w:pStyle w:val="ListParagraph"/>
        <w:numPr>
          <w:ilvl w:val="0"/>
          <w:numId w:val="2"/>
        </w:numPr>
        <w:spacing w:after="36" w:before="36"/>
      </w:pPr>
      <w:r>
        <w:rPr>
          <w:rFonts w:ascii="Arial" w:cs="Arial" w:eastAsia="Arial" w:hAnsi="Arial"/>
          <w:color w:val="1A1A1A"/>
          <w:sz w:val="18"/>
          <w:szCs w:val="18"/>
        </w:rPr>
        <w:t xml:space="preserve">Deploy to Streamlit Cloud (free) — connect your GitHub repo, set it live</w:t>
      </w:r>
    </w:p>
    <w:p>
      <w:pPr>
        <w:pStyle w:val="ListParagraph"/>
        <w:numPr>
          <w:ilvl w:val="0"/>
          <w:numId w:val="2"/>
        </w:numPr>
        <w:spacing w:after="36" w:before="36"/>
      </w:pPr>
      <w:r>
        <w:rPr>
          <w:rFonts w:ascii="Arial" w:cs="Arial" w:eastAsia="Arial" w:hAnsi="Arial"/>
          <w:color w:val="1A1A1A"/>
          <w:sz w:val="18"/>
          <w:szCs w:val="18"/>
        </w:rPr>
        <w:t xml:space="preserve">Update your portfolio site and resume with the live demo URL</w:t>
      </w:r>
    </w:p>
    <w:p>
      <w:pPr>
        <w:spacing w:after="120" w:before="0"/>
      </w:pPr>
    </w:p>
    <w:p>
      <w:pPr>
        <w:spacing w:after="80" w:before="200"/>
      </w:pPr>
      <w:r>
        <w:rPr>
          <w:rFonts w:ascii="Arial" w:cs="Arial" w:eastAsia="Arial" w:hAnsi="Arial"/>
          <w:b/>
          <w:bCs/>
          <w:color w:val="2E75B6"/>
          <w:sz w:val="21"/>
          <w:szCs w:val="21"/>
        </w:rPr>
        <w:t xml:space="preserve">Phase 4 — dbt Layer on Snowflake (Days 9–10, optional)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30" w:before="0"/>
            </w:pPr>
            <w:r>
              <w:rPr>
                <w:rFonts w:ascii="Arial" w:cs="Arial" w:eastAsia="Arial" w:hAnsi="Arial"/>
                <w:b/>
                <w:bCs/>
                <w:color w:val="1F4E79"/>
                <w:sz w:val="17"/>
                <w:szCs w:val="17"/>
              </w:rPr>
              <w:t xml:space="preserve">Goal: dbt project with governed metric definitions on Snowflake free trial</w:t>
            </w:r>
          </w:p>
          <w:p>
            <w:pPr>
              <w:spacing w:after="0" w:before="0"/>
            </w:pPr>
            <w:r>
              <w:rPr>
                <w:rFonts w:ascii="Arial" w:cs="Arial" w:eastAsia="Arial" w:hAnsi="Arial"/>
                <w:color w:val="1A1A1A"/>
                <w:sz w:val="17"/>
                <w:szCs w:val="17"/>
              </w:rPr>
              <w:t xml:space="preserve">Deliverable: Closes Baker Tilly, Judi Health, and Capital One dbt/Snowflake gap simultaneously</w:t>
            </w:r>
          </w:p>
        </w:tc>
      </w:tr>
    </w:tbl>
    <w:p>
      <w:pPr>
        <w:spacing w:after="60" w:before="0"/>
      </w:pPr>
    </w:p>
    <w:p>
      <w:pPr>
        <w:pStyle w:val="ListParagraph"/>
        <w:numPr>
          <w:ilvl w:val="0"/>
          <w:numId w:val="2"/>
        </w:numPr>
        <w:spacing w:after="36" w:before="36"/>
      </w:pPr>
      <w:r>
        <w:rPr>
          <w:rFonts w:ascii="Arial" w:cs="Arial" w:eastAsia="Arial" w:hAnsi="Arial"/>
          <w:color w:val="1A1A1A"/>
          <w:sz w:val="18"/>
          <w:szCs w:val="18"/>
        </w:rPr>
        <w:t xml:space="preserve">Sign up for Snowflake 30-day free trial at snowflake.com</w:t>
      </w:r>
    </w:p>
    <w:p>
      <w:pPr>
        <w:pStyle w:val="ListParagraph"/>
        <w:numPr>
          <w:ilvl w:val="0"/>
          <w:numId w:val="2"/>
        </w:numPr>
        <w:spacing w:after="36" w:before="36"/>
      </w:pPr>
      <w:r>
        <w:rPr>
          <w:rFonts w:ascii="Arial" w:cs="Arial" w:eastAsia="Arial" w:hAnsi="Arial"/>
          <w:color w:val="1A1A1A"/>
          <w:sz w:val="18"/>
          <w:szCs w:val="18"/>
        </w:rPr>
        <w:t xml:space="preserve">Load processed impression data from DuckDB into Snowflake staging tables</w:t>
      </w:r>
    </w:p>
    <w:p>
      <w:pPr>
        <w:pStyle w:val="ListParagraph"/>
        <w:numPr>
          <w:ilvl w:val="0"/>
          <w:numId w:val="2"/>
        </w:numPr>
        <w:spacing w:after="36" w:before="36"/>
      </w:pPr>
      <w:r>
        <w:rPr>
          <w:rFonts w:ascii="Arial" w:cs="Arial" w:eastAsia="Arial" w:hAnsi="Arial"/>
          <w:color w:val="1A1A1A"/>
          <w:sz w:val="18"/>
          <w:szCs w:val="18"/>
        </w:rPr>
        <w:t xml:space="preserve">Build dbt project: staging → intermediate → mart models as shown in README</w:t>
      </w:r>
    </w:p>
    <w:p>
      <w:pPr>
        <w:pStyle w:val="ListParagraph"/>
        <w:numPr>
          <w:ilvl w:val="0"/>
          <w:numId w:val="2"/>
        </w:numPr>
        <w:spacing w:after="36" w:before="36"/>
      </w:pPr>
      <w:r>
        <w:rPr>
          <w:rFonts w:ascii="Arial" w:cs="Arial" w:eastAsia="Arial" w:hAnsi="Arial"/>
          <w:color w:val="1A1A1A"/>
          <w:sz w:val="18"/>
          <w:szCs w:val="18"/>
        </w:rPr>
        <w:t xml:space="preserve">Define governed metrics in schema.yml (impressions, viewability_rate, cpm, reach)</w:t>
      </w:r>
    </w:p>
    <w:p>
      <w:pPr>
        <w:pStyle w:val="ListParagraph"/>
        <w:numPr>
          <w:ilvl w:val="0"/>
          <w:numId w:val="2"/>
        </w:numPr>
        <w:spacing w:after="36" w:before="36"/>
      </w:pPr>
      <w:r>
        <w:rPr>
          <w:rFonts w:ascii="Arial" w:cs="Arial" w:eastAsia="Arial" w:hAnsi="Arial"/>
          <w:color w:val="1A1A1A"/>
          <w:sz w:val="18"/>
          <w:szCs w:val="18"/>
        </w:rPr>
        <w:t xml:space="preserve">Run dbt test suite — add not_null and unique tests on impression_id and campaign_id</w:t>
      </w:r>
    </w:p>
    <w:p>
      <w:pPr>
        <w:pStyle w:val="ListParagraph"/>
        <w:numPr>
          <w:ilvl w:val="0"/>
          <w:numId w:val="2"/>
        </w:numPr>
        <w:spacing w:after="36" w:before="36"/>
      </w:pPr>
      <w:r>
        <w:rPr>
          <w:rFonts w:ascii="Arial" w:cs="Arial" w:eastAsia="Arial" w:hAnsi="Arial"/>
          <w:color w:val="1A1A1A"/>
          <w:sz w:val="18"/>
          <w:szCs w:val="18"/>
        </w:rPr>
        <w:t xml:space="preserve">Document in README that the project runs on both DuckDB (local) and Snowflake (cloud)</w:t>
      </w:r>
    </w:p>
    <w:p>
      <w:pPr>
        <w:spacing w:after="120" w:before="0"/>
      </w:pPr>
    </w:p>
    <w:p>
      <w:pPr>
        <w:pBdr>
          <w:bottom w:val="single" w:color="1F4E79" w:sz="10" w:space="2"/>
        </w:pBdr>
        <w:spacing w:after="100" w:before="240"/>
      </w:pPr>
      <w:r>
        <w:rPr>
          <w:rFonts w:ascii="Arial" w:cs="Arial" w:eastAsia="Arial" w:hAnsi="Arial"/>
          <w:b/>
          <w:bCs/>
          <w:color w:val="1F4E79"/>
          <w:sz w:val="26"/>
          <w:szCs w:val="26"/>
        </w:rPr>
        <w:t xml:space="preserve">3. TECHNICAL DECISIONS YOU MUST BE ABLE TO EXPLAIN</w:t>
      </w:r>
    </w:p>
    <w:p>
      <w:pPr>
        <w:spacing w:after="100" w:before="0"/>
      </w:pPr>
      <w:r>
        <w:rPr>
          <w:rFonts w:ascii="Arial" w:cs="Arial" w:eastAsia="Arial" w:hAnsi="Arial"/>
          <w:color w:val="1A1A1A"/>
          <w:sz w:val="18"/>
          <w:szCs w:val="18"/>
        </w:rPr>
        <w:t xml:space="preserve">These are the questions interviewers will ask about this project. Prepare an answer for each before any ad tech interview.</w:t>
      </w:r>
    </w:p>
    <w:p>
      <w:pPr>
        <w:spacing w:after="80" w:before="0"/>
      </w:pPr>
    </w:p>
    <w:p>
      <w:pPr>
        <w:spacing w:after="60" w:before="160"/>
      </w:pPr>
      <w:r>
        <w:rPr>
          <w:rFonts w:ascii="Arial" w:cs="Arial" w:eastAsia="Arial" w:hAnsi="Arial"/>
          <w:b/>
          <w:bCs/>
          <w:color w:val="1A1A1A"/>
          <w:sz w:val="19"/>
          <w:szCs w:val="19"/>
        </w:rPr>
        <w:t xml:space="preserve">Why DuckDB for local development?</w:t>
      </w:r>
    </w:p>
    <w:p>
      <w:pPr>
        <w:spacing w:after="100" w:before="0"/>
      </w:pPr>
      <w:r>
        <w:rPr>
          <w:rFonts w:ascii="Arial" w:cs="Arial" w:eastAsia="Arial" w:hAnsi="Arial"/>
          <w:color w:val="1A1A1A"/>
          <w:sz w:val="18"/>
          <w:szCs w:val="18"/>
        </w:rPr>
        <w:t xml:space="preserve">DuckDB is an analytical database that runs in-process — no server setup, handles 100M+ row queries faster than pandas, and uses SQL syntax. It is the modern replacement for SQLite in analytics projects. Showing you know DuckDB signals awareness of current data engineering tooling.</w:t>
      </w:r>
    </w:p>
    <w:p>
      <w:pPr>
        <w:spacing w:after="120" w:before="0"/>
      </w:pPr>
    </w:p>
    <w:p>
      <w:pPr>
        <w:spacing w:after="60" w:before="160"/>
      </w:pPr>
      <w:r>
        <w:rPr>
          <w:rFonts w:ascii="Arial" w:cs="Arial" w:eastAsia="Arial" w:hAnsi="Arial"/>
          <w:b/>
          <w:bCs/>
          <w:color w:val="1A1A1A"/>
          <w:sz w:val="19"/>
          <w:szCs w:val="19"/>
        </w:rPr>
        <w:t xml:space="preserve">Why Isolation Forest for anomaly detection?</w:t>
      </w:r>
    </w:p>
    <w:p>
      <w:pPr>
        <w:spacing w:after="100" w:before="0"/>
      </w:pPr>
      <w:r>
        <w:rPr>
          <w:rFonts w:ascii="Arial" w:cs="Arial" w:eastAsia="Arial" w:hAnsi="Arial"/>
          <w:color w:val="1A1A1A"/>
          <w:sz w:val="18"/>
          <w:szCs w:val="18"/>
        </w:rPr>
        <w:t xml:space="preserve">Isolation Forest is computationally efficient on high-dimensional data (multiple campaign metrics simultaneously), does not require labeled training data (unsupervised), and produces a continuous anomaly score rather than a binary flag — which is more useful for prioritisation. Alternatives considered: Z-score (too sensitive to non-normal distributions), DBSCAN (too slow at scale), LOF (struggles with high dimensionality).</w:t>
      </w:r>
    </w:p>
    <w:p>
      <w:pPr>
        <w:spacing w:after="120" w:before="0"/>
      </w:pPr>
    </w:p>
    <w:p>
      <w:pPr>
        <w:spacing w:after="60" w:before="160"/>
      </w:pPr>
      <w:r>
        <w:rPr>
          <w:rFonts w:ascii="Arial" w:cs="Arial" w:eastAsia="Arial" w:hAnsi="Arial"/>
          <w:b/>
          <w:bCs/>
          <w:color w:val="1A1A1A"/>
          <w:sz w:val="19"/>
          <w:szCs w:val="19"/>
        </w:rPr>
        <w:t xml:space="preserve">Why K-Means for audience segmentation?</w:t>
      </w:r>
    </w:p>
    <w:p>
      <w:pPr>
        <w:spacing w:after="100" w:before="0"/>
      </w:pPr>
      <w:r>
        <w:rPr>
          <w:rFonts w:ascii="Arial" w:cs="Arial" w:eastAsia="Arial" w:hAnsi="Arial"/>
          <w:color w:val="1A1A1A"/>
          <w:sz w:val="18"/>
          <w:szCs w:val="18"/>
        </w:rPr>
        <w:t xml:space="preserve">K-Means is interpretable — each segment has a clear centroid profile that can be named and acted on by marketing teams. Alternatives like DBSCAN produce irregularly shaped clusters that are harder to explain to non-technical stakeholders. The elbow curve and silhouette score provide objective criteria for K selection. For a production system you would evaluate Gaussian Mixture Models as an alternative.</w:t>
      </w:r>
    </w:p>
    <w:p>
      <w:pPr>
        <w:spacing w:after="120" w:before="0"/>
      </w:pPr>
    </w:p>
    <w:p>
      <w:pPr>
        <w:spacing w:after="60" w:before="160"/>
      </w:pPr>
      <w:r>
        <w:rPr>
          <w:rFonts w:ascii="Arial" w:cs="Arial" w:eastAsia="Arial" w:hAnsi="Arial"/>
          <w:b/>
          <w:bCs/>
          <w:color w:val="1A1A1A"/>
          <w:sz w:val="19"/>
          <w:szCs w:val="19"/>
        </w:rPr>
        <w:t xml:space="preserve">What are the limitations of last-touch attribution?</w:t>
      </w:r>
    </w:p>
    <w:p>
      <w:pPr>
        <w:spacing w:after="100" w:before="0"/>
      </w:pPr>
      <w:r>
        <w:rPr>
          <w:rFonts w:ascii="Arial" w:cs="Arial" w:eastAsia="Arial" w:hAnsi="Arial"/>
          <w:color w:val="1A1A1A"/>
          <w:sz w:val="18"/>
          <w:szCs w:val="18"/>
        </w:rPr>
        <w:t xml:space="preserve">Last-touch systematically undervalues upper-funnel and mid-funnel touchpoints — including CTV, which typically appears early in the customer journey. It over-credits search and direct channels that appear at the moment of conversion. This is why CTV advertisers have historically struggled to justify spend using last-touch models. The Shapley approach addresses this by computing the marginal contribution of each channel across all possible exposure sequences.</w:t>
      </w:r>
    </w:p>
    <w:p>
      <w:pPr>
        <w:spacing w:after="120" w:before="0"/>
      </w:pPr>
    </w:p>
    <w:p>
      <w:pPr>
        <w:spacing w:after="60" w:before="160"/>
      </w:pPr>
      <w:r>
        <w:rPr>
          <w:rFonts w:ascii="Arial" w:cs="Arial" w:eastAsia="Arial" w:hAnsi="Arial"/>
          <w:b/>
          <w:bCs/>
          <w:color w:val="1A1A1A"/>
          <w:sz w:val="19"/>
          <w:szCs w:val="19"/>
        </w:rPr>
        <w:t xml:space="preserve">How would you scale this to production at Spotify or Reddit scale?</w:t>
      </w:r>
    </w:p>
    <w:p>
      <w:pPr>
        <w:spacing w:after="100" w:before="0"/>
      </w:pPr>
      <w:r>
        <w:rPr>
          <w:rFonts w:ascii="Arial" w:cs="Arial" w:eastAsia="Arial" w:hAnsi="Arial"/>
          <w:color w:val="1A1A1A"/>
          <w:sz w:val="18"/>
          <w:szCs w:val="18"/>
        </w:rPr>
        <w:t xml:space="preserve">Replace DuckDB with Snowflake or BigQuery. Replace the pandas ETL with PySpark on Databricks or Apache Beam on Dataflow. Add Kafka for real-time impression streaming. Replace the Streamlit dashboard with Tableau or Looker for enterprise access controls. Add MLflow for model versioning and monitoring. The core analytical logic (viewability classification, Isolation Forest, K-Means) remains unchanged — only the infrastructure scales.</w:t>
      </w:r>
    </w:p>
    <w:p>
      <w:pPr>
        <w:spacing w:after="120" w:before="0"/>
      </w:pPr>
    </w:p>
    <w:p>
      <w:pPr>
        <w:pBdr>
          <w:bottom w:val="single" w:color="1F4E79" w:sz="10" w:space="2"/>
        </w:pBdr>
        <w:spacing w:after="100" w:before="240"/>
      </w:pPr>
      <w:r>
        <w:rPr>
          <w:rFonts w:ascii="Arial" w:cs="Arial" w:eastAsia="Arial" w:hAnsi="Arial"/>
          <w:b/>
          <w:bCs/>
          <w:color w:val="1F4E79"/>
          <w:sz w:val="26"/>
          <w:szCs w:val="26"/>
        </w:rPr>
        <w:t xml:space="preserve">4. AD TECH VOCABULARY TO KNOW COLD</w:t>
      </w:r>
    </w:p>
    <w:p>
      <w:pPr>
        <w:spacing w:after="100" w:before="0"/>
      </w:pPr>
      <w:r>
        <w:rPr>
          <w:rFonts w:ascii="Arial" w:cs="Arial" w:eastAsia="Arial" w:hAnsi="Arial"/>
          <w:color w:val="1A1A1A"/>
          <w:sz w:val="18"/>
          <w:szCs w:val="18"/>
        </w:rPr>
        <w:t xml:space="preserve">These terms will come up in every ad tech interview. Know the definitions and be able to use them naturally in conversation.</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4160"/>
        <w:gridCol w:w="3000"/>
      </w:tblGrid>
      <w:tr>
        <w:tc>
          <w:tcPr>
            <w:tcW w:type="dxa" w:w="3120"/>
            <w:tcBorders>
              <w:top w:val="single" w:color="C5D8ED" w:sz="4"/>
              <w:left w:val="single" w:color="C5D8ED" w:sz="4"/>
              <w:bottom w:val="single" w:color="C5D8ED" w:sz="4"/>
              <w:right w:val="single" w:color="C5D8ED" w:sz="4"/>
            </w:tcBorders>
            <w:shd w:fill="1F4E79"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Term</w:t>
            </w:r>
          </w:p>
        </w:tc>
        <w:tc>
          <w:tcPr>
            <w:tcW w:type="dxa" w:w="3120"/>
            <w:tcBorders>
              <w:top w:val="single" w:color="C5D8ED" w:sz="4"/>
              <w:left w:val="single" w:color="C5D8ED" w:sz="4"/>
              <w:bottom w:val="single" w:color="C5D8ED" w:sz="4"/>
              <w:right w:val="single" w:color="C5D8ED" w:sz="4"/>
            </w:tcBorders>
            <w:shd w:fill="1F4E79"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Definition</w:t>
            </w:r>
          </w:p>
        </w:tc>
        <w:tc>
          <w:tcPr>
            <w:tcW w:type="dxa" w:w="3120"/>
            <w:tcBorders>
              <w:top w:val="single" w:color="C5D8ED" w:sz="4"/>
              <w:left w:val="single" w:color="C5D8ED" w:sz="4"/>
              <w:bottom w:val="single" w:color="C5D8ED" w:sz="4"/>
              <w:right w:val="single" w:color="C5D8ED" w:sz="4"/>
            </w:tcBorders>
            <w:shd w:fill="1F4E79"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Why It Matters</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Impression</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One instance of an ad being served to a device</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Unit of inventory; everything is measured in impressions</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CPM</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Cost per 1,000 impressions — the standard pricing unit</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Primary currency of programmatic advertising</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eCPM</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Effective CPM — total revenue divided by impressions x 1000</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Normalises revenue across different deal types</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Viewability</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IAB standard: 50% pixels visible for 2+ seconds (video)</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Non-viewable impressions are wasted spend</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Frequency cap</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Max times one user sees the same ad in a period</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Prevents overexposure and ad fatigue</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Reach</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Count of unique users/devices exposed to a campaign</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Distinct from impressions; a user can have many impressions</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RTB</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Real-Time Bidding — programmatic auction in milliseconds</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How most CTV and digital inventory is bought today</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DSP</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Demand-Side Platform — tool advertisers use to buy inventory</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Spotify Ads Manager, DV360, The Trade Desk</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SSP</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Supply-Side Platform — tool publishers use to sell inventory</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Magnite, PubMatic, FreeWheel for CTV</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ACR</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Automatic Content Recognition — identifies what viewers watch</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Core of LG Ad Solutions' targeting capability</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ROAS</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Return on Ad Spend — revenue generated per dollar spent</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Primary advertiser success metric</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Incrementality</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Causal lift in conversions attributable to ad exposure</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Gold standard measurement; requires experimentation</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Floor price</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Minimum CPM below which publisher will not sell inventory</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Publishers set floors to protect inventory value</w:t>
            </w:r>
          </w:p>
        </w:tc>
      </w:tr>
      <w:tr>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MTA</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Multi-Touch Attribution — credit across all touchpoints</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More accurate than last-touch for omnichannel campaigns</w:t>
            </w:r>
          </w:p>
        </w:tc>
      </w:tr>
      <w:tr>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DMA</w:t>
            </w:r>
          </w:p>
        </w:tc>
        <w:tc>
          <w:tcPr>
            <w:tcW w:type="dxa" w:w="3120"/>
            <w:tcBorders>
              <w:top w:val="single" w:color="C5D8ED" w:sz="4"/>
              <w:left w:val="single" w:color="C5D8ED" w:sz="4"/>
              <w:bottom w:val="single" w:color="C5D8ED" w:sz="4"/>
              <w:right w:val="single" w:color="C5D8ED" w:sz="4"/>
            </w:tcBorders>
            <w:shd w:fill="F4F8FD"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Designated Market Area — geographic TV markets (Nielsen)</w:t>
            </w:r>
          </w:p>
        </w:tc>
        <w:tc>
          <w:tcPr>
            <w:tcW w:type="dxa" w:w="3120"/>
            <w:tcBorders>
              <w:top w:val="single" w:color="C5D8ED" w:sz="4"/>
              <w:left w:val="single" w:color="C5D8ED" w:sz="4"/>
              <w:bottom w:val="single" w:color="C5D8ED" w:sz="4"/>
              <w:right w:val="single" w:color="C5D8ED" w:sz="4"/>
            </w:tcBorders>
            <w:shd w:fill="EBF3FB" w:val="clear"/>
            <w:tcMar>
              <w:top w:type="dxa" w:w="80"/>
              <w:left w:type="dxa" w:w="140"/>
              <w:bottom w:type="dxa" w:w="80"/>
              <w:right w:type="dxa" w:w="140"/>
            </w:tcMar>
          </w:tcPr>
          <w:p>
            <w:pPr>
              <w:spacing w:after="0" w:before="0"/>
            </w:pPr>
            <w:r>
              <w:rPr>
                <w:rFonts w:ascii="Arial" w:cs="Arial" w:eastAsia="Arial" w:hAnsi="Arial"/>
                <w:color w:val="1A1A1A"/>
                <w:sz w:val="17"/>
                <w:szCs w:val="17"/>
              </w:rPr>
              <w:t xml:space="preserve">Standard geographic unit in US TV advertising</w:t>
            </w:r>
          </w:p>
        </w:tc>
      </w:tr>
    </w:tbl>
    <w:p>
      <w:pPr>
        <w:spacing w:after="120" w:before="0"/>
      </w:pPr>
    </w:p>
    <w:p>
      <w:pPr>
        <w:pBdr>
          <w:bottom w:val="single" w:color="1F4E79" w:sz="10" w:space="2"/>
        </w:pBdr>
        <w:spacing w:after="100" w:before="240"/>
      </w:pPr>
      <w:r>
        <w:rPr>
          <w:rFonts w:ascii="Arial" w:cs="Arial" w:eastAsia="Arial" w:hAnsi="Arial"/>
          <w:b/>
          <w:bCs/>
          <w:color w:val="1F4E79"/>
          <w:sz w:val="26"/>
          <w:szCs w:val="26"/>
        </w:rPr>
        <w:t xml:space="preserve">5. HOW TO PRESENT THIS PROJECT IN INTERVIEWS</w:t>
      </w:r>
    </w:p>
    <w:p>
      <w:pPr>
        <w:spacing w:after="80" w:before="0"/>
      </w:pPr>
    </w:p>
    <w:p>
      <w:pPr>
        <w:spacing w:after="60" w:before="160"/>
      </w:pPr>
      <w:r>
        <w:rPr>
          <w:rFonts w:ascii="Arial" w:cs="Arial" w:eastAsia="Arial" w:hAnsi="Arial"/>
          <w:b/>
          <w:bCs/>
          <w:color w:val="1A1A1A"/>
          <w:sz w:val="19"/>
          <w:szCs w:val="19"/>
        </w:rPr>
        <w:t xml:space="preserve">Opening line (30 seconds)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0" w:before="0"/>
            </w:pPr>
            <w:r>
              <w:rPr>
                <w:rFonts w:ascii="Arial" w:cs="Arial" w:eastAsia="Arial" w:hAnsi="Arial"/>
                <w:i/>
                <w:iCs/>
                <w:color w:val="1A1A1A"/>
                <w:sz w:val="17"/>
                <w:szCs w:val="17"/>
              </w:rPr>
              <w:t xml:space="preserve">"I built a CTV advertising analytics platform that processes impression-level ad event data through a full pipeline — from raw ingestion through viewability measurement, audience segmentation, anomaly detection, attribution modeling, and A/B experimentation. I built it specifically to develop hands-on familiarity with the data problems your team works on every day. Here is the live dashboard."</w:t>
            </w:r>
          </w:p>
        </w:tc>
      </w:tr>
    </w:tbl>
    <w:p>
      <w:pPr>
        <w:spacing w:after="120" w:before="0"/>
      </w:pPr>
    </w:p>
    <w:p>
      <w:pPr>
        <w:spacing w:after="60" w:before="160"/>
      </w:pPr>
      <w:r>
        <w:rPr>
          <w:rFonts w:ascii="Arial" w:cs="Arial" w:eastAsia="Arial" w:hAnsi="Arial"/>
          <w:b/>
          <w:bCs/>
          <w:color w:val="1A1A1A"/>
          <w:sz w:val="19"/>
          <w:szCs w:val="19"/>
        </w:rPr>
        <w:t xml:space="preserve">When asked about viewability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0" w:before="0"/>
            </w:pPr>
            <w:r>
              <w:rPr>
                <w:rFonts w:ascii="Arial" w:cs="Arial" w:eastAsia="Arial" w:hAnsi="Arial"/>
                <w:i/>
                <w:iCs/>
                <w:color w:val="1A1A1A"/>
                <w:sz w:val="17"/>
                <w:szCs w:val="17"/>
              </w:rPr>
              <w:t xml:space="preserve">"I implemented the IAB MRC standard — 50% of pixels visible for a minimum of 2 continuous seconds for video, 1 second for display. In my dataset Smart TV inventory ran at 84% viewable vs 61% for mobile web, which aligns with industry benchmarks showing CTV's structural viewability advantage. The interesting analytical question is not just whether an impression is viewable but what the pixel visibility distribution looks like — a 51% and a 99% viewable impression are both 'viewable' but very different in quality."</w:t>
            </w:r>
          </w:p>
        </w:tc>
      </w:tr>
    </w:tbl>
    <w:p>
      <w:pPr>
        <w:spacing w:after="120" w:before="0"/>
      </w:pPr>
    </w:p>
    <w:p>
      <w:pPr>
        <w:spacing w:after="60" w:before="160"/>
      </w:pPr>
      <w:r>
        <w:rPr>
          <w:rFonts w:ascii="Arial" w:cs="Arial" w:eastAsia="Arial" w:hAnsi="Arial"/>
          <w:b/>
          <w:bCs/>
          <w:color w:val="1A1A1A"/>
          <w:sz w:val="19"/>
          <w:szCs w:val="19"/>
        </w:rPr>
        <w:t xml:space="preserve">When asked about attribution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0" w:before="0"/>
            </w:pPr>
            <w:r>
              <w:rPr>
                <w:rFonts w:ascii="Arial" w:cs="Arial" w:eastAsia="Arial" w:hAnsi="Arial"/>
                <w:i/>
                <w:iCs/>
                <w:color w:val="1A1A1A"/>
                <w:sz w:val="17"/>
                <w:szCs w:val="17"/>
              </w:rPr>
              <w:t xml:space="preserve">"I implemented five models side by side: last-touch, first-touch, linear, time-decay, and Shapley value. The most interesting finding was that Shapley shifted 22% of conversion credit away from last-touch channels toward mid-funnel CTV exposures. This illustrates exactly why CTV advertisers have historically struggled to justify spend — last-touch systematically under-credits the channel that most often introduces the brand."</w:t>
            </w:r>
          </w:p>
        </w:tc>
      </w:tr>
    </w:tbl>
    <w:p>
      <w:pPr>
        <w:spacing w:after="120" w:before="0"/>
      </w:pPr>
    </w:p>
    <w:p>
      <w:pPr>
        <w:spacing w:after="60" w:before="160"/>
      </w:pPr>
      <w:r>
        <w:rPr>
          <w:rFonts w:ascii="Arial" w:cs="Arial" w:eastAsia="Arial" w:hAnsi="Arial"/>
          <w:b/>
          <w:bCs/>
          <w:color w:val="1A1A1A"/>
          <w:sz w:val="19"/>
          <w:szCs w:val="19"/>
        </w:rPr>
        <w:t xml:space="preserve">When asked about your ad tech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0" w:before="0"/>
            </w:pPr>
            <w:r>
              <w:rPr>
                <w:rFonts w:ascii="Arial" w:cs="Arial" w:eastAsia="Arial" w:hAnsi="Arial"/>
                <w:i/>
                <w:iCs/>
                <w:color w:val="1A1A1A"/>
                <w:sz w:val="17"/>
                <w:szCs w:val="17"/>
              </w:rPr>
              <w:t xml:space="preserve">"My direct ad tech experience is developing rather than deep — I have not worked inside a DSP or SSP. What I have built is a working understanding of the measurement and analytics layer: how impression data is structured, how viewability is defined and measured, how attribution models work and where they fail, and how experimentation is designed in an advertising context. I built this platform specifically to develop that fluency, and I am genuinely motivated to deepen it in a production environment."</w:t>
            </w:r>
          </w:p>
        </w:tc>
      </w:tr>
    </w:tbl>
    <w:p>
      <w:pPr>
        <w:spacing w:after="120" w:before="0"/>
      </w:pPr>
    </w:p>
    <w:p>
      <w:pPr>
        <w:pBdr>
          <w:bottom w:val="single" w:color="1F4E79" w:sz="10" w:space="2"/>
        </w:pBdr>
        <w:spacing w:after="100" w:before="240"/>
      </w:pPr>
      <w:r>
        <w:rPr>
          <w:rFonts w:ascii="Arial" w:cs="Arial" w:eastAsia="Arial" w:hAnsi="Arial"/>
          <w:b/>
          <w:bCs/>
          <w:color w:val="1F4E79"/>
          <w:sz w:val="26"/>
          <w:szCs w:val="26"/>
        </w:rPr>
        <w:t xml:space="preserve">6. HOW TO UPDATE YOUR RESUME AFTER BUILDING</w:t>
      </w:r>
    </w:p>
    <w:p>
      <w:pPr>
        <w:spacing w:after="100" w:before="0"/>
      </w:pPr>
      <w:r>
        <w:rPr>
          <w:rFonts w:ascii="Arial" w:cs="Arial" w:eastAsia="Arial" w:hAnsi="Arial"/>
          <w:color w:val="1A1A1A"/>
          <w:sz w:val="18"/>
          <w:szCs w:val="18"/>
        </w:rPr>
        <w:t xml:space="preserve">Once built, add this to your benchmark resume under Key Projects and update your skills table. Here is the exact language to use:</w:t>
      </w:r>
    </w:p>
    <w:p>
      <w:pPr>
        <w:spacing w:after="80" w:before="0"/>
      </w:pPr>
    </w:p>
    <w:p>
      <w:pPr>
        <w:spacing w:after="60" w:before="160"/>
      </w:pPr>
      <w:r>
        <w:rPr>
          <w:rFonts w:ascii="Arial" w:cs="Arial" w:eastAsia="Arial" w:hAnsi="Arial"/>
          <w:b/>
          <w:bCs/>
          <w:color w:val="1A1A1A"/>
          <w:sz w:val="19"/>
          <w:szCs w:val="19"/>
        </w:rPr>
        <w:t xml:space="preserve">Project entry for benchmark resume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D8ED" w:sz="4"/>
              <w:left w:val="single" w:color="C5D8ED" w:sz="4"/>
              <w:bottom w:val="single" w:color="C5D8ED" w:sz="4"/>
              <w:right w:val="single" w:color="C5D8ED" w:sz="4"/>
            </w:tcBorders>
            <w:shd w:fill="EBF3FB" w:val="clear"/>
            <w:tcMar>
              <w:top w:type="dxa" w:w="120"/>
              <w:left w:type="dxa" w:w="200"/>
              <w:bottom w:type="dxa" w:w="120"/>
              <w:right w:type="dxa" w:w="200"/>
            </w:tcMar>
          </w:tcPr>
          <w:p>
            <w:pPr>
              <w:spacing w:after="20" w:before="0"/>
            </w:pPr>
            <w:r>
              <w:rPr>
                <w:rFonts w:ascii="Arial" w:cs="Arial" w:eastAsia="Arial" w:hAnsi="Arial"/>
                <w:b/>
                <w:bCs/>
                <w:color w:val="1A1A1A"/>
                <w:sz w:val="18"/>
                <w:szCs w:val="18"/>
              </w:rPr>
              <w:t xml:space="preserve">CTV Ad Intelligence Platform  |  Personal Project</w:t>
            </w:r>
          </w:p>
          <w:p>
            <w:pPr>
              <w:spacing w:after="20" w:before="0"/>
            </w:pPr>
            <w:r>
              <w:rPr>
                <w:rFonts w:ascii="Arial" w:cs="Arial" w:eastAsia="Arial" w:hAnsi="Arial"/>
                <w:color w:val="555555"/>
                <w:sz w:val="16"/>
                <w:szCs w:val="16"/>
              </w:rPr>
              <w:t xml:space="preserve">Stack: Python, Streamlit, DuckDB, scikit-learn, dbt, Snowflake, Plotly, pytest</w:t>
            </w:r>
          </w:p>
          <w:p>
            <w:pPr>
              <w:spacing w:after="20" w:before="0"/>
            </w:pPr>
            <w:r>
              <w:rPr>
                <w:rFonts w:ascii="Arial" w:cs="Arial" w:eastAsia="Arial" w:hAnsi="Arial"/>
                <w:color w:val="1A1A1A"/>
                <w:sz w:val="17"/>
                <w:szCs w:val="17"/>
              </w:rPr>
              <w:t xml:space="preserve">End-to-end CTV advertising analytics platform processing 1M+ impression-level ad events. Features: IAB-standard viewability measurement engine, K-Means audience segmentation, Isolation Forest anomaly detection for delivery quality monitoring, five-model attribution comparison (last-touch through Shapley), A/B test framework with CUPED variance reduction, and frequency/reach curve analysis. dbt data models on Snowflake with governed metric definitions. Demonstrates: programmatic advertising analytics, CTV measurement, experimental design, and full-stack BI development.</w:t>
            </w:r>
          </w:p>
        </w:tc>
      </w:tr>
    </w:tbl>
    <w:p>
      <w:pPr>
        <w:spacing w:after="120" w:before="0"/>
      </w:pPr>
    </w:p>
    <w:p>
      <w:pPr>
        <w:spacing w:after="60" w:before="160"/>
      </w:pPr>
      <w:r>
        <w:rPr>
          <w:rFonts w:ascii="Arial" w:cs="Arial" w:eastAsia="Arial" w:hAnsi="Arial"/>
          <w:b/>
          <w:bCs/>
          <w:color w:val="1A1A1A"/>
          <w:sz w:val="19"/>
          <w:szCs w:val="19"/>
        </w:rPr>
        <w:t xml:space="preserve">New skills to add to benchmark</w:t>
      </w:r>
    </w:p>
    <w:p>
      <w:pPr>
        <w:pStyle w:val="ListParagraph"/>
        <w:numPr>
          <w:ilvl w:val="0"/>
          <w:numId w:val="2"/>
        </w:numPr>
        <w:spacing w:after="36" w:before="36"/>
      </w:pPr>
      <w:r>
        <w:rPr>
          <w:rFonts w:ascii="Arial" w:cs="Arial" w:eastAsia="Arial" w:hAnsi="Arial"/>
          <w:color w:val="1A1A1A"/>
          <w:sz w:val="18"/>
          <w:szCs w:val="18"/>
        </w:rPr>
        <w:t xml:space="preserve">Ad Tech / CTV: Impression-level data processing, IAB viewability (MRC standard), CPM/eCPM analysis, frequency capping analytics, reach curve modeling, programmatic auction analysis, multi-touch attribution (MTA), incrementality measurement</w:t>
      </w:r>
    </w:p>
    <w:p>
      <w:pPr>
        <w:pStyle w:val="ListParagraph"/>
        <w:numPr>
          <w:ilvl w:val="0"/>
          <w:numId w:val="2"/>
        </w:numPr>
        <w:spacing w:after="36" w:before="36"/>
      </w:pPr>
      <w:r>
        <w:rPr>
          <w:rFonts w:ascii="Arial" w:cs="Arial" w:eastAsia="Arial" w:hAnsi="Arial"/>
          <w:color w:val="1A1A1A"/>
          <w:sz w:val="18"/>
          <w:szCs w:val="18"/>
        </w:rPr>
        <w:t xml:space="preserve">Data Warehouse: DuckDB (analytical queries on 100M+ rows), Snowflake (free trial + dbt integration)</w:t>
      </w:r>
    </w:p>
    <w:p>
      <w:pPr>
        <w:pStyle w:val="ListParagraph"/>
        <w:numPr>
          <w:ilvl w:val="0"/>
          <w:numId w:val="2"/>
        </w:numPr>
        <w:spacing w:after="36" w:before="36"/>
      </w:pPr>
      <w:r>
        <w:rPr>
          <w:rFonts w:ascii="Arial" w:cs="Arial" w:eastAsia="Arial" w:hAnsi="Arial"/>
          <w:color w:val="1A1A1A"/>
          <w:sz w:val="18"/>
          <w:szCs w:val="18"/>
        </w:rPr>
        <w:t xml:space="preserve">New tools: dbt (staging/intermediate/mart models, governed metrics, schema tests)</w:t>
      </w:r>
    </w:p>
    <w:p>
      <w:pPr>
        <w:spacing w:after="120" w:before="0"/>
      </w:pPr>
    </w:p>
    <w:p>
      <w:pPr>
        <w:spacing w:after="100" w:before="0"/>
      </w:pPr>
      <w:r>
        <w:rPr>
          <w:rFonts w:ascii="Arial" w:cs="Arial" w:eastAsia="Arial" w:hAnsi="Arial"/>
          <w:b w:val="false"/>
          <w:bCs w:val="false"/>
          <w:color w:val="1A1A1A"/>
          <w:sz w:val="18"/>
          <w:szCs w:val="18"/>
        </w:rPr>
        <w:t xml:space="preserve">After adding this project you will be able to truthfully say in interviews: "I have hands-on experience with impression-level CTV data, IAB viewability measurement, attribution modeling, and programmatic advertising analytics." That sentence changes your competitive position in every ad tech application.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2026-03-17T04:56:57.772Z</dcterms:created>
  <dcterms:modified xsi:type="dcterms:W3CDTF">2026-03-17T04:56:57.774Z</dcterms:modified>
</cp:coreProperties>
</file>

<file path=docProps/custom.xml><?xml version="1.0" encoding="utf-8"?>
<Properties xmlns="http://schemas.openxmlformats.org/officeDocument/2006/custom-properties" xmlns:vt="http://schemas.openxmlformats.org/officeDocument/2006/docPropsVTypes"/>
</file>