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BD849B" w14:textId="77777777" w:rsidR="0081265B" w:rsidRDefault="0081265B" w:rsidP="00C43697">
      <w:pPr>
        <w:spacing w:after="0" w:line="480" w:lineRule="auto"/>
        <w:jc w:val="center"/>
        <w:rPr>
          <w:rFonts w:ascii="Times New Roman" w:hAnsi="Times New Roman" w:cs="Times New Roman"/>
          <w:b/>
          <w:bCs/>
          <w:sz w:val="24"/>
          <w:szCs w:val="24"/>
        </w:rPr>
      </w:pPr>
    </w:p>
    <w:p w14:paraId="3CA1507D" w14:textId="77777777" w:rsidR="0081265B" w:rsidRDefault="0081265B" w:rsidP="00C43697">
      <w:pPr>
        <w:spacing w:after="0" w:line="480" w:lineRule="auto"/>
        <w:jc w:val="center"/>
        <w:rPr>
          <w:rFonts w:ascii="Times New Roman" w:hAnsi="Times New Roman" w:cs="Times New Roman"/>
          <w:b/>
          <w:bCs/>
          <w:sz w:val="24"/>
          <w:szCs w:val="24"/>
        </w:rPr>
      </w:pPr>
    </w:p>
    <w:p w14:paraId="0994E3F6" w14:textId="77777777" w:rsidR="0081265B" w:rsidRDefault="0081265B" w:rsidP="00C43697">
      <w:pPr>
        <w:spacing w:after="0" w:line="480" w:lineRule="auto"/>
        <w:jc w:val="center"/>
        <w:rPr>
          <w:rFonts w:ascii="Times New Roman" w:hAnsi="Times New Roman" w:cs="Times New Roman"/>
          <w:b/>
          <w:bCs/>
          <w:sz w:val="24"/>
          <w:szCs w:val="24"/>
        </w:rPr>
      </w:pPr>
    </w:p>
    <w:p w14:paraId="2FFA09F1" w14:textId="77777777" w:rsidR="0081265B" w:rsidRDefault="0081265B" w:rsidP="00C43697">
      <w:pPr>
        <w:spacing w:after="0" w:line="480" w:lineRule="auto"/>
        <w:jc w:val="center"/>
        <w:rPr>
          <w:rFonts w:ascii="Times New Roman" w:hAnsi="Times New Roman" w:cs="Times New Roman"/>
          <w:b/>
          <w:bCs/>
          <w:sz w:val="24"/>
          <w:szCs w:val="24"/>
        </w:rPr>
      </w:pPr>
    </w:p>
    <w:p w14:paraId="265C3785" w14:textId="77777777" w:rsidR="0081265B" w:rsidRDefault="0081265B" w:rsidP="00C43697">
      <w:pPr>
        <w:spacing w:after="0" w:line="480" w:lineRule="auto"/>
        <w:jc w:val="center"/>
        <w:rPr>
          <w:rFonts w:ascii="Times New Roman" w:hAnsi="Times New Roman" w:cs="Times New Roman"/>
          <w:b/>
          <w:bCs/>
          <w:sz w:val="24"/>
          <w:szCs w:val="24"/>
        </w:rPr>
      </w:pPr>
    </w:p>
    <w:p w14:paraId="3ACAC268" w14:textId="06F76107" w:rsidR="0081265B" w:rsidRPr="0081265B" w:rsidRDefault="0081265B" w:rsidP="00C43697">
      <w:pPr>
        <w:spacing w:after="0" w:line="480" w:lineRule="auto"/>
        <w:jc w:val="center"/>
        <w:rPr>
          <w:rFonts w:ascii="Times New Roman" w:hAnsi="Times New Roman" w:cs="Times New Roman"/>
          <w:b/>
          <w:sz w:val="24"/>
        </w:rPr>
      </w:pPr>
      <w:r w:rsidRPr="0081265B">
        <w:rPr>
          <w:rFonts w:ascii="Times New Roman" w:hAnsi="Times New Roman" w:cs="Times New Roman"/>
          <w:b/>
          <w:sz w:val="24"/>
        </w:rPr>
        <w:t>Milestone 1</w:t>
      </w:r>
    </w:p>
    <w:p w14:paraId="0F90E880" w14:textId="77777777" w:rsidR="0081265B" w:rsidRDefault="0081265B" w:rsidP="00C43697">
      <w:pPr>
        <w:spacing w:after="0" w:line="480" w:lineRule="auto"/>
        <w:jc w:val="center"/>
        <w:rPr>
          <w:rFonts w:ascii="Times New Roman" w:hAnsi="Times New Roman" w:cs="Times New Roman"/>
          <w:b/>
          <w:bCs/>
          <w:sz w:val="24"/>
          <w:szCs w:val="24"/>
        </w:rPr>
      </w:pPr>
    </w:p>
    <w:p w14:paraId="1399ABB2" w14:textId="77777777" w:rsidR="0081265B" w:rsidRDefault="0081265B" w:rsidP="00C43697">
      <w:pPr>
        <w:spacing w:after="0" w:line="480" w:lineRule="auto"/>
        <w:jc w:val="center"/>
        <w:rPr>
          <w:rFonts w:ascii="Times New Roman" w:hAnsi="Times New Roman" w:cs="Times New Roman"/>
          <w:b/>
          <w:bCs/>
          <w:sz w:val="24"/>
          <w:szCs w:val="24"/>
        </w:rPr>
      </w:pPr>
    </w:p>
    <w:p w14:paraId="095C8ECE" w14:textId="77777777" w:rsidR="0081265B" w:rsidRDefault="0081265B" w:rsidP="00C43697">
      <w:pPr>
        <w:spacing w:after="0" w:line="480" w:lineRule="auto"/>
        <w:jc w:val="center"/>
        <w:rPr>
          <w:rFonts w:ascii="Times New Roman" w:hAnsi="Times New Roman" w:cs="Times New Roman"/>
          <w:b/>
          <w:bCs/>
          <w:sz w:val="24"/>
          <w:szCs w:val="24"/>
        </w:rPr>
      </w:pPr>
    </w:p>
    <w:p w14:paraId="3EDF1EB9" w14:textId="77777777" w:rsidR="0081265B" w:rsidRDefault="0081265B" w:rsidP="00C43697">
      <w:pPr>
        <w:spacing w:after="0" w:line="480" w:lineRule="auto"/>
        <w:jc w:val="center"/>
        <w:rPr>
          <w:rFonts w:ascii="Times New Roman" w:hAnsi="Times New Roman" w:cs="Times New Roman"/>
          <w:b/>
          <w:bCs/>
          <w:sz w:val="24"/>
          <w:szCs w:val="24"/>
        </w:rPr>
      </w:pPr>
    </w:p>
    <w:p w14:paraId="10AA674B" w14:textId="77777777" w:rsidR="0081265B" w:rsidRDefault="0081265B" w:rsidP="00C43697">
      <w:pPr>
        <w:spacing w:after="0" w:line="480" w:lineRule="auto"/>
        <w:jc w:val="center"/>
        <w:rPr>
          <w:rFonts w:ascii="Times New Roman" w:hAnsi="Times New Roman" w:cs="Times New Roman"/>
          <w:b/>
          <w:bCs/>
          <w:sz w:val="24"/>
          <w:szCs w:val="24"/>
        </w:rPr>
      </w:pPr>
    </w:p>
    <w:p w14:paraId="5EBA73C7" w14:textId="77777777" w:rsidR="0081265B" w:rsidRPr="0081265B" w:rsidRDefault="0081265B" w:rsidP="00C43697">
      <w:pPr>
        <w:spacing w:after="0" w:line="480" w:lineRule="auto"/>
        <w:jc w:val="center"/>
        <w:rPr>
          <w:rFonts w:ascii="Times New Roman" w:hAnsi="Times New Roman" w:cs="Times New Roman"/>
          <w:bCs/>
          <w:sz w:val="24"/>
          <w:szCs w:val="24"/>
        </w:rPr>
      </w:pPr>
      <w:r w:rsidRPr="0081265B">
        <w:rPr>
          <w:rFonts w:ascii="Times New Roman" w:hAnsi="Times New Roman" w:cs="Times New Roman"/>
          <w:bCs/>
          <w:sz w:val="24"/>
          <w:szCs w:val="24"/>
        </w:rPr>
        <w:t>Latoya Renee Harris</w:t>
      </w:r>
    </w:p>
    <w:p w14:paraId="26486FCA" w14:textId="6320CE42" w:rsidR="0081265B" w:rsidRPr="0081265B" w:rsidRDefault="0081265B" w:rsidP="00C43697">
      <w:pPr>
        <w:spacing w:after="0" w:line="480" w:lineRule="auto"/>
        <w:jc w:val="center"/>
        <w:rPr>
          <w:rFonts w:ascii="Times New Roman" w:hAnsi="Times New Roman" w:cs="Times New Roman"/>
          <w:bCs/>
          <w:sz w:val="24"/>
          <w:szCs w:val="24"/>
        </w:rPr>
      </w:pPr>
      <w:r w:rsidRPr="0081265B">
        <w:rPr>
          <w:rFonts w:ascii="Times New Roman" w:hAnsi="Times New Roman" w:cs="Times New Roman"/>
          <w:bCs/>
          <w:sz w:val="24"/>
          <w:szCs w:val="24"/>
        </w:rPr>
        <w:t>Institutional Affiliation</w:t>
      </w:r>
    </w:p>
    <w:p w14:paraId="369C8F60" w14:textId="5B0EEF65" w:rsidR="0081265B" w:rsidRPr="0081265B" w:rsidRDefault="0081265B" w:rsidP="00C43697">
      <w:pPr>
        <w:spacing w:after="0" w:line="480" w:lineRule="auto"/>
        <w:jc w:val="center"/>
        <w:rPr>
          <w:rFonts w:ascii="Times New Roman" w:hAnsi="Times New Roman" w:cs="Times New Roman"/>
          <w:bCs/>
          <w:sz w:val="24"/>
          <w:szCs w:val="24"/>
        </w:rPr>
      </w:pPr>
      <w:r w:rsidRPr="0081265B">
        <w:rPr>
          <w:rFonts w:ascii="Times New Roman" w:hAnsi="Times New Roman" w:cs="Times New Roman"/>
          <w:bCs/>
          <w:sz w:val="24"/>
          <w:szCs w:val="24"/>
        </w:rPr>
        <w:t>BUS 321</w:t>
      </w:r>
      <w:r w:rsidRPr="0081265B">
        <w:rPr>
          <w:rFonts w:ascii="Times New Roman" w:hAnsi="Times New Roman" w:cs="Times New Roman"/>
          <w:bCs/>
          <w:sz w:val="24"/>
          <w:szCs w:val="24"/>
        </w:rPr>
        <w:t>:CBE6-Financial Management</w:t>
      </w:r>
    </w:p>
    <w:p w14:paraId="2F35314A" w14:textId="77777777" w:rsidR="0081265B" w:rsidRPr="0081265B" w:rsidRDefault="0081265B" w:rsidP="00C43697">
      <w:pPr>
        <w:spacing w:after="0" w:line="480" w:lineRule="auto"/>
        <w:jc w:val="center"/>
        <w:rPr>
          <w:rFonts w:ascii="Times New Roman" w:hAnsi="Times New Roman" w:cs="Times New Roman"/>
          <w:bCs/>
          <w:sz w:val="24"/>
          <w:szCs w:val="24"/>
        </w:rPr>
      </w:pPr>
      <w:r w:rsidRPr="0081265B">
        <w:rPr>
          <w:rFonts w:ascii="Times New Roman" w:hAnsi="Times New Roman" w:cs="Times New Roman"/>
          <w:bCs/>
          <w:sz w:val="24"/>
          <w:szCs w:val="24"/>
        </w:rPr>
        <w:t>Professor’s Name</w:t>
      </w:r>
    </w:p>
    <w:p w14:paraId="45342C60" w14:textId="3E5CA696" w:rsidR="0081265B" w:rsidRPr="0081265B" w:rsidRDefault="0081265B" w:rsidP="00C43697">
      <w:pPr>
        <w:spacing w:after="0" w:line="480" w:lineRule="auto"/>
        <w:jc w:val="center"/>
        <w:rPr>
          <w:rFonts w:ascii="Times New Roman" w:hAnsi="Times New Roman" w:cs="Times New Roman"/>
          <w:bCs/>
          <w:sz w:val="24"/>
          <w:szCs w:val="24"/>
        </w:rPr>
      </w:pPr>
      <w:r w:rsidRPr="0081265B">
        <w:rPr>
          <w:rFonts w:ascii="Times New Roman" w:hAnsi="Times New Roman" w:cs="Times New Roman"/>
          <w:bCs/>
          <w:sz w:val="24"/>
          <w:szCs w:val="24"/>
        </w:rPr>
        <w:t>August 21</w:t>
      </w:r>
      <w:r w:rsidRPr="0081265B">
        <w:rPr>
          <w:rFonts w:ascii="Times New Roman" w:hAnsi="Times New Roman" w:cs="Times New Roman"/>
          <w:bCs/>
          <w:sz w:val="24"/>
          <w:szCs w:val="24"/>
        </w:rPr>
        <w:t>, 2025</w:t>
      </w:r>
    </w:p>
    <w:p w14:paraId="7D97295A" w14:textId="77777777" w:rsidR="0081265B" w:rsidRDefault="0081265B" w:rsidP="00C43697">
      <w:pPr>
        <w:spacing w:after="0" w:line="480" w:lineRule="auto"/>
        <w:jc w:val="center"/>
        <w:rPr>
          <w:rFonts w:ascii="Times New Roman" w:hAnsi="Times New Roman" w:cs="Times New Roman"/>
          <w:b/>
          <w:bCs/>
          <w:sz w:val="24"/>
          <w:szCs w:val="24"/>
        </w:rPr>
      </w:pPr>
    </w:p>
    <w:p w14:paraId="2B1A50AA" w14:textId="77777777" w:rsidR="0081265B" w:rsidRDefault="0081265B" w:rsidP="00C43697">
      <w:pPr>
        <w:spacing w:after="0" w:line="480" w:lineRule="auto"/>
        <w:jc w:val="center"/>
        <w:rPr>
          <w:rFonts w:ascii="Times New Roman" w:hAnsi="Times New Roman" w:cs="Times New Roman"/>
          <w:b/>
          <w:bCs/>
          <w:sz w:val="24"/>
          <w:szCs w:val="24"/>
        </w:rPr>
      </w:pPr>
    </w:p>
    <w:p w14:paraId="2B95640C" w14:textId="77777777" w:rsidR="0081265B" w:rsidRDefault="0081265B" w:rsidP="00C43697">
      <w:pPr>
        <w:spacing w:after="0" w:line="480" w:lineRule="auto"/>
        <w:jc w:val="center"/>
        <w:rPr>
          <w:rFonts w:ascii="Times New Roman" w:hAnsi="Times New Roman" w:cs="Times New Roman"/>
          <w:b/>
          <w:bCs/>
          <w:sz w:val="24"/>
          <w:szCs w:val="24"/>
        </w:rPr>
      </w:pPr>
    </w:p>
    <w:p w14:paraId="1D2BF57B" w14:textId="77777777" w:rsidR="0081265B" w:rsidRDefault="0081265B" w:rsidP="00C43697">
      <w:pPr>
        <w:spacing w:after="0" w:line="480" w:lineRule="auto"/>
        <w:jc w:val="center"/>
        <w:rPr>
          <w:rFonts w:ascii="Times New Roman" w:hAnsi="Times New Roman" w:cs="Times New Roman"/>
          <w:b/>
          <w:bCs/>
          <w:sz w:val="24"/>
          <w:szCs w:val="24"/>
        </w:rPr>
      </w:pPr>
    </w:p>
    <w:p w14:paraId="3A753059" w14:textId="77777777" w:rsidR="0081265B" w:rsidRDefault="0081265B" w:rsidP="00C43697">
      <w:pPr>
        <w:spacing w:after="0" w:line="480" w:lineRule="auto"/>
        <w:jc w:val="center"/>
        <w:rPr>
          <w:rFonts w:ascii="Times New Roman" w:hAnsi="Times New Roman" w:cs="Times New Roman"/>
          <w:b/>
          <w:bCs/>
          <w:sz w:val="24"/>
          <w:szCs w:val="24"/>
        </w:rPr>
      </w:pPr>
    </w:p>
    <w:p w14:paraId="744951AE" w14:textId="77777777" w:rsidR="0081265B" w:rsidRDefault="0081265B" w:rsidP="00C43697">
      <w:pPr>
        <w:spacing w:after="0" w:line="480" w:lineRule="auto"/>
        <w:rPr>
          <w:rFonts w:ascii="Times New Roman" w:hAnsi="Times New Roman" w:cs="Times New Roman"/>
          <w:b/>
          <w:bCs/>
          <w:sz w:val="24"/>
          <w:szCs w:val="24"/>
        </w:rPr>
      </w:pPr>
    </w:p>
    <w:p w14:paraId="3E563A92" w14:textId="77777777" w:rsidR="00C43697" w:rsidRDefault="00C43697" w:rsidP="00C43697">
      <w:pPr>
        <w:spacing w:after="0" w:line="480" w:lineRule="auto"/>
        <w:rPr>
          <w:rFonts w:ascii="Times New Roman" w:hAnsi="Times New Roman" w:cs="Times New Roman"/>
          <w:b/>
          <w:bCs/>
          <w:sz w:val="24"/>
          <w:szCs w:val="24"/>
        </w:rPr>
      </w:pPr>
    </w:p>
    <w:p w14:paraId="5584FF7E" w14:textId="77777777" w:rsidR="0081265B" w:rsidRPr="0081265B" w:rsidRDefault="0081265B" w:rsidP="00C43697">
      <w:pPr>
        <w:spacing w:after="0" w:line="480" w:lineRule="auto"/>
        <w:jc w:val="center"/>
        <w:rPr>
          <w:rFonts w:ascii="Times New Roman" w:hAnsi="Times New Roman" w:cs="Times New Roman"/>
          <w:b/>
          <w:sz w:val="24"/>
        </w:rPr>
      </w:pPr>
      <w:r w:rsidRPr="0081265B">
        <w:rPr>
          <w:rFonts w:ascii="Times New Roman" w:hAnsi="Times New Roman" w:cs="Times New Roman"/>
          <w:b/>
          <w:sz w:val="24"/>
        </w:rPr>
        <w:lastRenderedPageBreak/>
        <w:t>Milestone 1</w:t>
      </w:r>
    </w:p>
    <w:p w14:paraId="1343EFB8" w14:textId="77777777" w:rsidR="00D96196" w:rsidRPr="0081265B" w:rsidRDefault="006C2156" w:rsidP="00C43697">
      <w:pPr>
        <w:spacing w:after="0" w:line="480" w:lineRule="auto"/>
        <w:jc w:val="center"/>
        <w:rPr>
          <w:rFonts w:ascii="Times New Roman" w:eastAsia="Times New Roman" w:hAnsi="Times New Roman" w:cs="Times New Roman"/>
          <w:kern w:val="0"/>
          <w:sz w:val="24"/>
          <w:szCs w:val="24"/>
          <w14:ligatures w14:val="none"/>
        </w:rPr>
      </w:pPr>
      <w:r w:rsidRPr="0081265B">
        <w:rPr>
          <w:rFonts w:ascii="Times New Roman" w:hAnsi="Times New Roman" w:cs="Times New Roman"/>
          <w:b/>
          <w:bCs/>
          <w:sz w:val="24"/>
          <w:szCs w:val="24"/>
        </w:rPr>
        <w:t>Financial Statement Analysis (PART I):</w:t>
      </w:r>
    </w:p>
    <w:p w14:paraId="1A5CC7D7" w14:textId="029B3F49" w:rsidR="00D96196" w:rsidRPr="00A85209" w:rsidRDefault="002B70A7" w:rsidP="00C43697">
      <w:pPr>
        <w:spacing w:after="0" w:line="480" w:lineRule="auto"/>
        <w:ind w:firstLine="720"/>
        <w:rPr>
          <w:rFonts w:ascii="Times New Roman" w:eastAsia="Times New Roman" w:hAnsi="Times New Roman" w:cs="Times New Roman"/>
          <w:kern w:val="0"/>
          <w:sz w:val="24"/>
          <w:szCs w:val="24"/>
          <w14:ligatures w14:val="none"/>
        </w:rPr>
      </w:pPr>
      <w:r w:rsidRPr="002B70A7">
        <w:rPr>
          <w:rFonts w:ascii="Times New Roman" w:hAnsi="Times New Roman" w:cs="Times New Roman"/>
          <w:sz w:val="24"/>
          <w:szCs w:val="24"/>
        </w:rPr>
        <w:t>ABC Corp’s financial statements show how the company did in Year 1. The balance sheet and the cash flow statement work alongside the income statement, giving a clearer sense of the compa</w:t>
      </w:r>
      <w:r w:rsidRPr="002B70A7">
        <w:rPr>
          <w:rFonts w:ascii="Times New Roman" w:hAnsi="Times New Roman" w:cs="Times New Roman"/>
          <w:sz w:val="24"/>
          <w:szCs w:val="24"/>
        </w:rPr>
        <w:t>ny’s overall financial position</w:t>
      </w:r>
      <w:r w:rsidR="00A85209" w:rsidRPr="002B70A7">
        <w:rPr>
          <w:rFonts w:ascii="Times New Roman" w:hAnsi="Times New Roman" w:cs="Times New Roman"/>
          <w:sz w:val="24"/>
          <w:szCs w:val="24"/>
        </w:rPr>
        <w:t>. Out</w:t>
      </w:r>
      <w:r w:rsidR="00A85209" w:rsidRPr="00A85209">
        <w:rPr>
          <w:rFonts w:ascii="Times New Roman" w:hAnsi="Times New Roman" w:cs="Times New Roman"/>
          <w:sz w:val="24"/>
          <w:szCs w:val="24"/>
        </w:rPr>
        <w:t xml:space="preserve"> of these reports, the income statement most directly shows profitability. It tracks how much money the company earned, what it spent to make those sales, and what remained afterward. In this case, ABC Corp earned $500,000 in revenue, while $300,000 went toward the cost of goods sold. That left $200,000 in gross profit. Once $100,000 in operating expenses were subtracted, the company was left with $50,000 in net income. As Cote (2020) explains, net income reveals whether a company can actually generate profit once all expenses are paid. This figure matters because it supports dividends, reinvestment, and growth. Managers use the income statement to see if their spending choices are leading to the r</w:t>
      </w:r>
      <w:r w:rsidR="00A85209" w:rsidRPr="00A85209">
        <w:rPr>
          <w:rFonts w:ascii="Times New Roman" w:hAnsi="Times New Roman" w:cs="Times New Roman"/>
          <w:sz w:val="24"/>
          <w:szCs w:val="24"/>
        </w:rPr>
        <w:t>esults they expect (Cote, 2020)</w:t>
      </w:r>
      <w:r w:rsidR="00D96196" w:rsidRPr="00A85209">
        <w:rPr>
          <w:rFonts w:ascii="Times New Roman" w:hAnsi="Times New Roman" w:cs="Times New Roman"/>
          <w:sz w:val="24"/>
          <w:szCs w:val="24"/>
        </w:rPr>
        <w:t>.</w:t>
      </w:r>
    </w:p>
    <w:p w14:paraId="0AC9955A" w14:textId="58E3035B" w:rsidR="00D96196" w:rsidRPr="0081265B" w:rsidRDefault="00A85209" w:rsidP="00C43697">
      <w:pPr>
        <w:pStyle w:val="NormalWeb"/>
        <w:spacing w:before="0" w:beforeAutospacing="0" w:after="0" w:afterAutospacing="0" w:line="480" w:lineRule="auto"/>
        <w:ind w:firstLine="720"/>
      </w:pPr>
      <w:r>
        <w:t>The balance sheet captures a company’s financial standing at a single point in time. For ABC Corp, the report shows $700,000 in assets and $300,000 in liabilities. The remaining $400,000 belongs to shareholders’ equity, which highlights the difference between what the company owns and what it owes. Assets range from cash on hand to property and equipment, while liabilities cover items such as outstanding loans or unpaid expenses (William &amp; Mary, 2022). Shareholders’ equity, then, is what is left once d</w:t>
      </w:r>
      <w:r>
        <w:t>ebts are subtracted from assets</w:t>
      </w:r>
      <w:r w:rsidR="000B7038">
        <w:t>,</w:t>
      </w:r>
      <w:r>
        <w:t xml:space="preserve"> </w:t>
      </w:r>
      <w:r>
        <w:t>a reflection of the company’s net worth. As William and Mary (2022) note, the balance sheet is valuable because it gives stakeholders a clearer sense of how well the business can handle its debts and whether it has room to</w:t>
      </w:r>
      <w:r>
        <w:t xml:space="preserve"> invest in future opportunities</w:t>
      </w:r>
      <w:r w:rsidR="00D96196" w:rsidRPr="0081265B">
        <w:t>.</w:t>
      </w:r>
    </w:p>
    <w:p w14:paraId="520ADD2D" w14:textId="28C61CFC" w:rsidR="00D96196" w:rsidRPr="0081265B" w:rsidRDefault="00D96196" w:rsidP="00C43697">
      <w:pPr>
        <w:pStyle w:val="NormalWeb"/>
        <w:spacing w:before="0" w:beforeAutospacing="0" w:after="0" w:afterAutospacing="0" w:line="480" w:lineRule="auto"/>
        <w:ind w:firstLine="720"/>
      </w:pPr>
      <w:r w:rsidRPr="0081265B">
        <w:lastRenderedPageBreak/>
        <w:t xml:space="preserve">The cash flow statement </w:t>
      </w:r>
      <w:r w:rsidRPr="0081265B">
        <w:t>brings another dimension</w:t>
      </w:r>
      <w:r w:rsidRPr="0081265B">
        <w:t>. The cash flow sta</w:t>
      </w:r>
      <w:r w:rsidRPr="0081265B">
        <w:t>tement</w:t>
      </w:r>
      <w:r w:rsidRPr="0081265B">
        <w:t xml:space="preserve"> show </w:t>
      </w:r>
      <w:r w:rsidRPr="0081265B">
        <w:t xml:space="preserve">both </w:t>
      </w:r>
      <w:r w:rsidRPr="0081265B">
        <w:t>profit</w:t>
      </w:r>
      <w:r w:rsidRPr="0081265B">
        <w:t xml:space="preserve"> and</w:t>
      </w:r>
      <w:r w:rsidRPr="0081265B">
        <w:t xml:space="preserve"> liquidity. ABC Corp generated $60,000 from operating activities, spent $20,000 on investing, and raised $10,000 through financing. </w:t>
      </w:r>
      <w:r w:rsidR="00690F9F">
        <w:t>Operating cash flow matters most because it reveals if the company’s main business is actually bringing in eno</w:t>
      </w:r>
      <w:r w:rsidR="00690F9F">
        <w:t>ugh cash to keep things running</w:t>
      </w:r>
      <w:r w:rsidRPr="0081265B">
        <w:t xml:space="preserve">. </w:t>
      </w:r>
      <w:r w:rsidRPr="0081265B">
        <w:t>N</w:t>
      </w:r>
      <w:r w:rsidRPr="0081265B">
        <w:t>et income alone does</w:t>
      </w:r>
      <w:r w:rsidRPr="0081265B">
        <w:t xml:space="preserve"> not pay the bills; </w:t>
      </w:r>
      <w:r w:rsidRPr="0081265B">
        <w:t xml:space="preserve">cash flow is what keeps the lights on. </w:t>
      </w:r>
      <w:r w:rsidR="00690F9F">
        <w:t>A business might show a profit in its records, but if there is</w:t>
      </w:r>
      <w:r w:rsidR="00690F9F">
        <w:t xml:space="preserve"> no</w:t>
      </w:r>
      <w:r w:rsidR="00690F9F">
        <w:t>t enough cash on hand to pay the bills, it can still find itself in trouble.</w:t>
      </w:r>
      <w:r w:rsidRPr="0081265B">
        <w:t>.</w:t>
      </w:r>
    </w:p>
    <w:p w14:paraId="0194EBD8" w14:textId="21967362" w:rsidR="00D96196" w:rsidRPr="0081265B" w:rsidRDefault="00A85209" w:rsidP="00C43697">
      <w:pPr>
        <w:pStyle w:val="NormalWeb"/>
        <w:spacing w:before="0" w:beforeAutospacing="0" w:after="0" w:afterAutospacing="0" w:line="480" w:lineRule="auto"/>
        <w:ind w:firstLine="720"/>
      </w:pPr>
      <w:r>
        <w:t>For instance</w:t>
      </w:r>
      <w:r w:rsidR="000B7038">
        <w:t>,</w:t>
      </w:r>
      <w:r>
        <w:t xml:space="preserve"> if</w:t>
      </w:r>
      <w:r>
        <w:t xml:space="preserve"> ABC Corp boosts its revenue by 10%, </w:t>
      </w:r>
      <w:r>
        <w:t>and push</w:t>
      </w:r>
      <w:r w:rsidR="000B7038">
        <w:t>es</w:t>
      </w:r>
      <w:r>
        <w:t xml:space="preserve"> it up to $550,000, o</w:t>
      </w:r>
      <w:r>
        <w:t>perating expenses also climb slightly, rising 5% to $105,000</w:t>
      </w:r>
      <w:r>
        <w:t>.</w:t>
      </w:r>
      <w:r>
        <w:t xml:space="preserve"> </w:t>
      </w:r>
      <w:r>
        <w:t>T</w:t>
      </w:r>
      <w:r>
        <w:t>he cost of goods sold stays fixed at $300,000. With those numbers, gross profit grows to $250,000. After taking out the higher operating costs, the company finishes with a net income of $145,000. Compare</w:t>
      </w:r>
      <w:r>
        <w:t>d to the original results, that i</w:t>
      </w:r>
      <w:r>
        <w:t>s an increase of $95,000.</w:t>
      </w:r>
      <w:r>
        <w:t xml:space="preserve"> </w:t>
      </w:r>
      <w:r w:rsidR="00D96196" w:rsidRPr="0081265B">
        <w:t>Th</w:t>
      </w:r>
      <w:r>
        <w:t xml:space="preserve">e </w:t>
      </w:r>
      <w:r w:rsidR="00D96196" w:rsidRPr="0081265B">
        <w:t>scenario illustrates the power of reve</w:t>
      </w:r>
      <w:r w:rsidR="00D96196" w:rsidRPr="0081265B">
        <w:t xml:space="preserve">nue growth </w:t>
      </w:r>
      <w:r w:rsidR="00D96196" w:rsidRPr="0081265B">
        <w:t>when fixed costs remain stable, even modest increases in sales can significantly boost profitability. However, it also highlights the sensitivity of net income to operating expenses. A 5% increase in expenses only slightly dampens the impact of a 10% revenue boost, but if expenses had risen more sharply, the gains could have been erased.</w:t>
      </w:r>
    </w:p>
    <w:p w14:paraId="0786D829" w14:textId="77777777" w:rsidR="00D96196" w:rsidRPr="0081265B" w:rsidRDefault="00D96196" w:rsidP="00C43697">
      <w:pPr>
        <w:pStyle w:val="NormalWeb"/>
        <w:spacing w:before="0" w:beforeAutospacing="0" w:after="0" w:afterAutospacing="0" w:line="480" w:lineRule="auto"/>
        <w:ind w:firstLine="720"/>
      </w:pPr>
      <w:r w:rsidRPr="0081265B">
        <w:t>This change would also ripple through the other statements. The balance sheet might show an increase in cash or receivables, depending on how the revenue was collected. Shareholders’ equity would likely grow, reflecting the higher retained earnings. The cash flow statement would show stronger operating cash flow, assuming the additional revenue was collected in cash a</w:t>
      </w:r>
      <w:r w:rsidRPr="0081265B">
        <w:t>nd not tied up in receivables. O</w:t>
      </w:r>
      <w:r w:rsidRPr="0081265B">
        <w:t xml:space="preserve">perating cash flow is derived by adjusting net income for changes in working capital and non-cash expenses </w:t>
      </w:r>
      <w:r w:rsidRPr="0081265B">
        <w:t>(Lebsack, 2025)</w:t>
      </w:r>
      <w:r w:rsidRPr="0081265B">
        <w:t xml:space="preserve">. </w:t>
      </w:r>
      <w:r w:rsidRPr="0081265B">
        <w:t>Therefore</w:t>
      </w:r>
      <w:r w:rsidRPr="0081265B">
        <w:t>, even with higher net income, if receivables ballooned, cash flow might not improve as expected.</w:t>
      </w:r>
    </w:p>
    <w:p w14:paraId="023FCBEE" w14:textId="46DE0EDB" w:rsidR="00D96196" w:rsidRPr="0081265B" w:rsidRDefault="00D96196" w:rsidP="00C43697">
      <w:pPr>
        <w:pStyle w:val="NormalWeb"/>
        <w:spacing w:before="0" w:beforeAutospacing="0" w:after="0" w:afterAutospacing="0" w:line="480" w:lineRule="auto"/>
        <w:ind w:firstLine="720"/>
      </w:pPr>
      <w:r w:rsidRPr="0081265B">
        <w:lastRenderedPageBreak/>
        <w:t>T</w:t>
      </w:r>
      <w:r w:rsidRPr="0081265B">
        <w:t xml:space="preserve">hese statements offer </w:t>
      </w:r>
      <w:r w:rsidRPr="0081265B">
        <w:t>an additional perspective</w:t>
      </w:r>
      <w:r w:rsidRPr="0081265B">
        <w:t xml:space="preserve"> o</w:t>
      </w:r>
      <w:r w:rsidR="000B7038">
        <w:t>n</w:t>
      </w:r>
      <w:r w:rsidRPr="0081265B">
        <w:t xml:space="preserve"> ABC Corp. The income statement shows the company is profitable. The balance sheet reveals a solid financial foundation, with equity exceeding liabilities. The cash flow statement confirms that operations are generating cash, which is being used to invest and finance growth. The hypothetical scenario</w:t>
      </w:r>
      <w:r w:rsidRPr="0081265B">
        <w:t xml:space="preserve"> demonstrates</w:t>
      </w:r>
      <w:r w:rsidRPr="0081265B">
        <w:t xml:space="preserve"> the importance of managing both revenue and expenses. Growth is valuable, but only if it translates into real, usable cash and strengthens the company’s financial position.</w:t>
      </w:r>
    </w:p>
    <w:p w14:paraId="7794F958" w14:textId="6D207892" w:rsidR="00D96196" w:rsidRPr="0081265B" w:rsidRDefault="00D96196" w:rsidP="00C43697">
      <w:pPr>
        <w:pStyle w:val="NormalWeb"/>
        <w:spacing w:before="0" w:beforeAutospacing="0" w:after="0" w:afterAutospacing="0" w:line="480" w:lineRule="auto"/>
        <w:ind w:firstLine="720"/>
      </w:pPr>
      <w:r w:rsidRPr="0081265B">
        <w:t xml:space="preserve">In practice, financial statement analysis is about interpreting them in context. It requires understanding how decisions in one area affect the whole. For instance, increasing revenue might require more marketing spend, which could raise operating expenses. Investing in new equipment might improve efficiency but reduce cash in the short term. Financing through debt can provide capital </w:t>
      </w:r>
      <w:bookmarkStart w:id="0" w:name="_GoBack"/>
      <w:bookmarkEnd w:id="0"/>
      <w:r w:rsidRPr="0081265B">
        <w:t>but increase liabilities. Each move has trade-offs, and the financial statements help managers weigh those options.</w:t>
      </w:r>
    </w:p>
    <w:p w14:paraId="218952EE" w14:textId="65005CBD" w:rsidR="003F545A" w:rsidRPr="0081265B" w:rsidRDefault="003F545A" w:rsidP="00C43697">
      <w:pPr>
        <w:spacing w:after="0" w:line="480" w:lineRule="auto"/>
        <w:jc w:val="both"/>
        <w:rPr>
          <w:rFonts w:ascii="Times New Roman" w:hAnsi="Times New Roman" w:cs="Times New Roman"/>
          <w:b/>
          <w:bCs/>
          <w:sz w:val="24"/>
          <w:szCs w:val="24"/>
        </w:rPr>
      </w:pPr>
      <w:r w:rsidRPr="0081265B">
        <w:rPr>
          <w:rFonts w:ascii="Times New Roman" w:hAnsi="Times New Roman" w:cs="Times New Roman"/>
          <w:b/>
          <w:bCs/>
          <w:sz w:val="24"/>
          <w:szCs w:val="24"/>
        </w:rPr>
        <w:t>Ratio Analysis Exercise (PART II):</w:t>
      </w:r>
    </w:p>
    <w:p w14:paraId="716A7270" w14:textId="5476E3EA" w:rsidR="0081265B" w:rsidRPr="0081265B" w:rsidRDefault="00690F9F" w:rsidP="00C43697">
      <w:pPr>
        <w:spacing w:after="0" w:line="480" w:lineRule="auto"/>
        <w:ind w:firstLine="720"/>
        <w:rPr>
          <w:rFonts w:ascii="Times New Roman" w:hAnsi="Times New Roman" w:cs="Times New Roman"/>
          <w:sz w:val="24"/>
          <w:szCs w:val="24"/>
        </w:rPr>
      </w:pPr>
      <w:r w:rsidRPr="00690F9F">
        <w:rPr>
          <w:rFonts w:ascii="Times New Roman" w:hAnsi="Times New Roman" w:cs="Times New Roman"/>
          <w:sz w:val="24"/>
          <w:szCs w:val="24"/>
        </w:rPr>
        <w:t>The figures for Company XYZ paint a</w:t>
      </w:r>
      <w:r>
        <w:rPr>
          <w:rFonts w:ascii="Times New Roman" w:hAnsi="Times New Roman" w:cs="Times New Roman"/>
          <w:sz w:val="24"/>
          <w:szCs w:val="24"/>
        </w:rPr>
        <w:t>n interesting</w:t>
      </w:r>
      <w:r w:rsidRPr="00690F9F">
        <w:rPr>
          <w:rFonts w:ascii="Times New Roman" w:hAnsi="Times New Roman" w:cs="Times New Roman"/>
          <w:sz w:val="24"/>
          <w:szCs w:val="24"/>
        </w:rPr>
        <w:t xml:space="preserve"> picture of its position. Its current ratio sits at 1.5, showing how its short-term assets </w:t>
      </w:r>
      <w:r>
        <w:rPr>
          <w:rFonts w:ascii="Times New Roman" w:hAnsi="Times New Roman" w:cs="Times New Roman"/>
          <w:sz w:val="24"/>
          <w:szCs w:val="24"/>
        </w:rPr>
        <w:t>measure</w:t>
      </w:r>
      <w:r w:rsidRPr="00690F9F">
        <w:rPr>
          <w:rFonts w:ascii="Times New Roman" w:hAnsi="Times New Roman" w:cs="Times New Roman"/>
          <w:sz w:val="24"/>
          <w:szCs w:val="24"/>
        </w:rPr>
        <w:t xml:space="preserve"> against its short-term debts</w:t>
      </w:r>
      <w:r w:rsidR="0081265B" w:rsidRPr="00690F9F">
        <w:rPr>
          <w:rFonts w:ascii="Times New Roman" w:hAnsi="Times New Roman" w:cs="Times New Roman"/>
          <w:sz w:val="24"/>
          <w:szCs w:val="24"/>
        </w:rPr>
        <w:t xml:space="preserve">. That means the company has $1.50 available for every dollar </w:t>
      </w:r>
      <w:r w:rsidR="0081265B" w:rsidRPr="00690F9F">
        <w:rPr>
          <w:rFonts w:ascii="Times New Roman" w:hAnsi="Times New Roman" w:cs="Times New Roman"/>
          <w:sz w:val="24"/>
          <w:szCs w:val="24"/>
        </w:rPr>
        <w:t>it owes in the near term. It is not a red flag, but it is</w:t>
      </w:r>
      <w:r w:rsidR="0081265B" w:rsidRPr="00690F9F">
        <w:rPr>
          <w:rFonts w:ascii="Times New Roman" w:hAnsi="Times New Roman" w:cs="Times New Roman"/>
          <w:sz w:val="24"/>
          <w:szCs w:val="24"/>
        </w:rPr>
        <w:t xml:space="preserve"> not overly reassuring either. </w:t>
      </w:r>
      <w:r w:rsidR="0081265B" w:rsidRPr="00690F9F">
        <w:rPr>
          <w:rFonts w:ascii="Times New Roman" w:eastAsia="Times New Roman" w:hAnsi="Times New Roman" w:cs="Times New Roman"/>
          <w:kern w:val="0"/>
          <w:sz w:val="24"/>
          <w:szCs w:val="24"/>
          <w14:ligatures w14:val="none"/>
        </w:rPr>
        <w:t>Stobierski (2020)</w:t>
      </w:r>
      <w:r w:rsidR="0081265B" w:rsidRPr="00690F9F">
        <w:rPr>
          <w:rFonts w:ascii="Times New Roman" w:hAnsi="Times New Roman" w:cs="Times New Roman"/>
          <w:sz w:val="24"/>
          <w:szCs w:val="24"/>
        </w:rPr>
        <w:t xml:space="preserve"> points out</w:t>
      </w:r>
      <w:r w:rsidR="0081265B" w:rsidRPr="0081265B">
        <w:rPr>
          <w:rFonts w:ascii="Times New Roman" w:hAnsi="Times New Roman" w:cs="Times New Roman"/>
          <w:sz w:val="24"/>
          <w:szCs w:val="24"/>
        </w:rPr>
        <w:t xml:space="preserve"> that while a ratio above 1 is technically safe, anything below 2 might leave a business exposed if cash flow tightens unexpectedly (Harvard Business School Online). In other words, XYZ can cover its bills, but it’s not sitting on a pile of spare cash.</w:t>
      </w:r>
    </w:p>
    <w:p w14:paraId="52EFF79E" w14:textId="77777777" w:rsidR="0081265B" w:rsidRPr="0081265B" w:rsidRDefault="0081265B" w:rsidP="00C43697">
      <w:pPr>
        <w:spacing w:after="0" w:line="480" w:lineRule="auto"/>
        <w:ind w:firstLine="720"/>
        <w:rPr>
          <w:rFonts w:ascii="Times New Roman" w:hAnsi="Times New Roman" w:cs="Times New Roman"/>
          <w:sz w:val="24"/>
          <w:szCs w:val="24"/>
        </w:rPr>
      </w:pPr>
      <w:r w:rsidRPr="0081265B">
        <w:rPr>
          <w:rFonts w:ascii="Times New Roman" w:hAnsi="Times New Roman" w:cs="Times New Roman"/>
          <w:sz w:val="24"/>
          <w:szCs w:val="24"/>
        </w:rPr>
        <w:t>T</w:t>
      </w:r>
      <w:r w:rsidRPr="0081265B">
        <w:rPr>
          <w:rFonts w:ascii="Times New Roman" w:hAnsi="Times New Roman" w:cs="Times New Roman"/>
          <w:sz w:val="24"/>
          <w:szCs w:val="24"/>
        </w:rPr>
        <w:t>he debt-to-equity ratio</w:t>
      </w:r>
      <w:r w:rsidRPr="0081265B">
        <w:rPr>
          <w:rFonts w:ascii="Times New Roman" w:hAnsi="Times New Roman" w:cs="Times New Roman"/>
          <w:sz w:val="24"/>
          <w:szCs w:val="24"/>
        </w:rPr>
        <w:t xml:space="preserve"> is at</w:t>
      </w:r>
      <w:r w:rsidRPr="0081265B">
        <w:rPr>
          <w:rFonts w:ascii="Times New Roman" w:hAnsi="Times New Roman" w:cs="Times New Roman"/>
          <w:sz w:val="24"/>
          <w:szCs w:val="24"/>
        </w:rPr>
        <w:t xml:space="preserve"> 0.67, which means the company uses 67 cents of borrowed money fo</w:t>
      </w:r>
      <w:r w:rsidRPr="0081265B">
        <w:rPr>
          <w:rFonts w:ascii="Times New Roman" w:hAnsi="Times New Roman" w:cs="Times New Roman"/>
          <w:sz w:val="24"/>
          <w:szCs w:val="24"/>
        </w:rPr>
        <w:t>r every dollar of its own. That i</w:t>
      </w:r>
      <w:r w:rsidRPr="0081265B">
        <w:rPr>
          <w:rFonts w:ascii="Times New Roman" w:hAnsi="Times New Roman" w:cs="Times New Roman"/>
          <w:sz w:val="24"/>
          <w:szCs w:val="24"/>
        </w:rPr>
        <w:t>s a cautious approach. It suggests XYZ is</w:t>
      </w:r>
      <w:r w:rsidRPr="0081265B">
        <w:rPr>
          <w:rFonts w:ascii="Times New Roman" w:hAnsi="Times New Roman" w:cs="Times New Roman"/>
          <w:sz w:val="24"/>
          <w:szCs w:val="24"/>
        </w:rPr>
        <w:t xml:space="preserve"> not overextended, and it i</w:t>
      </w:r>
      <w:r w:rsidRPr="0081265B">
        <w:rPr>
          <w:rFonts w:ascii="Times New Roman" w:hAnsi="Times New Roman" w:cs="Times New Roman"/>
          <w:sz w:val="24"/>
          <w:szCs w:val="24"/>
        </w:rPr>
        <w:t xml:space="preserve">s not leaning too heavily on lenders. </w:t>
      </w:r>
      <w:r w:rsidRPr="0081265B">
        <w:rPr>
          <w:rFonts w:ascii="Times New Roman" w:hAnsi="Times New Roman" w:cs="Times New Roman"/>
          <w:sz w:val="24"/>
          <w:szCs w:val="24"/>
        </w:rPr>
        <w:t xml:space="preserve">Even though </w:t>
      </w:r>
      <w:r w:rsidRPr="0081265B">
        <w:rPr>
          <w:rFonts w:ascii="Times New Roman" w:hAnsi="Times New Roman" w:cs="Times New Roman"/>
          <w:sz w:val="24"/>
          <w:szCs w:val="24"/>
        </w:rPr>
        <w:t xml:space="preserve">low debt reduces risk, it </w:t>
      </w:r>
      <w:r w:rsidRPr="0081265B">
        <w:rPr>
          <w:rFonts w:ascii="Times New Roman" w:hAnsi="Times New Roman" w:cs="Times New Roman"/>
          <w:sz w:val="24"/>
          <w:szCs w:val="24"/>
        </w:rPr>
        <w:lastRenderedPageBreak/>
        <w:t xml:space="preserve">can also slow growth if the company avoids borrowing even when it could use the funds to expand smartly. </w:t>
      </w:r>
      <w:r w:rsidRPr="0081265B">
        <w:rPr>
          <w:rFonts w:ascii="Times New Roman" w:hAnsi="Times New Roman" w:cs="Times New Roman"/>
          <w:sz w:val="24"/>
          <w:szCs w:val="24"/>
        </w:rPr>
        <w:t xml:space="preserve">Therefore, XYZ is playing it safe </w:t>
      </w:r>
      <w:r w:rsidRPr="0081265B">
        <w:rPr>
          <w:rFonts w:ascii="Times New Roman" w:hAnsi="Times New Roman" w:cs="Times New Roman"/>
          <w:sz w:val="24"/>
          <w:szCs w:val="24"/>
        </w:rPr>
        <w:t>but maybe a little too safe.</w:t>
      </w:r>
    </w:p>
    <w:p w14:paraId="1712439E" w14:textId="1F7A7FF0" w:rsidR="0081265B" w:rsidRPr="0081265B" w:rsidRDefault="0081265B" w:rsidP="00C43697">
      <w:pPr>
        <w:spacing w:after="0" w:line="480" w:lineRule="auto"/>
        <w:ind w:firstLine="720"/>
        <w:rPr>
          <w:rFonts w:ascii="Times New Roman" w:eastAsia="Times New Roman" w:hAnsi="Times New Roman" w:cs="Times New Roman"/>
          <w:kern w:val="0"/>
          <w:sz w:val="24"/>
          <w:szCs w:val="24"/>
          <w14:ligatures w14:val="none"/>
        </w:rPr>
      </w:pPr>
      <w:r w:rsidRPr="0081265B">
        <w:rPr>
          <w:rFonts w:ascii="Times New Roman" w:hAnsi="Times New Roman" w:cs="Times New Roman"/>
          <w:sz w:val="24"/>
          <w:szCs w:val="24"/>
        </w:rPr>
        <w:t xml:space="preserve">The return on assets (ROA) is 12%. </w:t>
      </w:r>
      <w:r w:rsidRPr="0081265B">
        <w:rPr>
          <w:rFonts w:ascii="Times New Roman" w:hAnsi="Times New Roman" w:cs="Times New Roman"/>
          <w:sz w:val="24"/>
          <w:szCs w:val="24"/>
        </w:rPr>
        <w:t>That works quite well and i</w:t>
      </w:r>
      <w:r w:rsidRPr="0081265B">
        <w:rPr>
          <w:rFonts w:ascii="Times New Roman" w:hAnsi="Times New Roman" w:cs="Times New Roman"/>
          <w:sz w:val="24"/>
          <w:szCs w:val="24"/>
        </w:rPr>
        <w:t>t means the company earns 12 cents for every dollar it has tied up in assets. This number shows how well XYZ is using what it owns to make money. ROA is a good way to measure efficiency, especially when comparing companies t</w:t>
      </w:r>
      <w:r w:rsidRPr="0081265B">
        <w:rPr>
          <w:rFonts w:ascii="Times New Roman" w:hAnsi="Times New Roman" w:cs="Times New Roman"/>
          <w:sz w:val="24"/>
          <w:szCs w:val="24"/>
        </w:rPr>
        <w:t xml:space="preserve">hat fund themselves differently. </w:t>
      </w:r>
      <w:r w:rsidRPr="0081265B">
        <w:rPr>
          <w:rFonts w:ascii="Times New Roman" w:hAnsi="Times New Roman" w:cs="Times New Roman"/>
          <w:sz w:val="24"/>
          <w:szCs w:val="24"/>
        </w:rPr>
        <w:t>In XYZ’s case, it looks like the company knows how to put its resources to work.</w:t>
      </w:r>
      <w:r w:rsidRPr="0081265B">
        <w:rPr>
          <w:rFonts w:ascii="Times New Roman" w:hAnsi="Times New Roman" w:cs="Times New Roman"/>
          <w:sz w:val="24"/>
          <w:szCs w:val="24"/>
        </w:rPr>
        <w:t xml:space="preserve"> Then there i</w:t>
      </w:r>
      <w:r w:rsidRPr="0081265B">
        <w:rPr>
          <w:rFonts w:ascii="Times New Roman" w:hAnsi="Times New Roman" w:cs="Times New Roman"/>
          <w:sz w:val="24"/>
          <w:szCs w:val="24"/>
        </w:rPr>
        <w:t>s return on e</w:t>
      </w:r>
      <w:r w:rsidRPr="0081265B">
        <w:rPr>
          <w:rFonts w:ascii="Times New Roman" w:hAnsi="Times New Roman" w:cs="Times New Roman"/>
          <w:sz w:val="24"/>
          <w:szCs w:val="24"/>
        </w:rPr>
        <w:t>quity (ROE), which is 20%. That i</w:t>
      </w:r>
      <w:r w:rsidRPr="0081265B">
        <w:rPr>
          <w:rFonts w:ascii="Times New Roman" w:hAnsi="Times New Roman" w:cs="Times New Roman"/>
          <w:sz w:val="24"/>
          <w:szCs w:val="24"/>
        </w:rPr>
        <w:t>s impressive. It tells us that sharehold</w:t>
      </w:r>
      <w:r w:rsidRPr="0081265B">
        <w:rPr>
          <w:rFonts w:ascii="Times New Roman" w:hAnsi="Times New Roman" w:cs="Times New Roman"/>
          <w:sz w:val="24"/>
          <w:szCs w:val="24"/>
        </w:rPr>
        <w:t>ers are getting a decent return; 20 cents for every dollar they hav</w:t>
      </w:r>
      <w:r w:rsidRPr="0081265B">
        <w:rPr>
          <w:rFonts w:ascii="Times New Roman" w:hAnsi="Times New Roman" w:cs="Times New Roman"/>
          <w:sz w:val="24"/>
          <w:szCs w:val="24"/>
        </w:rPr>
        <w:t>e invested. ROE is one of the clearest signs of how well a company is turning investment into profit (VCU Press). For XYZ, this number suggests strong leadership and smart use of capital.</w:t>
      </w:r>
    </w:p>
    <w:p w14:paraId="50B07E91" w14:textId="77777777" w:rsidR="0081265B" w:rsidRDefault="0081265B" w:rsidP="00C43697">
      <w:pPr>
        <w:spacing w:after="0" w:line="480" w:lineRule="auto"/>
        <w:jc w:val="center"/>
        <w:rPr>
          <w:rFonts w:ascii="Times New Roman" w:hAnsi="Times New Roman" w:cs="Times New Roman"/>
          <w:b/>
          <w:sz w:val="24"/>
          <w:szCs w:val="24"/>
        </w:rPr>
      </w:pPr>
    </w:p>
    <w:p w14:paraId="1DF46FCC" w14:textId="77777777" w:rsidR="0081265B" w:rsidRDefault="0081265B" w:rsidP="00C43697">
      <w:pPr>
        <w:spacing w:after="0" w:line="480" w:lineRule="auto"/>
        <w:jc w:val="center"/>
        <w:rPr>
          <w:rFonts w:ascii="Times New Roman" w:hAnsi="Times New Roman" w:cs="Times New Roman"/>
          <w:b/>
          <w:sz w:val="24"/>
          <w:szCs w:val="24"/>
        </w:rPr>
      </w:pPr>
    </w:p>
    <w:p w14:paraId="4571A6E5" w14:textId="77777777" w:rsidR="0081265B" w:rsidRDefault="0081265B" w:rsidP="00C43697">
      <w:pPr>
        <w:spacing w:after="0" w:line="480" w:lineRule="auto"/>
        <w:jc w:val="center"/>
        <w:rPr>
          <w:rFonts w:ascii="Times New Roman" w:hAnsi="Times New Roman" w:cs="Times New Roman"/>
          <w:b/>
          <w:sz w:val="24"/>
          <w:szCs w:val="24"/>
        </w:rPr>
      </w:pPr>
    </w:p>
    <w:p w14:paraId="341C8B77" w14:textId="77777777" w:rsidR="0081265B" w:rsidRDefault="0081265B" w:rsidP="00C43697">
      <w:pPr>
        <w:spacing w:after="0" w:line="480" w:lineRule="auto"/>
        <w:jc w:val="center"/>
        <w:rPr>
          <w:rFonts w:ascii="Times New Roman" w:hAnsi="Times New Roman" w:cs="Times New Roman"/>
          <w:b/>
          <w:sz w:val="24"/>
          <w:szCs w:val="24"/>
        </w:rPr>
      </w:pPr>
    </w:p>
    <w:p w14:paraId="461F19C4" w14:textId="77777777" w:rsidR="0081265B" w:rsidRDefault="0081265B" w:rsidP="00C43697">
      <w:pPr>
        <w:spacing w:after="0" w:line="480" w:lineRule="auto"/>
        <w:jc w:val="center"/>
        <w:rPr>
          <w:rFonts w:ascii="Times New Roman" w:hAnsi="Times New Roman" w:cs="Times New Roman"/>
          <w:b/>
          <w:sz w:val="24"/>
          <w:szCs w:val="24"/>
        </w:rPr>
      </w:pPr>
    </w:p>
    <w:p w14:paraId="322C3D42" w14:textId="77777777" w:rsidR="0081265B" w:rsidRDefault="0081265B" w:rsidP="00C43697">
      <w:pPr>
        <w:spacing w:after="0" w:line="480" w:lineRule="auto"/>
        <w:jc w:val="center"/>
        <w:rPr>
          <w:rFonts w:ascii="Times New Roman" w:hAnsi="Times New Roman" w:cs="Times New Roman"/>
          <w:b/>
          <w:sz w:val="24"/>
          <w:szCs w:val="24"/>
        </w:rPr>
      </w:pPr>
    </w:p>
    <w:p w14:paraId="6636EAA3" w14:textId="77777777" w:rsidR="0081265B" w:rsidRDefault="0081265B" w:rsidP="00C43697">
      <w:pPr>
        <w:spacing w:after="0" w:line="480" w:lineRule="auto"/>
        <w:jc w:val="center"/>
        <w:rPr>
          <w:rFonts w:ascii="Times New Roman" w:hAnsi="Times New Roman" w:cs="Times New Roman"/>
          <w:b/>
          <w:sz w:val="24"/>
          <w:szCs w:val="24"/>
        </w:rPr>
      </w:pPr>
    </w:p>
    <w:p w14:paraId="63D44B00" w14:textId="77777777" w:rsidR="0081265B" w:rsidRDefault="0081265B" w:rsidP="00C43697">
      <w:pPr>
        <w:spacing w:after="0" w:line="480" w:lineRule="auto"/>
        <w:jc w:val="center"/>
        <w:rPr>
          <w:rFonts w:ascii="Times New Roman" w:hAnsi="Times New Roman" w:cs="Times New Roman"/>
          <w:b/>
          <w:sz w:val="24"/>
          <w:szCs w:val="24"/>
        </w:rPr>
      </w:pPr>
    </w:p>
    <w:p w14:paraId="624E2C65" w14:textId="77777777" w:rsidR="0081265B" w:rsidRDefault="0081265B" w:rsidP="00C43697">
      <w:pPr>
        <w:spacing w:after="0" w:line="480" w:lineRule="auto"/>
        <w:jc w:val="center"/>
        <w:rPr>
          <w:rFonts w:ascii="Times New Roman" w:hAnsi="Times New Roman" w:cs="Times New Roman"/>
          <w:b/>
          <w:sz w:val="24"/>
          <w:szCs w:val="24"/>
        </w:rPr>
      </w:pPr>
    </w:p>
    <w:p w14:paraId="6C0A0005" w14:textId="77777777" w:rsidR="0081265B" w:rsidRDefault="0081265B" w:rsidP="00C43697">
      <w:pPr>
        <w:spacing w:after="0" w:line="480" w:lineRule="auto"/>
        <w:jc w:val="center"/>
        <w:rPr>
          <w:rFonts w:ascii="Times New Roman" w:hAnsi="Times New Roman" w:cs="Times New Roman"/>
          <w:b/>
          <w:sz w:val="24"/>
          <w:szCs w:val="24"/>
        </w:rPr>
      </w:pPr>
    </w:p>
    <w:p w14:paraId="30ACE421" w14:textId="77777777" w:rsidR="00A85209" w:rsidRDefault="00A85209" w:rsidP="00C43697">
      <w:pPr>
        <w:spacing w:after="0" w:line="480" w:lineRule="auto"/>
        <w:rPr>
          <w:rFonts w:ascii="Times New Roman" w:hAnsi="Times New Roman" w:cs="Times New Roman"/>
          <w:b/>
          <w:sz w:val="24"/>
          <w:szCs w:val="24"/>
        </w:rPr>
      </w:pPr>
    </w:p>
    <w:p w14:paraId="0D11BDD2" w14:textId="77777777" w:rsidR="00C43697" w:rsidRDefault="00C43697" w:rsidP="00C43697">
      <w:pPr>
        <w:spacing w:after="0" w:line="480" w:lineRule="auto"/>
        <w:rPr>
          <w:rFonts w:ascii="Times New Roman" w:hAnsi="Times New Roman" w:cs="Times New Roman"/>
          <w:b/>
          <w:sz w:val="24"/>
          <w:szCs w:val="24"/>
        </w:rPr>
      </w:pPr>
    </w:p>
    <w:p w14:paraId="3EA8F49D" w14:textId="478EE44A" w:rsidR="003F68C0" w:rsidRPr="0081265B" w:rsidRDefault="0081265B" w:rsidP="00C43697">
      <w:pPr>
        <w:spacing w:after="0" w:line="480" w:lineRule="auto"/>
        <w:jc w:val="center"/>
        <w:rPr>
          <w:rFonts w:ascii="Times New Roman" w:hAnsi="Times New Roman" w:cs="Times New Roman"/>
          <w:b/>
          <w:sz w:val="24"/>
          <w:szCs w:val="24"/>
        </w:rPr>
      </w:pPr>
      <w:r w:rsidRPr="0081265B">
        <w:rPr>
          <w:rFonts w:ascii="Times New Roman" w:hAnsi="Times New Roman" w:cs="Times New Roman"/>
          <w:b/>
          <w:sz w:val="24"/>
          <w:szCs w:val="24"/>
        </w:rPr>
        <w:lastRenderedPageBreak/>
        <w:t>References</w:t>
      </w:r>
    </w:p>
    <w:p w14:paraId="0D4B04C9" w14:textId="2BAE16E1" w:rsidR="0081265B" w:rsidRDefault="0081265B" w:rsidP="00C43697">
      <w:pPr>
        <w:pStyle w:val="NormalWeb"/>
        <w:spacing w:before="0" w:beforeAutospacing="0" w:after="0" w:afterAutospacing="0" w:line="480" w:lineRule="auto"/>
        <w:ind w:left="720" w:hanging="720"/>
      </w:pPr>
      <w:r>
        <w:t xml:space="preserve">Cote, C. (2020, June 16). </w:t>
      </w:r>
      <w:r>
        <w:rPr>
          <w:i/>
          <w:iCs/>
        </w:rPr>
        <w:t>How &amp; Why Managers Use Financial Statements</w:t>
      </w:r>
      <w:r>
        <w:t xml:space="preserve">. Harvard Business School Online. </w:t>
      </w:r>
      <w:hyperlink r:id="rId8" w:history="1">
        <w:r w:rsidRPr="003C7167">
          <w:rPr>
            <w:rStyle w:val="Hyperlink"/>
          </w:rPr>
          <w:t>https://online.hbs.edu/blog/post/how-managers-use-financial-statements</w:t>
        </w:r>
      </w:hyperlink>
      <w:r>
        <w:t xml:space="preserve"> </w:t>
      </w:r>
    </w:p>
    <w:p w14:paraId="1203448D" w14:textId="26921C84" w:rsidR="0081265B" w:rsidRDefault="0081265B" w:rsidP="00C43697">
      <w:pPr>
        <w:pStyle w:val="NormalWeb"/>
        <w:spacing w:before="0" w:beforeAutospacing="0" w:after="0" w:afterAutospacing="0" w:line="480" w:lineRule="auto"/>
        <w:ind w:left="720" w:hanging="720"/>
      </w:pPr>
      <w:r>
        <w:t xml:space="preserve">Lebsack, A. (2025, January 29). </w:t>
      </w:r>
      <w:r>
        <w:rPr>
          <w:i/>
          <w:iCs/>
        </w:rPr>
        <w:t>Adjustments to Net Income in Calculating OCF Include</w:t>
      </w:r>
      <w:r>
        <w:t xml:space="preserve">. CGAA. </w:t>
      </w:r>
      <w:hyperlink r:id="rId9" w:history="1">
        <w:r w:rsidRPr="003C7167">
          <w:rPr>
            <w:rStyle w:val="Hyperlink"/>
          </w:rPr>
          <w:t>https://www.cgaa.org/article/adjustments-to-net-income-in-calculating-operating-cash-flows-include</w:t>
        </w:r>
      </w:hyperlink>
      <w:r>
        <w:t xml:space="preserve"> </w:t>
      </w:r>
    </w:p>
    <w:p w14:paraId="22698B2C" w14:textId="38B6386A" w:rsidR="0081265B" w:rsidRDefault="0081265B" w:rsidP="00C43697">
      <w:pPr>
        <w:pStyle w:val="NormalWeb"/>
        <w:spacing w:before="0" w:beforeAutospacing="0" w:after="0" w:afterAutospacing="0" w:line="480" w:lineRule="auto"/>
        <w:ind w:left="720" w:hanging="720"/>
      </w:pPr>
      <w:r>
        <w:t xml:space="preserve">Stobierski, T. (2020, May 5). </w:t>
      </w:r>
      <w:r>
        <w:rPr>
          <w:i/>
          <w:iCs/>
        </w:rPr>
        <w:t>13 Financial Performance Measures Managers Should Monitor</w:t>
      </w:r>
      <w:r>
        <w:t xml:space="preserve">. Harvard Business School Online. </w:t>
      </w:r>
      <w:hyperlink r:id="rId10" w:history="1">
        <w:r w:rsidRPr="003C7167">
          <w:rPr>
            <w:rStyle w:val="Hyperlink"/>
          </w:rPr>
          <w:t>https://online.hbs.edu/blog/post/financial-performance-measures</w:t>
        </w:r>
      </w:hyperlink>
      <w:r>
        <w:t xml:space="preserve"> </w:t>
      </w:r>
    </w:p>
    <w:p w14:paraId="76CD930A" w14:textId="77777777" w:rsidR="0081265B" w:rsidRPr="0081265B" w:rsidRDefault="0081265B" w:rsidP="00C43697">
      <w:pPr>
        <w:spacing w:after="0" w:line="480" w:lineRule="auto"/>
        <w:rPr>
          <w:rFonts w:ascii="Times New Roman" w:hAnsi="Times New Roman" w:cs="Times New Roman"/>
          <w:sz w:val="24"/>
          <w:szCs w:val="24"/>
        </w:rPr>
      </w:pPr>
    </w:p>
    <w:sectPr w:rsidR="0081265B" w:rsidRPr="0081265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8F4F29" w14:textId="77777777" w:rsidR="009E4B00" w:rsidRDefault="009E4B00" w:rsidP="0081265B">
      <w:pPr>
        <w:spacing w:after="0" w:line="240" w:lineRule="auto"/>
      </w:pPr>
      <w:r>
        <w:separator/>
      </w:r>
    </w:p>
  </w:endnote>
  <w:endnote w:type="continuationSeparator" w:id="0">
    <w:p w14:paraId="6D5984F6" w14:textId="77777777" w:rsidR="009E4B00" w:rsidRDefault="009E4B00" w:rsidP="00812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CA520C" w14:textId="77777777" w:rsidR="009E4B00" w:rsidRDefault="009E4B00" w:rsidP="0081265B">
      <w:pPr>
        <w:spacing w:after="0" w:line="240" w:lineRule="auto"/>
      </w:pPr>
      <w:r>
        <w:separator/>
      </w:r>
    </w:p>
  </w:footnote>
  <w:footnote w:type="continuationSeparator" w:id="0">
    <w:p w14:paraId="13E7B543" w14:textId="77777777" w:rsidR="009E4B00" w:rsidRDefault="009E4B00" w:rsidP="008126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6568058"/>
      <w:docPartObj>
        <w:docPartGallery w:val="Page Numbers (Top of Page)"/>
        <w:docPartUnique/>
      </w:docPartObj>
    </w:sdtPr>
    <w:sdtEndPr>
      <w:rPr>
        <w:rFonts w:ascii="Times New Roman" w:hAnsi="Times New Roman" w:cs="Times New Roman"/>
        <w:noProof/>
        <w:sz w:val="24"/>
      </w:rPr>
    </w:sdtEndPr>
    <w:sdtContent>
      <w:p w14:paraId="6FE24E53" w14:textId="559FA0DD" w:rsidR="0081265B" w:rsidRPr="0081265B" w:rsidRDefault="0081265B">
        <w:pPr>
          <w:pStyle w:val="Header"/>
          <w:jc w:val="right"/>
          <w:rPr>
            <w:rFonts w:ascii="Times New Roman" w:hAnsi="Times New Roman" w:cs="Times New Roman"/>
            <w:sz w:val="24"/>
          </w:rPr>
        </w:pPr>
        <w:r w:rsidRPr="0081265B">
          <w:rPr>
            <w:rFonts w:ascii="Times New Roman" w:hAnsi="Times New Roman" w:cs="Times New Roman"/>
            <w:sz w:val="24"/>
          </w:rPr>
          <w:fldChar w:fldCharType="begin"/>
        </w:r>
        <w:r w:rsidRPr="0081265B">
          <w:rPr>
            <w:rFonts w:ascii="Times New Roman" w:hAnsi="Times New Roman" w:cs="Times New Roman"/>
            <w:sz w:val="24"/>
          </w:rPr>
          <w:instrText xml:space="preserve"> PAGE   \* MERGEFORMAT </w:instrText>
        </w:r>
        <w:r w:rsidRPr="0081265B">
          <w:rPr>
            <w:rFonts w:ascii="Times New Roman" w:hAnsi="Times New Roman" w:cs="Times New Roman"/>
            <w:sz w:val="24"/>
          </w:rPr>
          <w:fldChar w:fldCharType="separate"/>
        </w:r>
        <w:r w:rsidR="00BB2C70">
          <w:rPr>
            <w:rFonts w:ascii="Times New Roman" w:hAnsi="Times New Roman" w:cs="Times New Roman"/>
            <w:noProof/>
            <w:sz w:val="24"/>
          </w:rPr>
          <w:t>1</w:t>
        </w:r>
        <w:r w:rsidRPr="0081265B">
          <w:rPr>
            <w:rFonts w:ascii="Times New Roman" w:hAnsi="Times New Roman" w:cs="Times New Roman"/>
            <w:noProof/>
            <w:sz w:val="24"/>
          </w:rPr>
          <w:fldChar w:fldCharType="end"/>
        </w:r>
      </w:p>
    </w:sdtContent>
  </w:sdt>
  <w:p w14:paraId="34E1C421" w14:textId="77777777" w:rsidR="0081265B" w:rsidRDefault="008126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5B6E45"/>
    <w:multiLevelType w:val="multilevel"/>
    <w:tmpl w:val="FA94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6B2A7F"/>
    <w:multiLevelType w:val="multilevel"/>
    <w:tmpl w:val="E8BAA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MDC0NLe0NDY0tjA1sTBU0lEKTi0uzszPAykwrAUA/HOCiSwAAAA="/>
  </w:docVars>
  <w:rsids>
    <w:rsidRoot w:val="00BC55E0"/>
    <w:rsid w:val="00006B5A"/>
    <w:rsid w:val="00053ED0"/>
    <w:rsid w:val="000B7038"/>
    <w:rsid w:val="00141444"/>
    <w:rsid w:val="00277C24"/>
    <w:rsid w:val="002B70A7"/>
    <w:rsid w:val="003F545A"/>
    <w:rsid w:val="003F68C0"/>
    <w:rsid w:val="00574491"/>
    <w:rsid w:val="00597E36"/>
    <w:rsid w:val="005C2E48"/>
    <w:rsid w:val="00690F9F"/>
    <w:rsid w:val="006C2156"/>
    <w:rsid w:val="0081265B"/>
    <w:rsid w:val="009312C9"/>
    <w:rsid w:val="009E4B00"/>
    <w:rsid w:val="00A85209"/>
    <w:rsid w:val="00B02926"/>
    <w:rsid w:val="00B85433"/>
    <w:rsid w:val="00BB2C70"/>
    <w:rsid w:val="00BC55E0"/>
    <w:rsid w:val="00C43697"/>
    <w:rsid w:val="00D64233"/>
    <w:rsid w:val="00D96196"/>
    <w:rsid w:val="00EC3472"/>
    <w:rsid w:val="00F63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8D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45A"/>
  </w:style>
  <w:style w:type="paragraph" w:styleId="Heading1">
    <w:name w:val="heading 1"/>
    <w:basedOn w:val="Normal"/>
    <w:next w:val="Normal"/>
    <w:link w:val="Heading1Char"/>
    <w:uiPriority w:val="9"/>
    <w:qFormat/>
    <w:rsid w:val="00BC5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5E0"/>
    <w:rPr>
      <w:rFonts w:eastAsiaTheme="majorEastAsia" w:cstheme="majorBidi"/>
      <w:color w:val="272727" w:themeColor="text1" w:themeTint="D8"/>
    </w:rPr>
  </w:style>
  <w:style w:type="paragraph" w:styleId="Title">
    <w:name w:val="Title"/>
    <w:basedOn w:val="Normal"/>
    <w:next w:val="Normal"/>
    <w:link w:val="TitleChar"/>
    <w:uiPriority w:val="10"/>
    <w:qFormat/>
    <w:rsid w:val="00BC5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5E0"/>
    <w:pPr>
      <w:spacing w:before="160"/>
      <w:jc w:val="center"/>
    </w:pPr>
    <w:rPr>
      <w:i/>
      <w:iCs/>
      <w:color w:val="404040" w:themeColor="text1" w:themeTint="BF"/>
    </w:rPr>
  </w:style>
  <w:style w:type="character" w:customStyle="1" w:styleId="QuoteChar">
    <w:name w:val="Quote Char"/>
    <w:basedOn w:val="DefaultParagraphFont"/>
    <w:link w:val="Quote"/>
    <w:uiPriority w:val="29"/>
    <w:rsid w:val="00BC55E0"/>
    <w:rPr>
      <w:i/>
      <w:iCs/>
      <w:color w:val="404040" w:themeColor="text1" w:themeTint="BF"/>
    </w:rPr>
  </w:style>
  <w:style w:type="paragraph" w:styleId="ListParagraph">
    <w:name w:val="List Paragraph"/>
    <w:basedOn w:val="Normal"/>
    <w:uiPriority w:val="34"/>
    <w:qFormat/>
    <w:rsid w:val="00BC55E0"/>
    <w:pPr>
      <w:ind w:left="720"/>
      <w:contextualSpacing/>
    </w:pPr>
  </w:style>
  <w:style w:type="character" w:styleId="IntenseEmphasis">
    <w:name w:val="Intense Emphasis"/>
    <w:basedOn w:val="DefaultParagraphFont"/>
    <w:uiPriority w:val="21"/>
    <w:qFormat/>
    <w:rsid w:val="00BC55E0"/>
    <w:rPr>
      <w:i/>
      <w:iCs/>
      <w:color w:val="0F4761" w:themeColor="accent1" w:themeShade="BF"/>
    </w:rPr>
  </w:style>
  <w:style w:type="paragraph" w:styleId="IntenseQuote">
    <w:name w:val="Intense Quote"/>
    <w:basedOn w:val="Normal"/>
    <w:next w:val="Normal"/>
    <w:link w:val="IntenseQuoteChar"/>
    <w:uiPriority w:val="30"/>
    <w:qFormat/>
    <w:rsid w:val="00BC5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5E0"/>
    <w:rPr>
      <w:i/>
      <w:iCs/>
      <w:color w:val="0F4761" w:themeColor="accent1" w:themeShade="BF"/>
    </w:rPr>
  </w:style>
  <w:style w:type="character" w:styleId="IntenseReference">
    <w:name w:val="Intense Reference"/>
    <w:basedOn w:val="DefaultParagraphFont"/>
    <w:uiPriority w:val="32"/>
    <w:qFormat/>
    <w:rsid w:val="00BC55E0"/>
    <w:rPr>
      <w:b/>
      <w:bCs/>
      <w:smallCaps/>
      <w:color w:val="0F4761" w:themeColor="accent1" w:themeShade="BF"/>
      <w:spacing w:val="5"/>
    </w:rPr>
  </w:style>
  <w:style w:type="character" w:styleId="Hyperlink">
    <w:name w:val="Hyperlink"/>
    <w:basedOn w:val="DefaultParagraphFont"/>
    <w:uiPriority w:val="99"/>
    <w:unhideWhenUsed/>
    <w:rsid w:val="003F545A"/>
    <w:rPr>
      <w:color w:val="467886" w:themeColor="hyperlink"/>
      <w:u w:val="single"/>
    </w:rPr>
  </w:style>
  <w:style w:type="paragraph" w:styleId="NormalWeb">
    <w:name w:val="Normal (Web)"/>
    <w:basedOn w:val="Normal"/>
    <w:uiPriority w:val="99"/>
    <w:unhideWhenUsed/>
    <w:rsid w:val="00D961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8126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65B"/>
  </w:style>
  <w:style w:type="paragraph" w:styleId="Footer">
    <w:name w:val="footer"/>
    <w:basedOn w:val="Normal"/>
    <w:link w:val="FooterChar"/>
    <w:uiPriority w:val="99"/>
    <w:unhideWhenUsed/>
    <w:rsid w:val="008126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65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45A"/>
  </w:style>
  <w:style w:type="paragraph" w:styleId="Heading1">
    <w:name w:val="heading 1"/>
    <w:basedOn w:val="Normal"/>
    <w:next w:val="Normal"/>
    <w:link w:val="Heading1Char"/>
    <w:uiPriority w:val="9"/>
    <w:qFormat/>
    <w:rsid w:val="00BC5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5E0"/>
    <w:rPr>
      <w:rFonts w:eastAsiaTheme="majorEastAsia" w:cstheme="majorBidi"/>
      <w:color w:val="272727" w:themeColor="text1" w:themeTint="D8"/>
    </w:rPr>
  </w:style>
  <w:style w:type="paragraph" w:styleId="Title">
    <w:name w:val="Title"/>
    <w:basedOn w:val="Normal"/>
    <w:next w:val="Normal"/>
    <w:link w:val="TitleChar"/>
    <w:uiPriority w:val="10"/>
    <w:qFormat/>
    <w:rsid w:val="00BC5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5E0"/>
    <w:pPr>
      <w:spacing w:before="160"/>
      <w:jc w:val="center"/>
    </w:pPr>
    <w:rPr>
      <w:i/>
      <w:iCs/>
      <w:color w:val="404040" w:themeColor="text1" w:themeTint="BF"/>
    </w:rPr>
  </w:style>
  <w:style w:type="character" w:customStyle="1" w:styleId="QuoteChar">
    <w:name w:val="Quote Char"/>
    <w:basedOn w:val="DefaultParagraphFont"/>
    <w:link w:val="Quote"/>
    <w:uiPriority w:val="29"/>
    <w:rsid w:val="00BC55E0"/>
    <w:rPr>
      <w:i/>
      <w:iCs/>
      <w:color w:val="404040" w:themeColor="text1" w:themeTint="BF"/>
    </w:rPr>
  </w:style>
  <w:style w:type="paragraph" w:styleId="ListParagraph">
    <w:name w:val="List Paragraph"/>
    <w:basedOn w:val="Normal"/>
    <w:uiPriority w:val="34"/>
    <w:qFormat/>
    <w:rsid w:val="00BC55E0"/>
    <w:pPr>
      <w:ind w:left="720"/>
      <w:contextualSpacing/>
    </w:pPr>
  </w:style>
  <w:style w:type="character" w:styleId="IntenseEmphasis">
    <w:name w:val="Intense Emphasis"/>
    <w:basedOn w:val="DefaultParagraphFont"/>
    <w:uiPriority w:val="21"/>
    <w:qFormat/>
    <w:rsid w:val="00BC55E0"/>
    <w:rPr>
      <w:i/>
      <w:iCs/>
      <w:color w:val="0F4761" w:themeColor="accent1" w:themeShade="BF"/>
    </w:rPr>
  </w:style>
  <w:style w:type="paragraph" w:styleId="IntenseQuote">
    <w:name w:val="Intense Quote"/>
    <w:basedOn w:val="Normal"/>
    <w:next w:val="Normal"/>
    <w:link w:val="IntenseQuoteChar"/>
    <w:uiPriority w:val="30"/>
    <w:qFormat/>
    <w:rsid w:val="00BC5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5E0"/>
    <w:rPr>
      <w:i/>
      <w:iCs/>
      <w:color w:val="0F4761" w:themeColor="accent1" w:themeShade="BF"/>
    </w:rPr>
  </w:style>
  <w:style w:type="character" w:styleId="IntenseReference">
    <w:name w:val="Intense Reference"/>
    <w:basedOn w:val="DefaultParagraphFont"/>
    <w:uiPriority w:val="32"/>
    <w:qFormat/>
    <w:rsid w:val="00BC55E0"/>
    <w:rPr>
      <w:b/>
      <w:bCs/>
      <w:smallCaps/>
      <w:color w:val="0F4761" w:themeColor="accent1" w:themeShade="BF"/>
      <w:spacing w:val="5"/>
    </w:rPr>
  </w:style>
  <w:style w:type="character" w:styleId="Hyperlink">
    <w:name w:val="Hyperlink"/>
    <w:basedOn w:val="DefaultParagraphFont"/>
    <w:uiPriority w:val="99"/>
    <w:unhideWhenUsed/>
    <w:rsid w:val="003F545A"/>
    <w:rPr>
      <w:color w:val="467886" w:themeColor="hyperlink"/>
      <w:u w:val="single"/>
    </w:rPr>
  </w:style>
  <w:style w:type="paragraph" w:styleId="NormalWeb">
    <w:name w:val="Normal (Web)"/>
    <w:basedOn w:val="Normal"/>
    <w:uiPriority w:val="99"/>
    <w:unhideWhenUsed/>
    <w:rsid w:val="00D961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8126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65B"/>
  </w:style>
  <w:style w:type="paragraph" w:styleId="Footer">
    <w:name w:val="footer"/>
    <w:basedOn w:val="Normal"/>
    <w:link w:val="FooterChar"/>
    <w:uiPriority w:val="99"/>
    <w:unhideWhenUsed/>
    <w:rsid w:val="008126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143528">
      <w:bodyDiv w:val="1"/>
      <w:marLeft w:val="0"/>
      <w:marRight w:val="0"/>
      <w:marTop w:val="0"/>
      <w:marBottom w:val="0"/>
      <w:divBdr>
        <w:top w:val="none" w:sz="0" w:space="0" w:color="auto"/>
        <w:left w:val="none" w:sz="0" w:space="0" w:color="auto"/>
        <w:bottom w:val="none" w:sz="0" w:space="0" w:color="auto"/>
        <w:right w:val="none" w:sz="0" w:space="0" w:color="auto"/>
      </w:divBdr>
      <w:divsChild>
        <w:div w:id="684982927">
          <w:marLeft w:val="-720"/>
          <w:marRight w:val="0"/>
          <w:marTop w:val="0"/>
          <w:marBottom w:val="0"/>
          <w:divBdr>
            <w:top w:val="none" w:sz="0" w:space="0" w:color="auto"/>
            <w:left w:val="none" w:sz="0" w:space="0" w:color="auto"/>
            <w:bottom w:val="none" w:sz="0" w:space="0" w:color="auto"/>
            <w:right w:val="none" w:sz="0" w:space="0" w:color="auto"/>
          </w:divBdr>
        </w:div>
      </w:divsChild>
    </w:div>
    <w:div w:id="1086420334">
      <w:bodyDiv w:val="1"/>
      <w:marLeft w:val="0"/>
      <w:marRight w:val="0"/>
      <w:marTop w:val="0"/>
      <w:marBottom w:val="0"/>
      <w:divBdr>
        <w:top w:val="none" w:sz="0" w:space="0" w:color="auto"/>
        <w:left w:val="none" w:sz="0" w:space="0" w:color="auto"/>
        <w:bottom w:val="none" w:sz="0" w:space="0" w:color="auto"/>
        <w:right w:val="none" w:sz="0" w:space="0" w:color="auto"/>
      </w:divBdr>
    </w:div>
    <w:div w:id="1551838320">
      <w:bodyDiv w:val="1"/>
      <w:marLeft w:val="0"/>
      <w:marRight w:val="0"/>
      <w:marTop w:val="0"/>
      <w:marBottom w:val="0"/>
      <w:divBdr>
        <w:top w:val="none" w:sz="0" w:space="0" w:color="auto"/>
        <w:left w:val="none" w:sz="0" w:space="0" w:color="auto"/>
        <w:bottom w:val="none" w:sz="0" w:space="0" w:color="auto"/>
        <w:right w:val="none" w:sz="0" w:space="0" w:color="auto"/>
      </w:divBdr>
    </w:div>
    <w:div w:id="1572622089">
      <w:bodyDiv w:val="1"/>
      <w:marLeft w:val="0"/>
      <w:marRight w:val="0"/>
      <w:marTop w:val="0"/>
      <w:marBottom w:val="0"/>
      <w:divBdr>
        <w:top w:val="none" w:sz="0" w:space="0" w:color="auto"/>
        <w:left w:val="none" w:sz="0" w:space="0" w:color="auto"/>
        <w:bottom w:val="none" w:sz="0" w:space="0" w:color="auto"/>
        <w:right w:val="none" w:sz="0" w:space="0" w:color="auto"/>
      </w:divBdr>
    </w:div>
    <w:div w:id="1841263775">
      <w:bodyDiv w:val="1"/>
      <w:marLeft w:val="0"/>
      <w:marRight w:val="0"/>
      <w:marTop w:val="0"/>
      <w:marBottom w:val="0"/>
      <w:divBdr>
        <w:top w:val="none" w:sz="0" w:space="0" w:color="auto"/>
        <w:left w:val="none" w:sz="0" w:space="0" w:color="auto"/>
        <w:bottom w:val="none" w:sz="0" w:space="0" w:color="auto"/>
        <w:right w:val="none" w:sz="0" w:space="0" w:color="auto"/>
      </w:divBdr>
    </w:div>
    <w:div w:id="1852406611">
      <w:bodyDiv w:val="1"/>
      <w:marLeft w:val="0"/>
      <w:marRight w:val="0"/>
      <w:marTop w:val="0"/>
      <w:marBottom w:val="0"/>
      <w:divBdr>
        <w:top w:val="none" w:sz="0" w:space="0" w:color="auto"/>
        <w:left w:val="none" w:sz="0" w:space="0" w:color="auto"/>
        <w:bottom w:val="none" w:sz="0" w:space="0" w:color="auto"/>
        <w:right w:val="none" w:sz="0" w:space="0" w:color="auto"/>
      </w:divBdr>
    </w:div>
    <w:div w:id="189878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hbs.edu/blog/post/how-managers-use-financial-statements"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online.hbs.edu/blog/post/financial-performance-measures" TargetMode="External"/><Relationship Id="rId4" Type="http://schemas.openxmlformats.org/officeDocument/2006/relationships/settings" Target="settings.xml"/><Relationship Id="rId9" Type="http://schemas.openxmlformats.org/officeDocument/2006/relationships/hyperlink" Target="https://www.cgaa.org/article/adjustments-to-net-income-in-calculating-operating-cash-flows-inclu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2025-08-20T22:12:00Z</dcterms:created>
  <dcterms:modified xsi:type="dcterms:W3CDTF">2025-08-20T22:12:00Z</dcterms:modified>
</cp:coreProperties>
</file>