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4DB1E" w14:textId="77777777" w:rsidR="00837A9E" w:rsidRPr="000C1A59" w:rsidRDefault="00837A9E" w:rsidP="00837A9E">
      <w:pPr>
        <w:spacing w:after="0" w:line="480" w:lineRule="auto"/>
        <w:rPr>
          <w:rFonts w:ascii="Times New Roman" w:hAnsi="Times New Roman" w:cs="Times New Roman"/>
          <w:sz w:val="24"/>
          <w:szCs w:val="24"/>
        </w:rPr>
      </w:pPr>
      <w:r w:rsidRPr="000C1A59">
        <w:rPr>
          <w:rFonts w:ascii="Times New Roman" w:hAnsi="Times New Roman" w:cs="Times New Roman"/>
          <w:sz w:val="24"/>
          <w:szCs w:val="24"/>
        </w:rPr>
        <w:t>Student</w:t>
      </w:r>
      <w:r w:rsidR="00140806">
        <w:rPr>
          <w:rFonts w:ascii="Times New Roman" w:hAnsi="Times New Roman" w:cs="Times New Roman"/>
          <w:sz w:val="24"/>
          <w:szCs w:val="24"/>
        </w:rPr>
        <w:t>'</w:t>
      </w:r>
      <w:r w:rsidRPr="000C1A59">
        <w:rPr>
          <w:rFonts w:ascii="Times New Roman" w:hAnsi="Times New Roman" w:cs="Times New Roman"/>
          <w:sz w:val="24"/>
          <w:szCs w:val="24"/>
        </w:rPr>
        <w:t>s Name</w:t>
      </w:r>
    </w:p>
    <w:p w14:paraId="6846E2B7" w14:textId="77777777" w:rsidR="00837A9E" w:rsidRPr="000C1A59" w:rsidRDefault="00837A9E" w:rsidP="00837A9E">
      <w:pPr>
        <w:spacing w:after="0" w:line="480" w:lineRule="auto"/>
        <w:rPr>
          <w:rFonts w:ascii="Times New Roman" w:hAnsi="Times New Roman" w:cs="Times New Roman"/>
          <w:sz w:val="24"/>
          <w:szCs w:val="24"/>
        </w:rPr>
      </w:pPr>
      <w:r w:rsidRPr="000C1A59">
        <w:rPr>
          <w:rFonts w:ascii="Times New Roman" w:hAnsi="Times New Roman" w:cs="Times New Roman"/>
          <w:sz w:val="24"/>
          <w:szCs w:val="24"/>
        </w:rPr>
        <w:t>Professor</w:t>
      </w:r>
      <w:r w:rsidR="00140806">
        <w:rPr>
          <w:rFonts w:ascii="Times New Roman" w:hAnsi="Times New Roman" w:cs="Times New Roman"/>
          <w:sz w:val="24"/>
          <w:szCs w:val="24"/>
        </w:rPr>
        <w:t>'</w:t>
      </w:r>
      <w:r w:rsidRPr="000C1A59">
        <w:rPr>
          <w:rFonts w:ascii="Times New Roman" w:hAnsi="Times New Roman" w:cs="Times New Roman"/>
          <w:sz w:val="24"/>
          <w:szCs w:val="24"/>
        </w:rPr>
        <w:t>s Name</w:t>
      </w:r>
    </w:p>
    <w:p w14:paraId="02747800" w14:textId="77777777" w:rsidR="00837A9E" w:rsidRPr="000C1A59" w:rsidRDefault="00837A9E" w:rsidP="00837A9E">
      <w:pPr>
        <w:spacing w:after="0" w:line="480" w:lineRule="auto"/>
        <w:rPr>
          <w:rFonts w:ascii="Times New Roman" w:hAnsi="Times New Roman" w:cs="Times New Roman"/>
          <w:sz w:val="24"/>
          <w:szCs w:val="24"/>
        </w:rPr>
      </w:pPr>
      <w:r w:rsidRPr="000C1A59">
        <w:rPr>
          <w:rFonts w:ascii="Times New Roman" w:hAnsi="Times New Roman" w:cs="Times New Roman"/>
          <w:sz w:val="24"/>
          <w:szCs w:val="24"/>
        </w:rPr>
        <w:t xml:space="preserve">Course Name and Number </w:t>
      </w:r>
    </w:p>
    <w:p w14:paraId="492C5298" w14:textId="77777777" w:rsidR="00837A9E" w:rsidRPr="000C1A59" w:rsidRDefault="00837A9E" w:rsidP="00837A9E">
      <w:pPr>
        <w:spacing w:after="0" w:line="480" w:lineRule="auto"/>
        <w:rPr>
          <w:rFonts w:ascii="Times New Roman" w:hAnsi="Times New Roman" w:cs="Times New Roman"/>
          <w:sz w:val="24"/>
          <w:szCs w:val="24"/>
        </w:rPr>
      </w:pPr>
      <w:r w:rsidRPr="000C1A59">
        <w:rPr>
          <w:rFonts w:ascii="Times New Roman" w:hAnsi="Times New Roman" w:cs="Times New Roman"/>
          <w:sz w:val="24"/>
          <w:szCs w:val="24"/>
        </w:rPr>
        <w:t>Date</w:t>
      </w:r>
    </w:p>
    <w:p w14:paraId="44696CB5" w14:textId="77777777" w:rsidR="00EE4D6D" w:rsidRDefault="00EE4D6D" w:rsidP="00837A9E">
      <w:pPr>
        <w:spacing w:after="0" w:line="480" w:lineRule="auto"/>
        <w:ind w:left="720" w:hanging="720"/>
        <w:rPr>
          <w:rFonts w:ascii="Times New Roman" w:eastAsia="Times New Roman" w:hAnsi="Times New Roman" w:cs="Times New Roman"/>
          <w:sz w:val="24"/>
          <w:szCs w:val="24"/>
        </w:rPr>
      </w:pPr>
    </w:p>
    <w:p w14:paraId="1B7C4448" w14:textId="77777777" w:rsidR="00D370B3" w:rsidRPr="00EE4D6D" w:rsidRDefault="00D370B3" w:rsidP="002C73C9">
      <w:pPr>
        <w:spacing w:after="0" w:line="480" w:lineRule="auto"/>
        <w:ind w:left="720" w:hanging="720"/>
        <w:jc w:val="center"/>
        <w:rPr>
          <w:rFonts w:ascii="Times New Roman" w:eastAsia="Times New Roman" w:hAnsi="Times New Roman" w:cs="Times New Roman"/>
          <w:sz w:val="24"/>
          <w:szCs w:val="24"/>
        </w:rPr>
      </w:pPr>
      <w:r w:rsidRPr="00EE4D6D">
        <w:rPr>
          <w:rFonts w:ascii="Times New Roman" w:eastAsia="Times New Roman" w:hAnsi="Times New Roman" w:cs="Times New Roman"/>
          <w:sz w:val="24"/>
          <w:szCs w:val="24"/>
        </w:rPr>
        <w:t>Annotated Bibliography</w:t>
      </w:r>
    </w:p>
    <w:p w14:paraId="0954408C" w14:textId="77777777" w:rsidR="009D3BA5" w:rsidRPr="009D3BA5" w:rsidRDefault="009D3BA5" w:rsidP="009D3BA5">
      <w:pPr>
        <w:spacing w:after="0" w:line="480" w:lineRule="auto"/>
        <w:ind w:left="720" w:hanging="720"/>
        <w:rPr>
          <w:rFonts w:ascii="Times New Roman" w:eastAsia="Times New Roman" w:hAnsi="Times New Roman" w:cs="Times New Roman"/>
          <w:sz w:val="24"/>
          <w:szCs w:val="24"/>
        </w:rPr>
      </w:pPr>
      <w:r w:rsidRPr="009D3BA5">
        <w:rPr>
          <w:rFonts w:ascii="Times New Roman" w:eastAsia="Times New Roman" w:hAnsi="Times New Roman" w:cs="Times New Roman"/>
          <w:sz w:val="24"/>
          <w:szCs w:val="24"/>
        </w:rPr>
        <w:t xml:space="preserve">Alqahtani, Naji. </w:t>
      </w:r>
      <w:r w:rsidR="00140806">
        <w:rPr>
          <w:rFonts w:ascii="Times New Roman" w:eastAsia="Times New Roman" w:hAnsi="Times New Roman" w:cs="Times New Roman"/>
          <w:sz w:val="24"/>
          <w:szCs w:val="24"/>
        </w:rPr>
        <w:t>"</w:t>
      </w:r>
      <w:r w:rsidRPr="009D3BA5">
        <w:rPr>
          <w:rFonts w:ascii="Times New Roman" w:eastAsia="Times New Roman" w:hAnsi="Times New Roman" w:cs="Times New Roman"/>
          <w:sz w:val="24"/>
          <w:szCs w:val="24"/>
        </w:rPr>
        <w:t xml:space="preserve">English </w:t>
      </w:r>
      <w:r w:rsidR="00EE3E88" w:rsidRPr="009D3BA5">
        <w:rPr>
          <w:rFonts w:ascii="Times New Roman" w:eastAsia="Times New Roman" w:hAnsi="Times New Roman" w:cs="Times New Roman"/>
          <w:sz w:val="24"/>
          <w:szCs w:val="24"/>
        </w:rPr>
        <w:t>language usage and academic achie</w:t>
      </w:r>
      <w:r w:rsidR="00EE3E88">
        <w:rPr>
          <w:rFonts w:ascii="Times New Roman" w:eastAsia="Times New Roman" w:hAnsi="Times New Roman" w:cs="Times New Roman"/>
          <w:sz w:val="24"/>
          <w:szCs w:val="24"/>
        </w:rPr>
        <w:t>vement among nursing students: A</w:t>
      </w:r>
      <w:r w:rsidR="00EE3E88" w:rsidRPr="009D3BA5">
        <w:rPr>
          <w:rFonts w:ascii="Times New Roman" w:eastAsia="Times New Roman" w:hAnsi="Times New Roman" w:cs="Times New Roman"/>
          <w:sz w:val="24"/>
          <w:szCs w:val="24"/>
        </w:rPr>
        <w:t xml:space="preserve"> cross-sectional study</w:t>
      </w:r>
      <w:r w:rsidRPr="009D3BA5">
        <w:rPr>
          <w:rFonts w:ascii="Times New Roman" w:eastAsia="Times New Roman" w:hAnsi="Times New Roman" w:cs="Times New Roman"/>
          <w:sz w:val="24"/>
          <w:szCs w:val="24"/>
        </w:rPr>
        <w:t>.</w:t>
      </w:r>
      <w:r w:rsidR="00140806">
        <w:rPr>
          <w:rFonts w:ascii="Times New Roman" w:eastAsia="Times New Roman" w:hAnsi="Times New Roman" w:cs="Times New Roman"/>
          <w:sz w:val="24"/>
          <w:szCs w:val="24"/>
        </w:rPr>
        <w:t>"</w:t>
      </w:r>
      <w:r w:rsidRPr="009D3BA5">
        <w:rPr>
          <w:rFonts w:ascii="Times New Roman" w:eastAsia="Times New Roman" w:hAnsi="Times New Roman" w:cs="Times New Roman"/>
          <w:sz w:val="24"/>
          <w:szCs w:val="24"/>
        </w:rPr>
        <w:t xml:space="preserve"> </w:t>
      </w:r>
      <w:r w:rsidRPr="009D3BA5">
        <w:rPr>
          <w:rFonts w:ascii="Times New Roman" w:eastAsia="Times New Roman" w:hAnsi="Times New Roman" w:cs="Times New Roman"/>
          <w:i/>
          <w:iCs/>
          <w:sz w:val="24"/>
          <w:szCs w:val="24"/>
        </w:rPr>
        <w:t>SAGE Open Nursing</w:t>
      </w:r>
      <w:r w:rsidRPr="009D3BA5">
        <w:rPr>
          <w:rFonts w:ascii="Times New Roman" w:eastAsia="Times New Roman" w:hAnsi="Times New Roman" w:cs="Times New Roman"/>
          <w:sz w:val="24"/>
          <w:szCs w:val="24"/>
        </w:rPr>
        <w:t xml:space="preserve">, vol. 8, Jan. 2022, pp. 1–6, </w:t>
      </w:r>
      <w:hyperlink r:id="rId7" w:history="1">
        <w:r w:rsidRPr="008B07B1">
          <w:rPr>
            <w:rStyle w:val="Hyperlink"/>
            <w:rFonts w:ascii="Times New Roman" w:eastAsia="Times New Roman" w:hAnsi="Times New Roman" w:cs="Times New Roman"/>
            <w:sz w:val="24"/>
            <w:szCs w:val="24"/>
          </w:rPr>
          <w:t>https://doi.org/10.1177/23779608221109364</w:t>
        </w:r>
      </w:hyperlink>
      <w:r w:rsidRPr="009D3BA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3CEBCB" w14:textId="77777777" w:rsidR="00D370B3" w:rsidRDefault="00D370B3" w:rsidP="00EE4D6D">
      <w:pPr>
        <w:spacing w:after="0" w:line="480" w:lineRule="auto"/>
        <w:ind w:firstLine="720"/>
        <w:rPr>
          <w:rFonts w:ascii="Times New Roman" w:eastAsia="Times New Roman" w:hAnsi="Times New Roman" w:cs="Times New Roman"/>
          <w:sz w:val="24"/>
          <w:szCs w:val="24"/>
        </w:rPr>
      </w:pPr>
      <w:r w:rsidRPr="00D370B3">
        <w:rPr>
          <w:rFonts w:ascii="Times New Roman" w:eastAsia="Times New Roman" w:hAnsi="Times New Roman" w:cs="Times New Roman"/>
          <w:sz w:val="24"/>
          <w:szCs w:val="24"/>
        </w:rPr>
        <w:t>This study by Alqahtani investigates the relationship between English language usage and academic achievement among Saudi undergraduate nursing students, highlighting how limited English proficiency may affect academic performance in a field taught primarily in English. The research utilized a cross-sectional, correlational design, collecting data from 90 nursing students using the English Language Usage Scale (ELUS-11)</w:t>
      </w:r>
      <w:r w:rsidR="00EE4D6D">
        <w:rPr>
          <w:rFonts w:ascii="Times New Roman" w:eastAsia="Times New Roman" w:hAnsi="Times New Roman" w:cs="Times New Roman"/>
          <w:sz w:val="24"/>
          <w:szCs w:val="24"/>
        </w:rPr>
        <w:t xml:space="preserve"> </w:t>
      </w:r>
      <w:r w:rsidR="00EE4D6D" w:rsidRPr="00EE4D6D">
        <w:rPr>
          <w:rFonts w:ascii="Times New Roman" w:eastAsia="Times New Roman" w:hAnsi="Times New Roman" w:cs="Times New Roman"/>
          <w:sz w:val="24"/>
          <w:szCs w:val="24"/>
        </w:rPr>
        <w:t>(Alqahtani</w:t>
      </w:r>
      <w:r w:rsidR="006D277B">
        <w:rPr>
          <w:rFonts w:ascii="Times New Roman" w:eastAsia="Times New Roman" w:hAnsi="Times New Roman" w:cs="Times New Roman"/>
          <w:sz w:val="24"/>
          <w:szCs w:val="24"/>
        </w:rPr>
        <w:t xml:space="preserve"> 1</w:t>
      </w:r>
      <w:r w:rsidR="00EE4D6D" w:rsidRPr="00EE4D6D">
        <w:rPr>
          <w:rFonts w:ascii="Times New Roman" w:eastAsia="Times New Roman" w:hAnsi="Times New Roman" w:cs="Times New Roman"/>
          <w:sz w:val="24"/>
          <w:szCs w:val="24"/>
        </w:rPr>
        <w:t>)</w:t>
      </w:r>
      <w:r w:rsidRPr="00D370B3">
        <w:rPr>
          <w:rFonts w:ascii="Times New Roman" w:eastAsia="Times New Roman" w:hAnsi="Times New Roman" w:cs="Times New Roman"/>
          <w:sz w:val="24"/>
          <w:szCs w:val="24"/>
        </w:rPr>
        <w:t>. Results revealed that although students</w:t>
      </w:r>
      <w:r w:rsidR="00140806">
        <w:rPr>
          <w:rFonts w:ascii="Times New Roman" w:eastAsia="Times New Roman" w:hAnsi="Times New Roman" w:cs="Times New Roman"/>
          <w:sz w:val="24"/>
          <w:szCs w:val="24"/>
        </w:rPr>
        <w:t>'</w:t>
      </w:r>
      <w:r w:rsidRPr="00D370B3">
        <w:rPr>
          <w:rFonts w:ascii="Times New Roman" w:eastAsia="Times New Roman" w:hAnsi="Times New Roman" w:cs="Times New Roman"/>
          <w:sz w:val="24"/>
          <w:szCs w:val="24"/>
        </w:rPr>
        <w:t xml:space="preserve"> English la</w:t>
      </w:r>
      <w:r w:rsidR="00617538">
        <w:rPr>
          <w:rFonts w:ascii="Times New Roman" w:eastAsia="Times New Roman" w:hAnsi="Times New Roman" w:cs="Times New Roman"/>
          <w:sz w:val="24"/>
          <w:szCs w:val="24"/>
        </w:rPr>
        <w:t xml:space="preserve">nguage usage was generally low </w:t>
      </w:r>
      <w:r w:rsidRPr="00D370B3">
        <w:rPr>
          <w:rFonts w:ascii="Times New Roman" w:eastAsia="Times New Roman" w:hAnsi="Times New Roman" w:cs="Times New Roman"/>
          <w:sz w:val="24"/>
          <w:szCs w:val="24"/>
        </w:rPr>
        <w:t>in speaking and writing, their academic achievement remained high, with listening and reading skills being stronger. The study also found differences bas</w:t>
      </w:r>
      <w:r w:rsidR="00EE4D6D">
        <w:rPr>
          <w:rFonts w:ascii="Times New Roman" w:eastAsia="Times New Roman" w:hAnsi="Times New Roman" w:cs="Times New Roman"/>
          <w:sz w:val="24"/>
          <w:szCs w:val="24"/>
        </w:rPr>
        <w:t>ed on gender and academic level</w:t>
      </w:r>
      <w:r w:rsidR="00140806">
        <w:rPr>
          <w:rFonts w:ascii="Times New Roman" w:eastAsia="Times New Roman" w:hAnsi="Times New Roman" w:cs="Times New Roman"/>
          <w:sz w:val="24"/>
          <w:szCs w:val="24"/>
        </w:rPr>
        <w:t>;</w:t>
      </w:r>
      <w:r w:rsidR="00EE4D6D">
        <w:rPr>
          <w:rFonts w:ascii="Times New Roman" w:eastAsia="Times New Roman" w:hAnsi="Times New Roman" w:cs="Times New Roman"/>
          <w:sz w:val="24"/>
          <w:szCs w:val="24"/>
        </w:rPr>
        <w:t xml:space="preserve"> </w:t>
      </w:r>
      <w:r w:rsidRPr="00D370B3">
        <w:rPr>
          <w:rFonts w:ascii="Times New Roman" w:eastAsia="Times New Roman" w:hAnsi="Times New Roman" w:cs="Times New Roman"/>
          <w:sz w:val="24"/>
          <w:szCs w:val="24"/>
        </w:rPr>
        <w:t>female and senior students showed higher proficiency and academic success</w:t>
      </w:r>
      <w:r w:rsidR="00EE4D6D">
        <w:rPr>
          <w:rFonts w:ascii="Times New Roman" w:eastAsia="Times New Roman" w:hAnsi="Times New Roman" w:cs="Times New Roman"/>
          <w:sz w:val="24"/>
          <w:szCs w:val="24"/>
        </w:rPr>
        <w:t xml:space="preserve"> </w:t>
      </w:r>
      <w:r w:rsidR="00EE4D6D" w:rsidRPr="00EE4D6D">
        <w:rPr>
          <w:rFonts w:ascii="Times New Roman" w:eastAsia="Times New Roman" w:hAnsi="Times New Roman" w:cs="Times New Roman"/>
          <w:sz w:val="24"/>
          <w:szCs w:val="24"/>
        </w:rPr>
        <w:t>(Alqahtani</w:t>
      </w:r>
      <w:r w:rsidR="006D277B">
        <w:rPr>
          <w:rFonts w:ascii="Times New Roman" w:eastAsia="Times New Roman" w:hAnsi="Times New Roman" w:cs="Times New Roman"/>
          <w:sz w:val="24"/>
          <w:szCs w:val="24"/>
        </w:rPr>
        <w:t xml:space="preserve"> 4</w:t>
      </w:r>
      <w:r w:rsidR="00EE4D6D" w:rsidRPr="00EE4D6D">
        <w:rPr>
          <w:rFonts w:ascii="Times New Roman" w:eastAsia="Times New Roman" w:hAnsi="Times New Roman" w:cs="Times New Roman"/>
          <w:sz w:val="24"/>
          <w:szCs w:val="24"/>
        </w:rPr>
        <w:t>)</w:t>
      </w:r>
      <w:r w:rsidRPr="00D370B3">
        <w:rPr>
          <w:rFonts w:ascii="Times New Roman" w:eastAsia="Times New Roman" w:hAnsi="Times New Roman" w:cs="Times New Roman"/>
          <w:sz w:val="24"/>
          <w:szCs w:val="24"/>
        </w:rPr>
        <w:t>. The author concluded that language proficiency does impact academic performance</w:t>
      </w:r>
      <w:r w:rsidR="00140806">
        <w:rPr>
          <w:rFonts w:ascii="Times New Roman" w:eastAsia="Times New Roman" w:hAnsi="Times New Roman" w:cs="Times New Roman"/>
          <w:sz w:val="24"/>
          <w:szCs w:val="24"/>
        </w:rPr>
        <w:t>, but students' determination and faculty's potential use of Arabic</w:t>
      </w:r>
      <w:r w:rsidRPr="00D370B3">
        <w:rPr>
          <w:rFonts w:ascii="Times New Roman" w:eastAsia="Times New Roman" w:hAnsi="Times New Roman" w:cs="Times New Roman"/>
          <w:sz w:val="24"/>
          <w:szCs w:val="24"/>
        </w:rPr>
        <w:t xml:space="preserve"> may mitigate some of the challenges posed by language barriers</w:t>
      </w:r>
      <w:r w:rsidR="00EE4D6D">
        <w:rPr>
          <w:rFonts w:ascii="Times New Roman" w:eastAsia="Times New Roman" w:hAnsi="Times New Roman" w:cs="Times New Roman"/>
          <w:sz w:val="24"/>
          <w:szCs w:val="24"/>
        </w:rPr>
        <w:t xml:space="preserve"> </w:t>
      </w:r>
      <w:r w:rsidR="00EE4D6D" w:rsidRPr="00EE4D6D">
        <w:rPr>
          <w:rFonts w:ascii="Times New Roman" w:eastAsia="Times New Roman" w:hAnsi="Times New Roman" w:cs="Times New Roman"/>
          <w:sz w:val="24"/>
          <w:szCs w:val="24"/>
        </w:rPr>
        <w:t>(Alqahtani</w:t>
      </w:r>
      <w:r w:rsidR="00D50EE0">
        <w:rPr>
          <w:rFonts w:ascii="Times New Roman" w:eastAsia="Times New Roman" w:hAnsi="Times New Roman" w:cs="Times New Roman"/>
          <w:sz w:val="24"/>
          <w:szCs w:val="24"/>
        </w:rPr>
        <w:t xml:space="preserve"> 2</w:t>
      </w:r>
      <w:r w:rsidR="00EE4D6D" w:rsidRPr="00EE4D6D">
        <w:rPr>
          <w:rFonts w:ascii="Times New Roman" w:eastAsia="Times New Roman" w:hAnsi="Times New Roman" w:cs="Times New Roman"/>
          <w:sz w:val="24"/>
          <w:szCs w:val="24"/>
        </w:rPr>
        <w:t>)</w:t>
      </w:r>
      <w:r w:rsidRPr="00D370B3">
        <w:rPr>
          <w:rFonts w:ascii="Times New Roman" w:eastAsia="Times New Roman" w:hAnsi="Times New Roman" w:cs="Times New Roman"/>
          <w:sz w:val="24"/>
          <w:szCs w:val="24"/>
        </w:rPr>
        <w:t>. Recommendations include offering extracurricular English courses, more intensive language training, and further research exploring psychological and environmental factors influencing achievement</w:t>
      </w:r>
      <w:r w:rsidR="00EE4D6D">
        <w:rPr>
          <w:rFonts w:ascii="Times New Roman" w:eastAsia="Times New Roman" w:hAnsi="Times New Roman" w:cs="Times New Roman"/>
          <w:sz w:val="24"/>
          <w:szCs w:val="24"/>
        </w:rPr>
        <w:t xml:space="preserve"> </w:t>
      </w:r>
      <w:r w:rsidR="00EE4D6D" w:rsidRPr="00EE4D6D">
        <w:rPr>
          <w:rFonts w:ascii="Times New Roman" w:eastAsia="Times New Roman" w:hAnsi="Times New Roman" w:cs="Times New Roman"/>
          <w:sz w:val="24"/>
          <w:szCs w:val="24"/>
        </w:rPr>
        <w:t>(Alqahtani</w:t>
      </w:r>
      <w:r w:rsidR="00D50EE0">
        <w:rPr>
          <w:rFonts w:ascii="Times New Roman" w:eastAsia="Times New Roman" w:hAnsi="Times New Roman" w:cs="Times New Roman"/>
          <w:sz w:val="24"/>
          <w:szCs w:val="24"/>
        </w:rPr>
        <w:t xml:space="preserve"> 5-6</w:t>
      </w:r>
      <w:r w:rsidR="00EE4D6D" w:rsidRPr="00EE4D6D">
        <w:rPr>
          <w:rFonts w:ascii="Times New Roman" w:eastAsia="Times New Roman" w:hAnsi="Times New Roman" w:cs="Times New Roman"/>
          <w:sz w:val="24"/>
          <w:szCs w:val="24"/>
        </w:rPr>
        <w:t>)</w:t>
      </w:r>
      <w:r w:rsidRPr="00D370B3">
        <w:rPr>
          <w:rFonts w:ascii="Times New Roman" w:eastAsia="Times New Roman" w:hAnsi="Times New Roman" w:cs="Times New Roman"/>
          <w:sz w:val="24"/>
          <w:szCs w:val="24"/>
        </w:rPr>
        <w:t>.</w:t>
      </w:r>
    </w:p>
    <w:p w14:paraId="3C2E6F50" w14:textId="77777777" w:rsidR="002C73C9" w:rsidRPr="002C73C9" w:rsidRDefault="00D370B3" w:rsidP="002C73C9">
      <w:pPr>
        <w:spacing w:after="0" w:line="480" w:lineRule="auto"/>
        <w:ind w:firstLine="720"/>
        <w:rPr>
          <w:rFonts w:ascii="Times New Roman" w:eastAsia="Times New Roman" w:hAnsi="Times New Roman" w:cs="Times New Roman"/>
          <w:sz w:val="24"/>
          <w:szCs w:val="24"/>
        </w:rPr>
      </w:pPr>
      <w:r w:rsidRPr="00D370B3">
        <w:rPr>
          <w:rFonts w:ascii="Times New Roman" w:eastAsia="Times New Roman" w:hAnsi="Times New Roman" w:cs="Times New Roman"/>
          <w:sz w:val="24"/>
          <w:szCs w:val="24"/>
        </w:rPr>
        <w:lastRenderedPageBreak/>
        <w:t>This source is credible and appropriate for academic use as it satisfies the C.R.A.A.P. criteria. The study is current (published in 2022), highly relevant to nursing education and language acquisition, and is published in a peer-reviewed journal (</w:t>
      </w:r>
      <w:r w:rsidRPr="00D370B3">
        <w:rPr>
          <w:rFonts w:ascii="Times New Roman" w:eastAsia="Times New Roman" w:hAnsi="Times New Roman" w:cs="Times New Roman"/>
          <w:i/>
          <w:iCs/>
          <w:sz w:val="24"/>
          <w:szCs w:val="24"/>
        </w:rPr>
        <w:t>SAGE Open Nursing</w:t>
      </w:r>
      <w:r w:rsidRPr="00D370B3">
        <w:rPr>
          <w:rFonts w:ascii="Times New Roman" w:eastAsia="Times New Roman" w:hAnsi="Times New Roman" w:cs="Times New Roman"/>
          <w:sz w:val="24"/>
          <w:szCs w:val="24"/>
        </w:rPr>
        <w:t>), which ensures academic rigor and quality</w:t>
      </w:r>
      <w:r w:rsidR="00EE4D6D">
        <w:rPr>
          <w:rFonts w:ascii="Times New Roman" w:eastAsia="Times New Roman" w:hAnsi="Times New Roman" w:cs="Times New Roman"/>
          <w:sz w:val="24"/>
          <w:szCs w:val="24"/>
        </w:rPr>
        <w:t xml:space="preserve"> </w:t>
      </w:r>
      <w:r w:rsidR="00EE4D6D" w:rsidRPr="00EE4D6D">
        <w:rPr>
          <w:rFonts w:ascii="Times New Roman" w:eastAsia="Times New Roman" w:hAnsi="Times New Roman" w:cs="Times New Roman"/>
          <w:sz w:val="24"/>
          <w:szCs w:val="24"/>
        </w:rPr>
        <w:t>(Alqahtani</w:t>
      </w:r>
      <w:r w:rsidR="00D50EE0">
        <w:rPr>
          <w:rFonts w:ascii="Times New Roman" w:eastAsia="Times New Roman" w:hAnsi="Times New Roman" w:cs="Times New Roman"/>
          <w:sz w:val="24"/>
          <w:szCs w:val="24"/>
        </w:rPr>
        <w:t xml:space="preserve"> 1</w:t>
      </w:r>
      <w:r w:rsidR="00EE4D6D" w:rsidRPr="00EE4D6D">
        <w:rPr>
          <w:rFonts w:ascii="Times New Roman" w:eastAsia="Times New Roman" w:hAnsi="Times New Roman" w:cs="Times New Roman"/>
          <w:sz w:val="24"/>
          <w:szCs w:val="24"/>
        </w:rPr>
        <w:t>)</w:t>
      </w:r>
      <w:r w:rsidRPr="00D370B3">
        <w:rPr>
          <w:rFonts w:ascii="Times New Roman" w:eastAsia="Times New Roman" w:hAnsi="Times New Roman" w:cs="Times New Roman"/>
          <w:sz w:val="24"/>
          <w:szCs w:val="24"/>
        </w:rPr>
        <w:t>. The author's credentials (PhD, RN) and institutional affiliation support the authority of the research. The accuracy is evident through the use of valid data collection methods and statistical analysis, while the purpose is clearly academic, aiming to inform educational policy and teaching strategies</w:t>
      </w:r>
      <w:r w:rsidR="00EE4D6D">
        <w:rPr>
          <w:rFonts w:ascii="Times New Roman" w:eastAsia="Times New Roman" w:hAnsi="Times New Roman" w:cs="Times New Roman"/>
          <w:sz w:val="24"/>
          <w:szCs w:val="24"/>
        </w:rPr>
        <w:t xml:space="preserve"> </w:t>
      </w:r>
      <w:r w:rsidR="00EE4D6D" w:rsidRPr="00EE4D6D">
        <w:rPr>
          <w:rFonts w:ascii="Times New Roman" w:eastAsia="Times New Roman" w:hAnsi="Times New Roman" w:cs="Times New Roman"/>
          <w:sz w:val="24"/>
          <w:szCs w:val="24"/>
        </w:rPr>
        <w:t>(Alqahtani</w:t>
      </w:r>
      <w:r w:rsidR="00D50EE0">
        <w:rPr>
          <w:rFonts w:ascii="Times New Roman" w:eastAsia="Times New Roman" w:hAnsi="Times New Roman" w:cs="Times New Roman"/>
          <w:sz w:val="24"/>
          <w:szCs w:val="24"/>
        </w:rPr>
        <w:t xml:space="preserve"> 3</w:t>
      </w:r>
      <w:r w:rsidR="00EE4D6D" w:rsidRPr="00EE4D6D">
        <w:rPr>
          <w:rFonts w:ascii="Times New Roman" w:eastAsia="Times New Roman" w:hAnsi="Times New Roman" w:cs="Times New Roman"/>
          <w:sz w:val="24"/>
          <w:szCs w:val="24"/>
        </w:rPr>
        <w:t>)</w:t>
      </w:r>
      <w:r w:rsidRPr="00D370B3">
        <w:rPr>
          <w:rFonts w:ascii="Times New Roman" w:eastAsia="Times New Roman" w:hAnsi="Times New Roman" w:cs="Times New Roman"/>
          <w:sz w:val="24"/>
          <w:szCs w:val="24"/>
        </w:rPr>
        <w:t>. This article is useful for essays examining barriers to academic success among ESL students in healthcare education, supporting arguments about the importance of linguistic competence in globalized professional fields, and offering evidence-based recommendations for educational reform.</w:t>
      </w:r>
    </w:p>
    <w:p w14:paraId="5C711C1D" w14:textId="77777777" w:rsidR="003C64C5" w:rsidRDefault="002C73C9" w:rsidP="003C64C5">
      <w:pPr>
        <w:spacing w:after="0" w:line="480" w:lineRule="auto"/>
        <w:ind w:left="720" w:hanging="720"/>
        <w:rPr>
          <w:rFonts w:ascii="Times New Roman" w:eastAsia="Times New Roman" w:hAnsi="Times New Roman" w:cs="Times New Roman"/>
          <w:sz w:val="24"/>
          <w:szCs w:val="24"/>
        </w:rPr>
      </w:pPr>
      <w:r w:rsidRPr="002C73C9">
        <w:rPr>
          <w:rFonts w:ascii="Times New Roman" w:eastAsia="Times New Roman" w:hAnsi="Times New Roman" w:cs="Times New Roman"/>
          <w:sz w:val="24"/>
          <w:szCs w:val="24"/>
        </w:rPr>
        <w:t xml:space="preserve">Chen, Feifei, and Rohaya Abdullah. </w:t>
      </w:r>
      <w:r w:rsidR="00140806">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xml:space="preserve">Scientific </w:t>
      </w:r>
      <w:r w:rsidR="00D50EE0" w:rsidRPr="002C73C9">
        <w:rPr>
          <w:rFonts w:ascii="Times New Roman" w:eastAsia="Times New Roman" w:hAnsi="Times New Roman" w:cs="Times New Roman"/>
          <w:sz w:val="24"/>
          <w:szCs w:val="24"/>
        </w:rPr>
        <w:t xml:space="preserve">mapping of research on </w:t>
      </w:r>
      <w:r w:rsidR="00140806">
        <w:rPr>
          <w:rFonts w:ascii="Times New Roman" w:eastAsia="Times New Roman" w:hAnsi="Times New Roman" w:cs="Times New Roman"/>
          <w:sz w:val="24"/>
          <w:szCs w:val="24"/>
        </w:rPr>
        <w:t>E</w:t>
      </w:r>
      <w:r w:rsidR="00D50EE0" w:rsidRPr="002C73C9">
        <w:rPr>
          <w:rFonts w:ascii="Times New Roman" w:eastAsia="Times New Roman" w:hAnsi="Times New Roman" w:cs="Times New Roman"/>
          <w:sz w:val="24"/>
          <w:szCs w:val="24"/>
        </w:rPr>
        <w:t xml:space="preserve">nglish as a foreign language </w:t>
      </w:r>
      <w:r w:rsidRPr="002C73C9">
        <w:rPr>
          <w:rFonts w:ascii="Times New Roman" w:eastAsia="Times New Roman" w:hAnsi="Times New Roman" w:cs="Times New Roman"/>
          <w:sz w:val="24"/>
          <w:szCs w:val="24"/>
        </w:rPr>
        <w:t xml:space="preserve">(EFL) </w:t>
      </w:r>
      <w:r w:rsidR="00D50EE0" w:rsidRPr="002C73C9">
        <w:rPr>
          <w:rFonts w:ascii="Times New Roman" w:eastAsia="Times New Roman" w:hAnsi="Times New Roman" w:cs="Times New Roman"/>
          <w:sz w:val="24"/>
          <w:szCs w:val="24"/>
        </w:rPr>
        <w:t>reading instruction</w:t>
      </w:r>
      <w:r w:rsidRPr="002C73C9">
        <w:rPr>
          <w:rFonts w:ascii="Times New Roman" w:eastAsia="Times New Roman" w:hAnsi="Times New Roman" w:cs="Times New Roman"/>
          <w:sz w:val="24"/>
          <w:szCs w:val="24"/>
        </w:rPr>
        <w:t xml:space="preserve">: A </w:t>
      </w:r>
      <w:r w:rsidR="00D50EE0" w:rsidRPr="002C73C9">
        <w:rPr>
          <w:rFonts w:ascii="Times New Roman" w:eastAsia="Times New Roman" w:hAnsi="Times New Roman" w:cs="Times New Roman"/>
          <w:sz w:val="24"/>
          <w:szCs w:val="24"/>
        </w:rPr>
        <w:t>thirty-year perspective</w:t>
      </w:r>
      <w:r w:rsidRPr="002C73C9">
        <w:rPr>
          <w:rFonts w:ascii="Times New Roman" w:eastAsia="Times New Roman" w:hAnsi="Times New Roman" w:cs="Times New Roman"/>
          <w:sz w:val="24"/>
          <w:szCs w:val="24"/>
        </w:rPr>
        <w:t>.</w:t>
      </w:r>
      <w:r w:rsidR="00140806">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xml:space="preserve"> </w:t>
      </w:r>
      <w:proofErr w:type="spellStart"/>
      <w:r w:rsidRPr="002C73C9">
        <w:rPr>
          <w:rFonts w:ascii="Times New Roman" w:eastAsia="Times New Roman" w:hAnsi="Times New Roman" w:cs="Times New Roman"/>
          <w:i/>
          <w:iCs/>
          <w:sz w:val="24"/>
          <w:szCs w:val="24"/>
        </w:rPr>
        <w:t>Heliyon</w:t>
      </w:r>
      <w:proofErr w:type="spellEnd"/>
      <w:r w:rsidRPr="002C73C9">
        <w:rPr>
          <w:rFonts w:ascii="Times New Roman" w:eastAsia="Times New Roman" w:hAnsi="Times New Roman" w:cs="Times New Roman"/>
          <w:i/>
          <w:iCs/>
          <w:sz w:val="24"/>
          <w:szCs w:val="24"/>
        </w:rPr>
        <w:t xml:space="preserve"> (Londen)</w:t>
      </w:r>
      <w:r w:rsidRPr="002C73C9">
        <w:rPr>
          <w:rFonts w:ascii="Times New Roman" w:eastAsia="Times New Roman" w:hAnsi="Times New Roman" w:cs="Times New Roman"/>
          <w:sz w:val="24"/>
          <w:szCs w:val="24"/>
        </w:rPr>
        <w:t xml:space="preserve">, vol. 10, no. 3, Elsevier BV, Feb. 2024, pp. e25217–17, </w:t>
      </w:r>
      <w:hyperlink r:id="rId8" w:history="1">
        <w:r w:rsidRPr="008B07B1">
          <w:rPr>
            <w:rStyle w:val="Hyperlink"/>
            <w:rFonts w:ascii="Times New Roman" w:eastAsia="Times New Roman" w:hAnsi="Times New Roman" w:cs="Times New Roman"/>
            <w:sz w:val="24"/>
            <w:szCs w:val="24"/>
          </w:rPr>
          <w:t>https://doi.org/10.1016/j.heliyon.2024.e25217</w:t>
        </w:r>
      </w:hyperlink>
      <w:r>
        <w:rPr>
          <w:rFonts w:ascii="Times New Roman" w:eastAsia="Times New Roman" w:hAnsi="Times New Roman" w:cs="Times New Roman"/>
          <w:sz w:val="24"/>
          <w:szCs w:val="24"/>
        </w:rPr>
        <w:t xml:space="preserve">. </w:t>
      </w:r>
      <w:r w:rsidRPr="002C73C9">
        <w:rPr>
          <w:rFonts w:ascii="Times New Roman" w:eastAsia="Times New Roman" w:hAnsi="Times New Roman" w:cs="Times New Roman"/>
          <w:sz w:val="24"/>
          <w:szCs w:val="24"/>
        </w:rPr>
        <w:t>Accessed 8 Apr. 2024.</w:t>
      </w:r>
    </w:p>
    <w:p w14:paraId="7A507AC5" w14:textId="77777777" w:rsidR="002C73C9" w:rsidRDefault="002C73C9" w:rsidP="003C64C5">
      <w:pPr>
        <w:spacing w:after="0" w:line="480" w:lineRule="auto"/>
        <w:ind w:firstLine="720"/>
        <w:rPr>
          <w:rFonts w:ascii="Times New Roman" w:eastAsia="Times New Roman" w:hAnsi="Times New Roman" w:cs="Times New Roman"/>
          <w:sz w:val="24"/>
          <w:szCs w:val="24"/>
        </w:rPr>
      </w:pPr>
      <w:r w:rsidRPr="002C73C9">
        <w:rPr>
          <w:rFonts w:ascii="Times New Roman" w:eastAsia="Times New Roman" w:hAnsi="Times New Roman" w:cs="Times New Roman"/>
          <w:sz w:val="24"/>
          <w:szCs w:val="24"/>
        </w:rPr>
        <w:t>In this article, Chen and Abdullah conduct a comprehensive bibliometric analysis to map the development and trends of English as a Foreign Language (EFL) reading instruction research over the past thirty years. The study analyzes data from the Web of Science database, revealing a steady growth in scholarly interest in this field, with projections suggesting continued expansion</w:t>
      </w:r>
      <w:r w:rsidR="003C64C5">
        <w:rPr>
          <w:rFonts w:ascii="Times New Roman" w:eastAsia="Times New Roman" w:hAnsi="Times New Roman" w:cs="Times New Roman"/>
          <w:sz w:val="24"/>
          <w:szCs w:val="24"/>
        </w:rPr>
        <w:t xml:space="preserve"> </w:t>
      </w:r>
      <w:r w:rsidR="003C64C5" w:rsidRPr="003C64C5">
        <w:rPr>
          <w:rFonts w:ascii="Times New Roman" w:eastAsia="Times New Roman" w:hAnsi="Times New Roman" w:cs="Times New Roman"/>
          <w:sz w:val="24"/>
          <w:szCs w:val="24"/>
        </w:rPr>
        <w:t>(Chen and Abdullah</w:t>
      </w:r>
      <w:r w:rsidR="00930487">
        <w:rPr>
          <w:rFonts w:ascii="Times New Roman" w:eastAsia="Times New Roman" w:hAnsi="Times New Roman" w:cs="Times New Roman"/>
          <w:sz w:val="24"/>
          <w:szCs w:val="24"/>
        </w:rPr>
        <w:t xml:space="preserve"> 2</w:t>
      </w:r>
      <w:r w:rsidR="003C64C5" w:rsidRPr="003C64C5">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The authors identify key geographic contributors, with Iran, China, and Saudi Arabia leading in research productivity, and they note a shift in thematic focus from traditional reading instruction topics to more recent interests such as mobile-assisted language learning, COVID-19</w:t>
      </w:r>
      <w:r w:rsidR="00140806">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s impact and blended learning</w:t>
      </w:r>
      <w:r w:rsidR="003C64C5">
        <w:rPr>
          <w:rFonts w:ascii="Times New Roman" w:eastAsia="Times New Roman" w:hAnsi="Times New Roman" w:cs="Times New Roman"/>
          <w:sz w:val="24"/>
          <w:szCs w:val="24"/>
        </w:rPr>
        <w:t xml:space="preserve"> </w:t>
      </w:r>
      <w:r w:rsidR="003C64C5" w:rsidRPr="003C64C5">
        <w:rPr>
          <w:rFonts w:ascii="Times New Roman" w:eastAsia="Times New Roman" w:hAnsi="Times New Roman" w:cs="Times New Roman"/>
          <w:sz w:val="24"/>
          <w:szCs w:val="24"/>
        </w:rPr>
        <w:t>(Chen and Abdullah</w:t>
      </w:r>
      <w:r w:rsidR="00930487">
        <w:rPr>
          <w:rFonts w:ascii="Times New Roman" w:eastAsia="Times New Roman" w:hAnsi="Times New Roman" w:cs="Times New Roman"/>
          <w:sz w:val="24"/>
          <w:szCs w:val="24"/>
        </w:rPr>
        <w:t xml:space="preserve"> 9</w:t>
      </w:r>
      <w:r w:rsidR="003C64C5" w:rsidRPr="003C64C5">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xml:space="preserve">. The article also highlights influential authors, journals, and institutions while noting challenges faced by EFL </w:t>
      </w:r>
      <w:r w:rsidRPr="002C73C9">
        <w:rPr>
          <w:rFonts w:ascii="Times New Roman" w:eastAsia="Times New Roman" w:hAnsi="Times New Roman" w:cs="Times New Roman"/>
          <w:sz w:val="24"/>
          <w:szCs w:val="24"/>
        </w:rPr>
        <w:lastRenderedPageBreak/>
        <w:t>instructors, such as teacher-centered pedagogies and a lack of student engagement</w:t>
      </w:r>
      <w:r w:rsidR="003C64C5">
        <w:rPr>
          <w:rFonts w:ascii="Times New Roman" w:eastAsia="Times New Roman" w:hAnsi="Times New Roman" w:cs="Times New Roman"/>
          <w:sz w:val="24"/>
          <w:szCs w:val="24"/>
        </w:rPr>
        <w:t xml:space="preserve"> </w:t>
      </w:r>
      <w:r w:rsidR="003C64C5" w:rsidRPr="003C64C5">
        <w:rPr>
          <w:rFonts w:ascii="Times New Roman" w:eastAsia="Times New Roman" w:hAnsi="Times New Roman" w:cs="Times New Roman"/>
          <w:sz w:val="24"/>
          <w:szCs w:val="24"/>
        </w:rPr>
        <w:t>(Chen and Abdullah</w:t>
      </w:r>
      <w:r w:rsidR="00930487">
        <w:rPr>
          <w:rFonts w:ascii="Times New Roman" w:eastAsia="Times New Roman" w:hAnsi="Times New Roman" w:cs="Times New Roman"/>
          <w:sz w:val="24"/>
          <w:szCs w:val="24"/>
        </w:rPr>
        <w:t xml:space="preserve"> 2</w:t>
      </w:r>
      <w:r w:rsidR="003C64C5" w:rsidRPr="003C64C5">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Chen and Abdullah conclude that scientific mapping not only enhances understanding of the field but also supports future research by identifying gaps and guiding newcomers in navigating this evolving area of study.</w:t>
      </w:r>
    </w:p>
    <w:p w14:paraId="7C82C987" w14:textId="77777777" w:rsidR="002C73C9" w:rsidRPr="002C73C9" w:rsidRDefault="002C73C9" w:rsidP="002C73C9">
      <w:pPr>
        <w:spacing w:after="0" w:line="480" w:lineRule="auto"/>
        <w:ind w:firstLine="720"/>
        <w:rPr>
          <w:rFonts w:ascii="Times New Roman" w:eastAsia="Times New Roman" w:hAnsi="Times New Roman" w:cs="Times New Roman"/>
          <w:sz w:val="24"/>
          <w:szCs w:val="24"/>
        </w:rPr>
      </w:pPr>
      <w:r w:rsidRPr="002C73C9">
        <w:rPr>
          <w:rFonts w:ascii="Times New Roman" w:eastAsia="Times New Roman" w:hAnsi="Times New Roman" w:cs="Times New Roman"/>
          <w:sz w:val="24"/>
          <w:szCs w:val="24"/>
        </w:rPr>
        <w:t>The credibility of this source is strong, following the C.R.A.A.P. test. It is current, having been published in 2024, and relevant to topics involving foreign language education and instructional trends</w:t>
      </w:r>
      <w:r w:rsidR="003C64C5">
        <w:rPr>
          <w:rFonts w:ascii="Times New Roman" w:eastAsia="Times New Roman" w:hAnsi="Times New Roman" w:cs="Times New Roman"/>
          <w:sz w:val="24"/>
          <w:szCs w:val="24"/>
        </w:rPr>
        <w:t xml:space="preserve"> </w:t>
      </w:r>
      <w:r w:rsidR="003C64C5" w:rsidRPr="003C64C5">
        <w:rPr>
          <w:rFonts w:ascii="Times New Roman" w:eastAsia="Times New Roman" w:hAnsi="Times New Roman" w:cs="Times New Roman"/>
          <w:sz w:val="24"/>
          <w:szCs w:val="24"/>
        </w:rPr>
        <w:t>(Chen and Abdullah</w:t>
      </w:r>
      <w:r w:rsidR="00930487">
        <w:rPr>
          <w:rFonts w:ascii="Times New Roman" w:eastAsia="Times New Roman" w:hAnsi="Times New Roman" w:cs="Times New Roman"/>
          <w:sz w:val="24"/>
          <w:szCs w:val="24"/>
        </w:rPr>
        <w:t xml:space="preserve"> 1</w:t>
      </w:r>
      <w:r w:rsidR="003C64C5" w:rsidRPr="003C64C5">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The authors provide accurate, well-cited information and utilize a reputable me</w:t>
      </w:r>
      <w:r>
        <w:rPr>
          <w:rFonts w:ascii="Times New Roman" w:eastAsia="Times New Roman" w:hAnsi="Times New Roman" w:cs="Times New Roman"/>
          <w:sz w:val="24"/>
          <w:szCs w:val="24"/>
        </w:rPr>
        <w:t xml:space="preserve">thodology bibliometric analysis </w:t>
      </w:r>
      <w:r w:rsidRPr="002C73C9">
        <w:rPr>
          <w:rFonts w:ascii="Times New Roman" w:eastAsia="Times New Roman" w:hAnsi="Times New Roman" w:cs="Times New Roman"/>
          <w:sz w:val="24"/>
          <w:szCs w:val="24"/>
        </w:rPr>
        <w:t xml:space="preserve">drawing on peer-reviewed sources from the Web of Science. The authority of the publication is also evident, as </w:t>
      </w:r>
      <w:proofErr w:type="spellStart"/>
      <w:r w:rsidRPr="002C73C9">
        <w:rPr>
          <w:rFonts w:ascii="Times New Roman" w:eastAsia="Times New Roman" w:hAnsi="Times New Roman" w:cs="Times New Roman"/>
          <w:i/>
          <w:iCs/>
          <w:sz w:val="24"/>
          <w:szCs w:val="24"/>
        </w:rPr>
        <w:t>Heliyon</w:t>
      </w:r>
      <w:proofErr w:type="spellEnd"/>
      <w:r w:rsidRPr="002C73C9">
        <w:rPr>
          <w:rFonts w:ascii="Times New Roman" w:eastAsia="Times New Roman" w:hAnsi="Times New Roman" w:cs="Times New Roman"/>
          <w:sz w:val="24"/>
          <w:szCs w:val="24"/>
        </w:rPr>
        <w:t xml:space="preserve"> is a peer-reviewed journal published by Elsevier, a well-known academic publisher</w:t>
      </w:r>
      <w:r w:rsidR="003C64C5">
        <w:rPr>
          <w:rFonts w:ascii="Times New Roman" w:eastAsia="Times New Roman" w:hAnsi="Times New Roman" w:cs="Times New Roman"/>
          <w:sz w:val="24"/>
          <w:szCs w:val="24"/>
        </w:rPr>
        <w:t xml:space="preserve"> </w:t>
      </w:r>
      <w:r w:rsidR="003C64C5" w:rsidRPr="003C64C5">
        <w:rPr>
          <w:rFonts w:ascii="Times New Roman" w:eastAsia="Times New Roman" w:hAnsi="Times New Roman" w:cs="Times New Roman"/>
          <w:sz w:val="24"/>
          <w:szCs w:val="24"/>
        </w:rPr>
        <w:t>(Chen and Abdullah</w:t>
      </w:r>
      <w:r w:rsidR="00930487">
        <w:rPr>
          <w:rFonts w:ascii="Times New Roman" w:eastAsia="Times New Roman" w:hAnsi="Times New Roman" w:cs="Times New Roman"/>
          <w:sz w:val="24"/>
          <w:szCs w:val="24"/>
        </w:rPr>
        <w:t xml:space="preserve"> 1</w:t>
      </w:r>
      <w:r w:rsidR="003C64C5" w:rsidRPr="003C64C5">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The purpose of the article is clearly to inform and support scholarly inquiry rather than persuade or entertain</w:t>
      </w:r>
      <w:r w:rsidR="00930487">
        <w:rPr>
          <w:rFonts w:ascii="Times New Roman" w:eastAsia="Times New Roman" w:hAnsi="Times New Roman" w:cs="Times New Roman"/>
          <w:sz w:val="24"/>
          <w:szCs w:val="24"/>
        </w:rPr>
        <w:t xml:space="preserve"> </w:t>
      </w:r>
      <w:r w:rsidR="00930487" w:rsidRPr="003C64C5">
        <w:rPr>
          <w:rFonts w:ascii="Times New Roman" w:eastAsia="Times New Roman" w:hAnsi="Times New Roman" w:cs="Times New Roman"/>
          <w:sz w:val="24"/>
          <w:szCs w:val="24"/>
        </w:rPr>
        <w:t>(Chen and Abdullah</w:t>
      </w:r>
      <w:r w:rsidR="00930487">
        <w:rPr>
          <w:rFonts w:ascii="Times New Roman" w:eastAsia="Times New Roman" w:hAnsi="Times New Roman" w:cs="Times New Roman"/>
          <w:sz w:val="24"/>
          <w:szCs w:val="24"/>
        </w:rPr>
        <w:t xml:space="preserve"> 10</w:t>
      </w:r>
      <w:r w:rsidR="00930487" w:rsidRPr="003C64C5">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xml:space="preserve">. This article would be a valuable resource in an academic essay focused on the evolution of EFL instructional strategies in a literature review or a section discussing international collaboration and pedagogical trends in language education. </w:t>
      </w:r>
      <w:r>
        <w:rPr>
          <w:rFonts w:ascii="Times New Roman" w:eastAsia="Times New Roman" w:hAnsi="Times New Roman" w:cs="Times New Roman"/>
          <w:sz w:val="24"/>
          <w:szCs w:val="24"/>
        </w:rPr>
        <w:t>The article</w:t>
      </w:r>
      <w:r w:rsidRPr="002C73C9">
        <w:rPr>
          <w:rFonts w:ascii="Times New Roman" w:eastAsia="Times New Roman" w:hAnsi="Times New Roman" w:cs="Times New Roman"/>
          <w:sz w:val="24"/>
          <w:szCs w:val="24"/>
        </w:rPr>
        <w:t xml:space="preserve"> offers quantitative backing to claims about research growth and thematic shifts, which adds empirical weight to any discussion of the state and future of EFL reading instruction.</w:t>
      </w:r>
    </w:p>
    <w:p w14:paraId="407A4AE3" w14:textId="77777777" w:rsidR="00930487" w:rsidRDefault="002C73C9" w:rsidP="00930487">
      <w:pPr>
        <w:spacing w:after="0" w:line="480" w:lineRule="auto"/>
        <w:ind w:left="720" w:hanging="720"/>
        <w:rPr>
          <w:rFonts w:ascii="Times New Roman" w:eastAsia="Times New Roman" w:hAnsi="Times New Roman" w:cs="Times New Roman"/>
          <w:sz w:val="24"/>
          <w:szCs w:val="24"/>
        </w:rPr>
      </w:pPr>
      <w:r w:rsidRPr="002C73C9">
        <w:rPr>
          <w:rFonts w:ascii="Times New Roman" w:eastAsia="Times New Roman" w:hAnsi="Times New Roman" w:cs="Times New Roman"/>
          <w:sz w:val="24"/>
          <w:szCs w:val="24"/>
        </w:rPr>
        <w:t xml:space="preserve">Dashti, Fatma, and Hanady M. Abdulsalam. </w:t>
      </w:r>
      <w:r w:rsidR="00140806">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The Influence of Social Media Applications on Learning English as a Second Language.</w:t>
      </w:r>
      <w:r w:rsidR="00140806">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xml:space="preserve"> </w:t>
      </w:r>
      <w:proofErr w:type="spellStart"/>
      <w:r w:rsidRPr="002C73C9">
        <w:rPr>
          <w:rFonts w:ascii="Times New Roman" w:eastAsia="Times New Roman" w:hAnsi="Times New Roman" w:cs="Times New Roman"/>
          <w:i/>
          <w:iCs/>
          <w:sz w:val="24"/>
          <w:szCs w:val="24"/>
        </w:rPr>
        <w:t>Heliyon</w:t>
      </w:r>
      <w:proofErr w:type="spellEnd"/>
      <w:r w:rsidRPr="002C73C9">
        <w:rPr>
          <w:rFonts w:ascii="Times New Roman" w:eastAsia="Times New Roman" w:hAnsi="Times New Roman" w:cs="Times New Roman"/>
          <w:sz w:val="24"/>
          <w:szCs w:val="24"/>
        </w:rPr>
        <w:t xml:space="preserve">, vol. 11, no. 2, Elsevier, Jan. 2025, p. e41874, </w:t>
      </w:r>
      <w:hyperlink r:id="rId9" w:history="1">
        <w:r w:rsidRPr="008B07B1">
          <w:rPr>
            <w:rStyle w:val="Hyperlink"/>
            <w:rFonts w:ascii="Times New Roman" w:eastAsia="Times New Roman" w:hAnsi="Times New Roman" w:cs="Times New Roman"/>
            <w:sz w:val="24"/>
            <w:szCs w:val="24"/>
          </w:rPr>
          <w:t>https://doi.org/10.1016/j.heliyon.2025.e41874</w:t>
        </w:r>
      </w:hyperlink>
      <w:r w:rsidRPr="002C73C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2E97B045" w14:textId="77777777" w:rsidR="002C73C9" w:rsidRDefault="002C73C9" w:rsidP="00930487">
      <w:pPr>
        <w:spacing w:after="0" w:line="480" w:lineRule="auto"/>
        <w:ind w:firstLine="720"/>
        <w:rPr>
          <w:rFonts w:ascii="Times New Roman" w:eastAsia="Times New Roman" w:hAnsi="Times New Roman" w:cs="Times New Roman"/>
          <w:sz w:val="24"/>
          <w:szCs w:val="24"/>
        </w:rPr>
      </w:pPr>
      <w:r w:rsidRPr="002C73C9">
        <w:rPr>
          <w:rFonts w:ascii="Times New Roman" w:eastAsia="Times New Roman" w:hAnsi="Times New Roman" w:cs="Times New Roman"/>
          <w:sz w:val="24"/>
          <w:szCs w:val="24"/>
        </w:rPr>
        <w:t>Dashti and Abdulsalam</w:t>
      </w:r>
      <w:r w:rsidR="00140806">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xml:space="preserve">s (2025) article, </w:t>
      </w:r>
      <w:r w:rsidR="00140806">
        <w:rPr>
          <w:rFonts w:ascii="Times New Roman" w:eastAsia="Times New Roman" w:hAnsi="Times New Roman" w:cs="Times New Roman"/>
          <w:sz w:val="24"/>
          <w:szCs w:val="24"/>
        </w:rPr>
        <w:t>"</w:t>
      </w:r>
      <w:r w:rsidRPr="00930487">
        <w:rPr>
          <w:rFonts w:ascii="Times New Roman" w:eastAsia="Times New Roman" w:hAnsi="Times New Roman" w:cs="Times New Roman"/>
          <w:iCs/>
          <w:sz w:val="24"/>
          <w:szCs w:val="24"/>
        </w:rPr>
        <w:t>The Influence of Social Media Applications on Learning English as a Second Language</w:t>
      </w:r>
      <w:r w:rsidR="00140806">
        <w:rPr>
          <w:rFonts w:ascii="Times New Roman" w:eastAsia="Times New Roman" w:hAnsi="Times New Roman" w:cs="Times New Roman"/>
          <w:iCs/>
          <w:sz w:val="24"/>
          <w:szCs w:val="24"/>
        </w:rPr>
        <w:t>,"</w:t>
      </w:r>
      <w:r w:rsidRPr="002C73C9">
        <w:rPr>
          <w:rFonts w:ascii="Times New Roman" w:eastAsia="Times New Roman" w:hAnsi="Times New Roman" w:cs="Times New Roman"/>
          <w:sz w:val="24"/>
          <w:szCs w:val="24"/>
        </w:rPr>
        <w:t xml:space="preserve"> investigates how social media usage impacts English language acquisition among high school students in Kuwait. The researchers used a mixed-methods approach, collecting data through questionnaires, interviews with teachers, and students</w:t>
      </w:r>
      <w:r w:rsidR="00140806">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xml:space="preserve"> </w:t>
      </w:r>
      <w:r w:rsidRPr="002C73C9">
        <w:rPr>
          <w:rFonts w:ascii="Times New Roman" w:eastAsia="Times New Roman" w:hAnsi="Times New Roman" w:cs="Times New Roman"/>
          <w:sz w:val="24"/>
          <w:szCs w:val="24"/>
        </w:rPr>
        <w:lastRenderedPageBreak/>
        <w:t>academic records to assess how platforms such as Instagram, TikTok, and YouTube influence English language skills</w:t>
      </w:r>
      <w:r w:rsidR="00930487">
        <w:rPr>
          <w:rFonts w:ascii="Times New Roman" w:eastAsia="Times New Roman" w:hAnsi="Times New Roman" w:cs="Times New Roman"/>
          <w:sz w:val="24"/>
          <w:szCs w:val="24"/>
        </w:rPr>
        <w:t xml:space="preserve"> </w:t>
      </w:r>
      <w:r w:rsidR="00930487" w:rsidRPr="00930487">
        <w:rPr>
          <w:rFonts w:ascii="Times New Roman" w:eastAsia="Times New Roman" w:hAnsi="Times New Roman" w:cs="Times New Roman"/>
          <w:sz w:val="24"/>
          <w:szCs w:val="24"/>
        </w:rPr>
        <w:t>(Dashti and Abdulsalam</w:t>
      </w:r>
      <w:r w:rsidR="00D8685F">
        <w:rPr>
          <w:rFonts w:ascii="Times New Roman" w:eastAsia="Times New Roman" w:hAnsi="Times New Roman" w:cs="Times New Roman"/>
          <w:sz w:val="24"/>
          <w:szCs w:val="24"/>
        </w:rPr>
        <w:t xml:space="preserve"> 1</w:t>
      </w:r>
      <w:r w:rsidR="00930487" w:rsidRPr="00930487">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Their findings indicate that students</w:t>
      </w:r>
      <w:r w:rsidR="00140806">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xml:space="preserve"> listening, reading, and speaking abilities improved through social media use during the COVID-19 pandemic when access to traditional classrooms was limited</w:t>
      </w:r>
      <w:r w:rsidR="00617538">
        <w:rPr>
          <w:rFonts w:ascii="Times New Roman" w:eastAsia="Times New Roman" w:hAnsi="Times New Roman" w:cs="Times New Roman"/>
          <w:sz w:val="24"/>
          <w:szCs w:val="24"/>
        </w:rPr>
        <w:t xml:space="preserve"> </w:t>
      </w:r>
      <w:r w:rsidR="00617538" w:rsidRPr="00930487">
        <w:rPr>
          <w:rFonts w:ascii="Times New Roman" w:eastAsia="Times New Roman" w:hAnsi="Times New Roman" w:cs="Times New Roman"/>
          <w:sz w:val="24"/>
          <w:szCs w:val="24"/>
        </w:rPr>
        <w:t>(Dashti and Abdulsalam</w:t>
      </w:r>
      <w:r w:rsidR="00617538">
        <w:rPr>
          <w:rFonts w:ascii="Times New Roman" w:eastAsia="Times New Roman" w:hAnsi="Times New Roman" w:cs="Times New Roman"/>
          <w:sz w:val="24"/>
          <w:szCs w:val="24"/>
        </w:rPr>
        <w:t xml:space="preserve"> 5-6</w:t>
      </w:r>
      <w:r w:rsidR="00617538" w:rsidRPr="00930487">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However, the study also revealed that writing skills did not show similar gains, likely due to the informal and often grammatically incorrect language used on these platforms</w:t>
      </w:r>
      <w:r w:rsidR="00930487">
        <w:rPr>
          <w:rFonts w:ascii="Times New Roman" w:eastAsia="Times New Roman" w:hAnsi="Times New Roman" w:cs="Times New Roman"/>
          <w:sz w:val="24"/>
          <w:szCs w:val="24"/>
        </w:rPr>
        <w:t xml:space="preserve"> </w:t>
      </w:r>
      <w:r w:rsidR="00930487" w:rsidRPr="00930487">
        <w:rPr>
          <w:rFonts w:ascii="Times New Roman" w:eastAsia="Times New Roman" w:hAnsi="Times New Roman" w:cs="Times New Roman"/>
          <w:sz w:val="24"/>
          <w:szCs w:val="24"/>
        </w:rPr>
        <w:t>(Dashti and Abdulsalam</w:t>
      </w:r>
      <w:r w:rsidR="00617538">
        <w:rPr>
          <w:rFonts w:ascii="Times New Roman" w:eastAsia="Times New Roman" w:hAnsi="Times New Roman" w:cs="Times New Roman"/>
          <w:sz w:val="24"/>
          <w:szCs w:val="24"/>
        </w:rPr>
        <w:t xml:space="preserve"> 10-11</w:t>
      </w:r>
      <w:r w:rsidR="00930487" w:rsidRPr="00930487">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xml:space="preserve">. </w:t>
      </w:r>
      <w:r w:rsidR="00930487" w:rsidRPr="002C73C9">
        <w:rPr>
          <w:rFonts w:ascii="Times New Roman" w:eastAsia="Times New Roman" w:hAnsi="Times New Roman" w:cs="Times New Roman"/>
          <w:sz w:val="24"/>
          <w:szCs w:val="24"/>
        </w:rPr>
        <w:t>T</w:t>
      </w:r>
      <w:r w:rsidRPr="002C73C9">
        <w:rPr>
          <w:rFonts w:ascii="Times New Roman" w:eastAsia="Times New Roman" w:hAnsi="Times New Roman" w:cs="Times New Roman"/>
          <w:sz w:val="24"/>
          <w:szCs w:val="24"/>
        </w:rPr>
        <w:t>he researchers concluded that social media can be a helpful tool in second language learning, provided its use is guided by qualified instructors and tailored to meet educational needs</w:t>
      </w:r>
      <w:r w:rsidR="00930487">
        <w:rPr>
          <w:rFonts w:ascii="Times New Roman" w:eastAsia="Times New Roman" w:hAnsi="Times New Roman" w:cs="Times New Roman"/>
          <w:sz w:val="24"/>
          <w:szCs w:val="24"/>
        </w:rPr>
        <w:t xml:space="preserve"> </w:t>
      </w:r>
      <w:r w:rsidR="00930487" w:rsidRPr="00930487">
        <w:rPr>
          <w:rFonts w:ascii="Times New Roman" w:eastAsia="Times New Roman" w:hAnsi="Times New Roman" w:cs="Times New Roman"/>
          <w:sz w:val="24"/>
          <w:szCs w:val="24"/>
        </w:rPr>
        <w:t>(Dashti and Abdulsalam</w:t>
      </w:r>
      <w:r w:rsidR="00617538">
        <w:rPr>
          <w:rFonts w:ascii="Times New Roman" w:eastAsia="Times New Roman" w:hAnsi="Times New Roman" w:cs="Times New Roman"/>
          <w:sz w:val="24"/>
          <w:szCs w:val="24"/>
        </w:rPr>
        <w:t xml:space="preserve"> 15</w:t>
      </w:r>
      <w:r w:rsidR="00930487" w:rsidRPr="00930487">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w:t>
      </w:r>
    </w:p>
    <w:p w14:paraId="0C521DB0" w14:textId="77777777" w:rsidR="00EE4D6D" w:rsidRDefault="002C73C9" w:rsidP="00930487">
      <w:pPr>
        <w:spacing w:after="0" w:line="480" w:lineRule="auto"/>
        <w:ind w:firstLine="720"/>
        <w:rPr>
          <w:rFonts w:ascii="Times New Roman" w:eastAsia="Times New Roman" w:hAnsi="Times New Roman" w:cs="Times New Roman"/>
          <w:sz w:val="24"/>
          <w:szCs w:val="24"/>
        </w:rPr>
      </w:pPr>
      <w:r w:rsidRPr="002C73C9">
        <w:rPr>
          <w:rFonts w:ascii="Times New Roman" w:eastAsia="Times New Roman" w:hAnsi="Times New Roman" w:cs="Times New Roman"/>
          <w:sz w:val="24"/>
          <w:szCs w:val="24"/>
        </w:rPr>
        <w:t xml:space="preserve">This article meets the C.R.A.A.P. test for evaluating source credibility. </w:t>
      </w:r>
      <w:r w:rsidR="00140806">
        <w:rPr>
          <w:rFonts w:ascii="Times New Roman" w:eastAsia="Times New Roman" w:hAnsi="Times New Roman" w:cs="Times New Roman"/>
          <w:sz w:val="24"/>
          <w:szCs w:val="24"/>
        </w:rPr>
        <w:t>The article was</w:t>
      </w:r>
      <w:r w:rsidRPr="002C73C9">
        <w:rPr>
          <w:rFonts w:ascii="Times New Roman" w:eastAsia="Times New Roman" w:hAnsi="Times New Roman" w:cs="Times New Roman"/>
          <w:sz w:val="24"/>
          <w:szCs w:val="24"/>
        </w:rPr>
        <w:t xml:space="preserve"> published in January 2025 in </w:t>
      </w:r>
      <w:proofErr w:type="spellStart"/>
      <w:r w:rsidRPr="002C73C9">
        <w:rPr>
          <w:rFonts w:ascii="Times New Roman" w:eastAsia="Times New Roman" w:hAnsi="Times New Roman" w:cs="Times New Roman"/>
          <w:i/>
          <w:iCs/>
          <w:sz w:val="24"/>
          <w:szCs w:val="24"/>
        </w:rPr>
        <w:t>Heliyon</w:t>
      </w:r>
      <w:proofErr w:type="spellEnd"/>
      <w:r w:rsidR="00140806">
        <w:rPr>
          <w:rFonts w:ascii="Times New Roman" w:eastAsia="Times New Roman" w:hAnsi="Times New Roman" w:cs="Times New Roman"/>
          <w:sz w:val="24"/>
          <w:szCs w:val="24"/>
        </w:rPr>
        <w:t xml:space="preserve"> which is a </w:t>
      </w:r>
      <w:r w:rsidRPr="002C73C9">
        <w:rPr>
          <w:rFonts w:ascii="Times New Roman" w:eastAsia="Times New Roman" w:hAnsi="Times New Roman" w:cs="Times New Roman"/>
          <w:sz w:val="24"/>
          <w:szCs w:val="24"/>
        </w:rPr>
        <w:t>reputable peer-reviewed journal managed by Elsevier, which ensures its academic rigor</w:t>
      </w:r>
      <w:r w:rsidR="00930487">
        <w:rPr>
          <w:rFonts w:ascii="Times New Roman" w:eastAsia="Times New Roman" w:hAnsi="Times New Roman" w:cs="Times New Roman"/>
          <w:sz w:val="24"/>
          <w:szCs w:val="24"/>
        </w:rPr>
        <w:t xml:space="preserve"> </w:t>
      </w:r>
      <w:r w:rsidR="00930487" w:rsidRPr="00930487">
        <w:rPr>
          <w:rFonts w:ascii="Times New Roman" w:eastAsia="Times New Roman" w:hAnsi="Times New Roman" w:cs="Times New Roman"/>
          <w:sz w:val="24"/>
          <w:szCs w:val="24"/>
        </w:rPr>
        <w:t>(Dashti and Abdulsalam</w:t>
      </w:r>
      <w:r w:rsidR="00617538">
        <w:rPr>
          <w:rFonts w:ascii="Times New Roman" w:eastAsia="Times New Roman" w:hAnsi="Times New Roman" w:cs="Times New Roman"/>
          <w:sz w:val="24"/>
          <w:szCs w:val="24"/>
        </w:rPr>
        <w:t xml:space="preserve"> 1</w:t>
      </w:r>
      <w:r w:rsidR="00930487" w:rsidRPr="00930487">
        <w:rPr>
          <w:rFonts w:ascii="Times New Roman" w:eastAsia="Times New Roman" w:hAnsi="Times New Roman" w:cs="Times New Roman"/>
          <w:sz w:val="24"/>
          <w:szCs w:val="24"/>
        </w:rPr>
        <w:t>)</w:t>
      </w:r>
      <w:r w:rsidRPr="002C73C9">
        <w:rPr>
          <w:rFonts w:ascii="Times New Roman" w:eastAsia="Times New Roman" w:hAnsi="Times New Roman" w:cs="Times New Roman"/>
          <w:sz w:val="24"/>
          <w:szCs w:val="24"/>
        </w:rPr>
        <w:t>. The research is relevant to studies on second language acquisition and educational technology, and the authors support their claims with both quantitative data (surveys, grades) and qualitative insights (teacher interviews)</w:t>
      </w:r>
      <w:r w:rsidR="00930487">
        <w:rPr>
          <w:rFonts w:ascii="Times New Roman" w:eastAsia="Times New Roman" w:hAnsi="Times New Roman" w:cs="Times New Roman"/>
          <w:sz w:val="24"/>
          <w:szCs w:val="24"/>
        </w:rPr>
        <w:t xml:space="preserve"> </w:t>
      </w:r>
      <w:r w:rsidR="00930487" w:rsidRPr="00930487">
        <w:rPr>
          <w:rFonts w:ascii="Times New Roman" w:eastAsia="Times New Roman" w:hAnsi="Times New Roman" w:cs="Times New Roman"/>
          <w:sz w:val="24"/>
          <w:szCs w:val="24"/>
        </w:rPr>
        <w:t>(Dashti and Abdulsalam)</w:t>
      </w:r>
      <w:r w:rsidRPr="002C73C9">
        <w:rPr>
          <w:rFonts w:ascii="Times New Roman" w:eastAsia="Times New Roman" w:hAnsi="Times New Roman" w:cs="Times New Roman"/>
          <w:sz w:val="24"/>
          <w:szCs w:val="24"/>
        </w:rPr>
        <w:t>. The authority of the researchers, both affiliated with educational institutions, adds to the credibility of the work. The content is accurate, grounded in existing literature, and avoids making exaggerated claims. The purpose is clearly educational, with no commercial bias. This source would be useful in an essay discussing the role of technology in modern education, the benefits and limitations of informal learning environments, or the integration of social media into curriculum development for ESL learners.</w:t>
      </w:r>
    </w:p>
    <w:p w14:paraId="45499B84" w14:textId="77777777" w:rsidR="00930487" w:rsidRPr="00930487" w:rsidRDefault="00930487" w:rsidP="00930487">
      <w:pPr>
        <w:spacing w:after="0" w:line="480" w:lineRule="auto"/>
        <w:ind w:firstLine="720"/>
        <w:rPr>
          <w:rFonts w:ascii="Times New Roman" w:eastAsia="Times New Roman" w:hAnsi="Times New Roman" w:cs="Times New Roman"/>
          <w:sz w:val="24"/>
          <w:szCs w:val="24"/>
        </w:rPr>
      </w:pPr>
    </w:p>
    <w:p w14:paraId="33DFE1BC" w14:textId="77777777" w:rsidR="00617538" w:rsidRDefault="00617538" w:rsidP="002C73C9">
      <w:pPr>
        <w:spacing w:after="0" w:line="480" w:lineRule="auto"/>
        <w:jc w:val="center"/>
        <w:rPr>
          <w:rFonts w:ascii="Times New Roman" w:hAnsi="Times New Roman" w:cs="Times New Roman"/>
          <w:b/>
          <w:sz w:val="24"/>
        </w:rPr>
      </w:pPr>
    </w:p>
    <w:p w14:paraId="2EE3A76A" w14:textId="77777777" w:rsidR="00D836A5" w:rsidRDefault="00D836A5" w:rsidP="002C73C9">
      <w:pPr>
        <w:spacing w:after="0" w:line="480" w:lineRule="auto"/>
        <w:jc w:val="center"/>
        <w:rPr>
          <w:rFonts w:ascii="Times New Roman" w:hAnsi="Times New Roman" w:cs="Times New Roman"/>
          <w:b/>
          <w:sz w:val="24"/>
        </w:rPr>
      </w:pPr>
    </w:p>
    <w:p w14:paraId="6E9A573C" w14:textId="77777777" w:rsidR="002C73C9" w:rsidRDefault="002C73C9" w:rsidP="002C73C9">
      <w:pPr>
        <w:spacing w:after="0" w:line="480" w:lineRule="auto"/>
        <w:jc w:val="center"/>
        <w:rPr>
          <w:rFonts w:ascii="Times New Roman" w:hAnsi="Times New Roman" w:cs="Times New Roman"/>
          <w:b/>
          <w:sz w:val="24"/>
        </w:rPr>
      </w:pPr>
      <w:r w:rsidRPr="002C73C9">
        <w:rPr>
          <w:rFonts w:ascii="Times New Roman" w:hAnsi="Times New Roman" w:cs="Times New Roman"/>
          <w:b/>
          <w:sz w:val="24"/>
        </w:rPr>
        <w:lastRenderedPageBreak/>
        <w:t>Works cited</w:t>
      </w:r>
    </w:p>
    <w:p w14:paraId="32118ECF" w14:textId="77777777" w:rsidR="00930487" w:rsidRPr="00930487" w:rsidRDefault="00930487" w:rsidP="00930487">
      <w:pPr>
        <w:spacing w:after="0" w:line="480" w:lineRule="auto"/>
        <w:ind w:left="720" w:hanging="720"/>
        <w:rPr>
          <w:rFonts w:ascii="Times New Roman" w:eastAsia="Times New Roman" w:hAnsi="Times New Roman" w:cs="Times New Roman"/>
          <w:sz w:val="24"/>
          <w:szCs w:val="24"/>
        </w:rPr>
      </w:pPr>
      <w:r w:rsidRPr="00930487">
        <w:rPr>
          <w:rFonts w:ascii="Times New Roman" w:eastAsia="Times New Roman" w:hAnsi="Times New Roman" w:cs="Times New Roman"/>
          <w:sz w:val="24"/>
          <w:szCs w:val="24"/>
        </w:rPr>
        <w:t xml:space="preserve">Alqahtani, Naji. </w:t>
      </w:r>
      <w:r w:rsidR="00140806">
        <w:rPr>
          <w:rFonts w:ascii="Times New Roman" w:eastAsia="Times New Roman" w:hAnsi="Times New Roman" w:cs="Times New Roman"/>
          <w:sz w:val="24"/>
          <w:szCs w:val="24"/>
        </w:rPr>
        <w:t>"</w:t>
      </w:r>
      <w:r w:rsidRPr="00930487">
        <w:rPr>
          <w:rFonts w:ascii="Times New Roman" w:eastAsia="Times New Roman" w:hAnsi="Times New Roman" w:cs="Times New Roman"/>
          <w:sz w:val="24"/>
          <w:szCs w:val="24"/>
        </w:rPr>
        <w:t xml:space="preserve">English </w:t>
      </w:r>
      <w:r w:rsidR="00140806" w:rsidRPr="00930487">
        <w:rPr>
          <w:rFonts w:ascii="Times New Roman" w:eastAsia="Times New Roman" w:hAnsi="Times New Roman" w:cs="Times New Roman"/>
          <w:sz w:val="24"/>
          <w:szCs w:val="24"/>
        </w:rPr>
        <w:t>language usage and academic achie</w:t>
      </w:r>
      <w:r w:rsidR="00140806">
        <w:rPr>
          <w:rFonts w:ascii="Times New Roman" w:eastAsia="Times New Roman" w:hAnsi="Times New Roman" w:cs="Times New Roman"/>
          <w:sz w:val="24"/>
          <w:szCs w:val="24"/>
        </w:rPr>
        <w:t>vement among nursing students: A</w:t>
      </w:r>
      <w:r w:rsidR="00140806" w:rsidRPr="00930487">
        <w:rPr>
          <w:rFonts w:ascii="Times New Roman" w:eastAsia="Times New Roman" w:hAnsi="Times New Roman" w:cs="Times New Roman"/>
          <w:sz w:val="24"/>
          <w:szCs w:val="24"/>
        </w:rPr>
        <w:t xml:space="preserve"> cross-sectional study</w:t>
      </w:r>
      <w:r w:rsidRPr="00930487">
        <w:rPr>
          <w:rFonts w:ascii="Times New Roman" w:eastAsia="Times New Roman" w:hAnsi="Times New Roman" w:cs="Times New Roman"/>
          <w:sz w:val="24"/>
          <w:szCs w:val="24"/>
        </w:rPr>
        <w:t>.</w:t>
      </w:r>
      <w:r w:rsidR="00140806">
        <w:rPr>
          <w:rFonts w:ascii="Times New Roman" w:eastAsia="Times New Roman" w:hAnsi="Times New Roman" w:cs="Times New Roman"/>
          <w:sz w:val="24"/>
          <w:szCs w:val="24"/>
        </w:rPr>
        <w:t>"</w:t>
      </w:r>
      <w:r w:rsidRPr="00930487">
        <w:rPr>
          <w:rFonts w:ascii="Times New Roman" w:eastAsia="Times New Roman" w:hAnsi="Times New Roman" w:cs="Times New Roman"/>
          <w:sz w:val="24"/>
          <w:szCs w:val="24"/>
        </w:rPr>
        <w:t xml:space="preserve"> </w:t>
      </w:r>
      <w:r w:rsidRPr="00930487">
        <w:rPr>
          <w:rFonts w:ascii="Times New Roman" w:eastAsia="Times New Roman" w:hAnsi="Times New Roman" w:cs="Times New Roman"/>
          <w:i/>
          <w:iCs/>
          <w:sz w:val="24"/>
          <w:szCs w:val="24"/>
        </w:rPr>
        <w:t>SAGE Open Nursing</w:t>
      </w:r>
      <w:r w:rsidRPr="00930487">
        <w:rPr>
          <w:rFonts w:ascii="Times New Roman" w:eastAsia="Times New Roman" w:hAnsi="Times New Roman" w:cs="Times New Roman"/>
          <w:sz w:val="24"/>
          <w:szCs w:val="24"/>
        </w:rPr>
        <w:t xml:space="preserve">, vol. 8, Jan. 2022, pp. 1–6, </w:t>
      </w:r>
      <w:hyperlink r:id="rId10" w:history="1">
        <w:r w:rsidRPr="008B07B1">
          <w:rPr>
            <w:rStyle w:val="Hyperlink"/>
            <w:rFonts w:ascii="Times New Roman" w:eastAsia="Times New Roman" w:hAnsi="Times New Roman" w:cs="Times New Roman"/>
            <w:sz w:val="24"/>
            <w:szCs w:val="24"/>
          </w:rPr>
          <w:t>https://doi.org/10.1177/23779608221109364</w:t>
        </w:r>
      </w:hyperlink>
      <w:r w:rsidRPr="0093048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66A07855" w14:textId="77777777" w:rsidR="00930487" w:rsidRPr="00930487" w:rsidRDefault="00930487" w:rsidP="00930487">
      <w:pPr>
        <w:spacing w:after="0" w:line="480" w:lineRule="auto"/>
        <w:ind w:left="720" w:hanging="720"/>
        <w:rPr>
          <w:rFonts w:ascii="Times New Roman" w:eastAsia="Times New Roman" w:hAnsi="Times New Roman" w:cs="Times New Roman"/>
          <w:sz w:val="24"/>
          <w:szCs w:val="24"/>
        </w:rPr>
      </w:pPr>
      <w:r w:rsidRPr="00930487">
        <w:rPr>
          <w:rFonts w:ascii="Times New Roman" w:eastAsia="Times New Roman" w:hAnsi="Times New Roman" w:cs="Times New Roman"/>
          <w:sz w:val="24"/>
          <w:szCs w:val="24"/>
        </w:rPr>
        <w:t xml:space="preserve">Chen, Feifei, and Rohaya Abdullah. </w:t>
      </w:r>
      <w:r w:rsidR="00140806">
        <w:rPr>
          <w:rFonts w:ascii="Times New Roman" w:eastAsia="Times New Roman" w:hAnsi="Times New Roman" w:cs="Times New Roman"/>
          <w:sz w:val="24"/>
          <w:szCs w:val="24"/>
        </w:rPr>
        <w:t>"</w:t>
      </w:r>
      <w:r w:rsidRPr="00930487">
        <w:rPr>
          <w:rFonts w:ascii="Times New Roman" w:eastAsia="Times New Roman" w:hAnsi="Times New Roman" w:cs="Times New Roman"/>
          <w:sz w:val="24"/>
          <w:szCs w:val="24"/>
        </w:rPr>
        <w:t xml:space="preserve">Scientific </w:t>
      </w:r>
      <w:r w:rsidR="00140806" w:rsidRPr="00930487">
        <w:rPr>
          <w:rFonts w:ascii="Times New Roman" w:eastAsia="Times New Roman" w:hAnsi="Times New Roman" w:cs="Times New Roman"/>
          <w:sz w:val="24"/>
          <w:szCs w:val="24"/>
        </w:rPr>
        <w:t xml:space="preserve">mapping of research on </w:t>
      </w:r>
      <w:r w:rsidR="00140806">
        <w:rPr>
          <w:rFonts w:ascii="Times New Roman" w:eastAsia="Times New Roman" w:hAnsi="Times New Roman" w:cs="Times New Roman"/>
          <w:sz w:val="24"/>
          <w:szCs w:val="24"/>
        </w:rPr>
        <w:t>E</w:t>
      </w:r>
      <w:r w:rsidR="00140806" w:rsidRPr="00930487">
        <w:rPr>
          <w:rFonts w:ascii="Times New Roman" w:eastAsia="Times New Roman" w:hAnsi="Times New Roman" w:cs="Times New Roman"/>
          <w:sz w:val="24"/>
          <w:szCs w:val="24"/>
        </w:rPr>
        <w:t>nglish as a foreign language (EFL) reading instruction: a thirty-year perspective</w:t>
      </w:r>
      <w:r w:rsidRPr="00930487">
        <w:rPr>
          <w:rFonts w:ascii="Times New Roman" w:eastAsia="Times New Roman" w:hAnsi="Times New Roman" w:cs="Times New Roman"/>
          <w:sz w:val="24"/>
          <w:szCs w:val="24"/>
        </w:rPr>
        <w:t>.</w:t>
      </w:r>
      <w:r w:rsidR="00140806">
        <w:rPr>
          <w:rFonts w:ascii="Times New Roman" w:eastAsia="Times New Roman" w:hAnsi="Times New Roman" w:cs="Times New Roman"/>
          <w:sz w:val="24"/>
          <w:szCs w:val="24"/>
        </w:rPr>
        <w:t>"</w:t>
      </w:r>
      <w:r w:rsidRPr="00930487">
        <w:rPr>
          <w:rFonts w:ascii="Times New Roman" w:eastAsia="Times New Roman" w:hAnsi="Times New Roman" w:cs="Times New Roman"/>
          <w:sz w:val="24"/>
          <w:szCs w:val="24"/>
        </w:rPr>
        <w:t xml:space="preserve"> </w:t>
      </w:r>
      <w:proofErr w:type="spellStart"/>
      <w:r w:rsidRPr="00930487">
        <w:rPr>
          <w:rFonts w:ascii="Times New Roman" w:eastAsia="Times New Roman" w:hAnsi="Times New Roman" w:cs="Times New Roman"/>
          <w:i/>
          <w:iCs/>
          <w:sz w:val="24"/>
          <w:szCs w:val="24"/>
        </w:rPr>
        <w:t>Heliyon</w:t>
      </w:r>
      <w:proofErr w:type="spellEnd"/>
      <w:r w:rsidRPr="00930487">
        <w:rPr>
          <w:rFonts w:ascii="Times New Roman" w:eastAsia="Times New Roman" w:hAnsi="Times New Roman" w:cs="Times New Roman"/>
          <w:i/>
          <w:iCs/>
          <w:sz w:val="24"/>
          <w:szCs w:val="24"/>
        </w:rPr>
        <w:t xml:space="preserve"> (Londen)</w:t>
      </w:r>
      <w:r w:rsidRPr="00930487">
        <w:rPr>
          <w:rFonts w:ascii="Times New Roman" w:eastAsia="Times New Roman" w:hAnsi="Times New Roman" w:cs="Times New Roman"/>
          <w:sz w:val="24"/>
          <w:szCs w:val="24"/>
        </w:rPr>
        <w:t xml:space="preserve">, vol. 10, no. 3, Elsevier BV, Feb. 2024, pp. 1–10, </w:t>
      </w:r>
      <w:hyperlink r:id="rId11" w:history="1">
        <w:r w:rsidRPr="008B07B1">
          <w:rPr>
            <w:rStyle w:val="Hyperlink"/>
            <w:rFonts w:ascii="Times New Roman" w:eastAsia="Times New Roman" w:hAnsi="Times New Roman" w:cs="Times New Roman"/>
            <w:sz w:val="24"/>
            <w:szCs w:val="24"/>
          </w:rPr>
          <w:t>https://doi.org/10.1016/j.heliyon.2024.e25217</w:t>
        </w:r>
      </w:hyperlink>
      <w:r>
        <w:rPr>
          <w:rFonts w:ascii="Times New Roman" w:eastAsia="Times New Roman" w:hAnsi="Times New Roman" w:cs="Times New Roman"/>
          <w:sz w:val="24"/>
          <w:szCs w:val="24"/>
        </w:rPr>
        <w:t xml:space="preserve">. </w:t>
      </w:r>
      <w:r w:rsidRPr="00930487">
        <w:rPr>
          <w:rFonts w:ascii="Times New Roman" w:eastAsia="Times New Roman" w:hAnsi="Times New Roman" w:cs="Times New Roman"/>
          <w:sz w:val="24"/>
          <w:szCs w:val="24"/>
        </w:rPr>
        <w:t>Accessed 8 Apr. 2024.</w:t>
      </w:r>
    </w:p>
    <w:p w14:paraId="35354C9E" w14:textId="77777777" w:rsidR="00930487" w:rsidRPr="00930487" w:rsidRDefault="00930487" w:rsidP="00930487">
      <w:pPr>
        <w:spacing w:after="0" w:line="480" w:lineRule="auto"/>
        <w:ind w:left="720" w:hanging="720"/>
        <w:rPr>
          <w:rFonts w:ascii="Times New Roman" w:eastAsia="Times New Roman" w:hAnsi="Times New Roman" w:cs="Times New Roman"/>
          <w:sz w:val="24"/>
          <w:szCs w:val="24"/>
        </w:rPr>
      </w:pPr>
      <w:r w:rsidRPr="00930487">
        <w:rPr>
          <w:rFonts w:ascii="Times New Roman" w:eastAsia="Times New Roman" w:hAnsi="Times New Roman" w:cs="Times New Roman"/>
          <w:sz w:val="24"/>
          <w:szCs w:val="24"/>
        </w:rPr>
        <w:t xml:space="preserve">Dashti, Fatma, and Hanady M. Abdulsalam. </w:t>
      </w:r>
      <w:r w:rsidR="00140806">
        <w:rPr>
          <w:rFonts w:ascii="Times New Roman" w:eastAsia="Times New Roman" w:hAnsi="Times New Roman" w:cs="Times New Roman"/>
          <w:sz w:val="24"/>
          <w:szCs w:val="24"/>
        </w:rPr>
        <w:t>"</w:t>
      </w:r>
      <w:r w:rsidRPr="00930487">
        <w:rPr>
          <w:rFonts w:ascii="Times New Roman" w:eastAsia="Times New Roman" w:hAnsi="Times New Roman" w:cs="Times New Roman"/>
          <w:sz w:val="24"/>
          <w:szCs w:val="24"/>
        </w:rPr>
        <w:t xml:space="preserve">The </w:t>
      </w:r>
      <w:r w:rsidR="00140806" w:rsidRPr="00930487">
        <w:rPr>
          <w:rFonts w:ascii="Times New Roman" w:eastAsia="Times New Roman" w:hAnsi="Times New Roman" w:cs="Times New Roman"/>
          <w:sz w:val="24"/>
          <w:szCs w:val="24"/>
        </w:rPr>
        <w:t xml:space="preserve">influence of social media applications on learning </w:t>
      </w:r>
      <w:r w:rsidR="00140806">
        <w:rPr>
          <w:rFonts w:ascii="Times New Roman" w:eastAsia="Times New Roman" w:hAnsi="Times New Roman" w:cs="Times New Roman"/>
          <w:sz w:val="24"/>
          <w:szCs w:val="24"/>
        </w:rPr>
        <w:t>E</w:t>
      </w:r>
      <w:r w:rsidR="00140806" w:rsidRPr="00930487">
        <w:rPr>
          <w:rFonts w:ascii="Times New Roman" w:eastAsia="Times New Roman" w:hAnsi="Times New Roman" w:cs="Times New Roman"/>
          <w:sz w:val="24"/>
          <w:szCs w:val="24"/>
        </w:rPr>
        <w:t>nglish as a second language</w:t>
      </w:r>
      <w:r w:rsidRPr="00930487">
        <w:rPr>
          <w:rFonts w:ascii="Times New Roman" w:eastAsia="Times New Roman" w:hAnsi="Times New Roman" w:cs="Times New Roman"/>
          <w:sz w:val="24"/>
          <w:szCs w:val="24"/>
        </w:rPr>
        <w:t>.</w:t>
      </w:r>
      <w:r w:rsidR="00140806">
        <w:rPr>
          <w:rFonts w:ascii="Times New Roman" w:eastAsia="Times New Roman" w:hAnsi="Times New Roman" w:cs="Times New Roman"/>
          <w:sz w:val="24"/>
          <w:szCs w:val="24"/>
        </w:rPr>
        <w:t>"</w:t>
      </w:r>
      <w:r w:rsidRPr="00930487">
        <w:rPr>
          <w:rFonts w:ascii="Times New Roman" w:eastAsia="Times New Roman" w:hAnsi="Times New Roman" w:cs="Times New Roman"/>
          <w:sz w:val="24"/>
          <w:szCs w:val="24"/>
        </w:rPr>
        <w:t xml:space="preserve"> </w:t>
      </w:r>
      <w:proofErr w:type="spellStart"/>
      <w:r w:rsidRPr="00930487">
        <w:rPr>
          <w:rFonts w:ascii="Times New Roman" w:eastAsia="Times New Roman" w:hAnsi="Times New Roman" w:cs="Times New Roman"/>
          <w:i/>
          <w:iCs/>
          <w:sz w:val="24"/>
          <w:szCs w:val="24"/>
        </w:rPr>
        <w:t>Heliyon</w:t>
      </w:r>
      <w:proofErr w:type="spellEnd"/>
      <w:r w:rsidRPr="00930487">
        <w:rPr>
          <w:rFonts w:ascii="Times New Roman" w:eastAsia="Times New Roman" w:hAnsi="Times New Roman" w:cs="Times New Roman"/>
          <w:sz w:val="24"/>
          <w:szCs w:val="24"/>
        </w:rPr>
        <w:t xml:space="preserve">, vol. 11, no. 2, Elsevier, Jan. 2025, pp. 1–16, </w:t>
      </w:r>
      <w:hyperlink r:id="rId12" w:history="1">
        <w:r w:rsidRPr="008B07B1">
          <w:rPr>
            <w:rStyle w:val="Hyperlink"/>
            <w:rFonts w:ascii="Times New Roman" w:eastAsia="Times New Roman" w:hAnsi="Times New Roman" w:cs="Times New Roman"/>
            <w:sz w:val="24"/>
            <w:szCs w:val="24"/>
          </w:rPr>
          <w:t>https://doi.org/10.1016/j.heliyon.2025.e41874</w:t>
        </w:r>
      </w:hyperlink>
      <w:r w:rsidRPr="0093048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8C906EA" w14:textId="77777777" w:rsidR="00930487" w:rsidRDefault="00930487" w:rsidP="00930487">
      <w:pPr>
        <w:spacing w:after="0" w:line="480" w:lineRule="auto"/>
        <w:rPr>
          <w:rFonts w:ascii="Times New Roman" w:hAnsi="Times New Roman" w:cs="Times New Roman"/>
          <w:b/>
          <w:sz w:val="24"/>
        </w:rPr>
      </w:pPr>
    </w:p>
    <w:p w14:paraId="331B1DB8" w14:textId="77777777" w:rsidR="002C73C9" w:rsidRPr="002C73C9" w:rsidRDefault="002C73C9" w:rsidP="002C73C9">
      <w:pPr>
        <w:spacing w:after="0" w:line="480" w:lineRule="auto"/>
        <w:rPr>
          <w:rFonts w:ascii="Times New Roman" w:hAnsi="Times New Roman" w:cs="Times New Roman"/>
          <w:b/>
          <w:sz w:val="24"/>
        </w:rPr>
      </w:pPr>
    </w:p>
    <w:sectPr w:rsidR="002C73C9" w:rsidRPr="002C73C9">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BA590" w14:textId="77777777" w:rsidR="006602F4" w:rsidRDefault="006602F4" w:rsidP="00837A9E">
      <w:pPr>
        <w:spacing w:after="0" w:line="240" w:lineRule="auto"/>
      </w:pPr>
      <w:r>
        <w:separator/>
      </w:r>
    </w:p>
  </w:endnote>
  <w:endnote w:type="continuationSeparator" w:id="0">
    <w:p w14:paraId="03E30A88" w14:textId="77777777" w:rsidR="006602F4" w:rsidRDefault="006602F4" w:rsidP="00837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ABA68" w14:textId="77777777" w:rsidR="006602F4" w:rsidRDefault="006602F4" w:rsidP="00837A9E">
      <w:pPr>
        <w:spacing w:after="0" w:line="240" w:lineRule="auto"/>
      </w:pPr>
      <w:r>
        <w:separator/>
      </w:r>
    </w:p>
  </w:footnote>
  <w:footnote w:type="continuationSeparator" w:id="0">
    <w:p w14:paraId="3ED4FC78" w14:textId="77777777" w:rsidR="006602F4" w:rsidRDefault="006602F4" w:rsidP="00837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rPr>
      <w:id w:val="93215096"/>
      <w:docPartObj>
        <w:docPartGallery w:val="Page Numbers (Top of Page)"/>
        <w:docPartUnique/>
      </w:docPartObj>
    </w:sdtPr>
    <w:sdtEndPr>
      <w:rPr>
        <w:noProof/>
      </w:rPr>
    </w:sdtEndPr>
    <w:sdtContent>
      <w:p w14:paraId="65D0B0A5" w14:textId="77777777" w:rsidR="00837A9E" w:rsidRPr="00837A9E" w:rsidRDefault="00837A9E">
        <w:pPr>
          <w:pStyle w:val="Header"/>
          <w:jc w:val="right"/>
          <w:rPr>
            <w:rFonts w:ascii="Times New Roman" w:hAnsi="Times New Roman" w:cs="Times New Roman"/>
            <w:sz w:val="24"/>
          </w:rPr>
        </w:pPr>
        <w:r w:rsidRPr="00837A9E">
          <w:rPr>
            <w:rFonts w:ascii="Times New Roman" w:hAnsi="Times New Roman" w:cs="Times New Roman"/>
            <w:sz w:val="24"/>
          </w:rPr>
          <w:t>Su</w:t>
        </w:r>
        <w:r>
          <w:rPr>
            <w:rFonts w:ascii="Times New Roman" w:hAnsi="Times New Roman" w:cs="Times New Roman"/>
            <w:sz w:val="24"/>
          </w:rPr>
          <w:t xml:space="preserve">rname </w:t>
        </w:r>
        <w:r w:rsidRPr="00837A9E">
          <w:rPr>
            <w:rFonts w:ascii="Times New Roman" w:hAnsi="Times New Roman" w:cs="Times New Roman"/>
            <w:sz w:val="24"/>
          </w:rPr>
          <w:fldChar w:fldCharType="begin"/>
        </w:r>
        <w:r w:rsidRPr="00837A9E">
          <w:rPr>
            <w:rFonts w:ascii="Times New Roman" w:hAnsi="Times New Roman" w:cs="Times New Roman"/>
            <w:sz w:val="24"/>
          </w:rPr>
          <w:instrText xml:space="preserve"> PAGE   \* MERGEFORMAT </w:instrText>
        </w:r>
        <w:r w:rsidRPr="00837A9E">
          <w:rPr>
            <w:rFonts w:ascii="Times New Roman" w:hAnsi="Times New Roman" w:cs="Times New Roman"/>
            <w:sz w:val="24"/>
          </w:rPr>
          <w:fldChar w:fldCharType="separate"/>
        </w:r>
        <w:r w:rsidR="00140806">
          <w:rPr>
            <w:rFonts w:ascii="Times New Roman" w:hAnsi="Times New Roman" w:cs="Times New Roman"/>
            <w:noProof/>
            <w:sz w:val="24"/>
          </w:rPr>
          <w:t>1</w:t>
        </w:r>
        <w:r w:rsidRPr="00837A9E">
          <w:rPr>
            <w:rFonts w:ascii="Times New Roman" w:hAnsi="Times New Roman" w:cs="Times New Roman"/>
            <w:noProof/>
            <w:sz w:val="24"/>
          </w:rPr>
          <w:fldChar w:fldCharType="end"/>
        </w:r>
      </w:p>
    </w:sdtContent>
  </w:sdt>
  <w:p w14:paraId="12158A14" w14:textId="77777777" w:rsidR="00837A9E" w:rsidRDefault="00837A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2021C"/>
    <w:multiLevelType w:val="multilevel"/>
    <w:tmpl w:val="586A4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15E64"/>
    <w:multiLevelType w:val="hybridMultilevel"/>
    <w:tmpl w:val="E7843BE0"/>
    <w:lvl w:ilvl="0" w:tplc="7362E3AC">
      <w:start w:val="1"/>
      <w:numFmt w:val="decimal"/>
      <w:lvlText w:val="%1."/>
      <w:lvlJc w:val="left"/>
      <w:pPr>
        <w:ind w:left="109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B1E4A7C">
      <w:numFmt w:val="bullet"/>
      <w:lvlText w:val="•"/>
      <w:lvlJc w:val="left"/>
      <w:pPr>
        <w:ind w:left="1926" w:hanging="360"/>
      </w:pPr>
      <w:rPr>
        <w:rFonts w:hint="default"/>
        <w:lang w:val="en-US" w:eastAsia="en-US" w:bidi="ar-SA"/>
      </w:rPr>
    </w:lvl>
    <w:lvl w:ilvl="2" w:tplc="E5FC88DA">
      <w:numFmt w:val="bullet"/>
      <w:lvlText w:val="•"/>
      <w:lvlJc w:val="left"/>
      <w:pPr>
        <w:ind w:left="2752" w:hanging="360"/>
      </w:pPr>
      <w:rPr>
        <w:rFonts w:hint="default"/>
        <w:lang w:val="en-US" w:eastAsia="en-US" w:bidi="ar-SA"/>
      </w:rPr>
    </w:lvl>
    <w:lvl w:ilvl="3" w:tplc="8CA28C78">
      <w:numFmt w:val="bullet"/>
      <w:lvlText w:val="•"/>
      <w:lvlJc w:val="left"/>
      <w:pPr>
        <w:ind w:left="3578" w:hanging="360"/>
      </w:pPr>
      <w:rPr>
        <w:rFonts w:hint="default"/>
        <w:lang w:val="en-US" w:eastAsia="en-US" w:bidi="ar-SA"/>
      </w:rPr>
    </w:lvl>
    <w:lvl w:ilvl="4" w:tplc="4EEC4E22">
      <w:numFmt w:val="bullet"/>
      <w:lvlText w:val="•"/>
      <w:lvlJc w:val="left"/>
      <w:pPr>
        <w:ind w:left="4404" w:hanging="360"/>
      </w:pPr>
      <w:rPr>
        <w:rFonts w:hint="default"/>
        <w:lang w:val="en-US" w:eastAsia="en-US" w:bidi="ar-SA"/>
      </w:rPr>
    </w:lvl>
    <w:lvl w:ilvl="5" w:tplc="CC78C182">
      <w:numFmt w:val="bullet"/>
      <w:lvlText w:val="•"/>
      <w:lvlJc w:val="left"/>
      <w:pPr>
        <w:ind w:left="5230" w:hanging="360"/>
      </w:pPr>
      <w:rPr>
        <w:rFonts w:hint="default"/>
        <w:lang w:val="en-US" w:eastAsia="en-US" w:bidi="ar-SA"/>
      </w:rPr>
    </w:lvl>
    <w:lvl w:ilvl="6" w:tplc="517A08CE">
      <w:numFmt w:val="bullet"/>
      <w:lvlText w:val="•"/>
      <w:lvlJc w:val="left"/>
      <w:pPr>
        <w:ind w:left="6056" w:hanging="360"/>
      </w:pPr>
      <w:rPr>
        <w:rFonts w:hint="default"/>
        <w:lang w:val="en-US" w:eastAsia="en-US" w:bidi="ar-SA"/>
      </w:rPr>
    </w:lvl>
    <w:lvl w:ilvl="7" w:tplc="303839B0">
      <w:numFmt w:val="bullet"/>
      <w:lvlText w:val="•"/>
      <w:lvlJc w:val="left"/>
      <w:pPr>
        <w:ind w:left="6882" w:hanging="360"/>
      </w:pPr>
      <w:rPr>
        <w:rFonts w:hint="default"/>
        <w:lang w:val="en-US" w:eastAsia="en-US" w:bidi="ar-SA"/>
      </w:rPr>
    </w:lvl>
    <w:lvl w:ilvl="8" w:tplc="8D883BC8">
      <w:numFmt w:val="bullet"/>
      <w:lvlText w:val="•"/>
      <w:lvlJc w:val="left"/>
      <w:pPr>
        <w:ind w:left="7708" w:hanging="360"/>
      </w:pPr>
      <w:rPr>
        <w:rFonts w:hint="default"/>
        <w:lang w:val="en-US" w:eastAsia="en-US" w:bidi="ar-SA"/>
      </w:rPr>
    </w:lvl>
  </w:abstractNum>
  <w:num w:numId="1" w16cid:durableId="1224218408">
    <w:abstractNumId w:val="0"/>
  </w:num>
  <w:num w:numId="2" w16cid:durableId="181407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QyNDI3NDYwNDA2tDRU0lEKTi0uzszPAykwqgUAvZWvTSwAAAA="/>
  </w:docVars>
  <w:rsids>
    <w:rsidRoot w:val="00D370B3"/>
    <w:rsid w:val="00075356"/>
    <w:rsid w:val="0007587B"/>
    <w:rsid w:val="00140806"/>
    <w:rsid w:val="002C73C9"/>
    <w:rsid w:val="003C64C5"/>
    <w:rsid w:val="004F3E22"/>
    <w:rsid w:val="005B02BF"/>
    <w:rsid w:val="00615734"/>
    <w:rsid w:val="00617538"/>
    <w:rsid w:val="006602F4"/>
    <w:rsid w:val="006D277B"/>
    <w:rsid w:val="00837A9E"/>
    <w:rsid w:val="008B7EAB"/>
    <w:rsid w:val="00930487"/>
    <w:rsid w:val="009D3BA5"/>
    <w:rsid w:val="00AE5D5B"/>
    <w:rsid w:val="00B06C67"/>
    <w:rsid w:val="00BC39DD"/>
    <w:rsid w:val="00D370B3"/>
    <w:rsid w:val="00D50EE0"/>
    <w:rsid w:val="00D836A5"/>
    <w:rsid w:val="00D8685F"/>
    <w:rsid w:val="00EE3E88"/>
    <w:rsid w:val="00EE4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107F9"/>
  <w15:docId w15:val="{477BBD92-7885-4EE3-BD69-9535704FA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370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70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70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0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70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70B3"/>
    <w:rPr>
      <w:rFonts w:ascii="Times New Roman" w:eastAsia="Times New Roman" w:hAnsi="Times New Roman" w:cs="Times New Roman"/>
      <w:b/>
      <w:bCs/>
      <w:sz w:val="27"/>
      <w:szCs w:val="27"/>
    </w:rPr>
  </w:style>
  <w:style w:type="character" w:customStyle="1" w:styleId="authors">
    <w:name w:val="authors"/>
    <w:basedOn w:val="DefaultParagraphFont"/>
    <w:rsid w:val="00D370B3"/>
  </w:style>
  <w:style w:type="character" w:styleId="Hyperlink">
    <w:name w:val="Hyperlink"/>
    <w:basedOn w:val="DefaultParagraphFont"/>
    <w:uiPriority w:val="99"/>
    <w:unhideWhenUsed/>
    <w:rsid w:val="00D370B3"/>
    <w:rPr>
      <w:color w:val="0000FF"/>
      <w:u w:val="single"/>
    </w:rPr>
  </w:style>
  <w:style w:type="character" w:customStyle="1" w:styleId="link-text">
    <w:name w:val="link-text"/>
    <w:basedOn w:val="DefaultParagraphFont"/>
    <w:rsid w:val="00D370B3"/>
  </w:style>
  <w:style w:type="paragraph" w:styleId="NormalWeb">
    <w:name w:val="Normal (Web)"/>
    <w:basedOn w:val="Normal"/>
    <w:uiPriority w:val="99"/>
    <w:semiHidden/>
    <w:unhideWhenUsed/>
    <w:rsid w:val="00D370B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D370B3"/>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370B3"/>
    <w:rPr>
      <w:rFonts w:ascii="Times New Roman" w:eastAsia="Times New Roman" w:hAnsi="Times New Roman" w:cs="Times New Roman"/>
      <w:sz w:val="24"/>
      <w:szCs w:val="24"/>
    </w:rPr>
  </w:style>
  <w:style w:type="paragraph" w:styleId="ListParagraph">
    <w:name w:val="List Paragraph"/>
    <w:basedOn w:val="Normal"/>
    <w:uiPriority w:val="1"/>
    <w:qFormat/>
    <w:rsid w:val="00D370B3"/>
    <w:pPr>
      <w:widowControl w:val="0"/>
      <w:autoSpaceDE w:val="0"/>
      <w:autoSpaceDN w:val="0"/>
      <w:spacing w:before="41" w:after="0" w:line="240" w:lineRule="auto"/>
      <w:ind w:left="1095" w:hanging="360"/>
    </w:pPr>
    <w:rPr>
      <w:rFonts w:ascii="Times New Roman" w:eastAsia="Times New Roman" w:hAnsi="Times New Roman" w:cs="Times New Roman"/>
    </w:rPr>
  </w:style>
  <w:style w:type="character" w:styleId="Emphasis">
    <w:name w:val="Emphasis"/>
    <w:basedOn w:val="DefaultParagraphFont"/>
    <w:uiPriority w:val="20"/>
    <w:qFormat/>
    <w:rsid w:val="00D370B3"/>
    <w:rPr>
      <w:i/>
      <w:iCs/>
    </w:rPr>
  </w:style>
  <w:style w:type="character" w:styleId="Strong">
    <w:name w:val="Strong"/>
    <w:basedOn w:val="DefaultParagraphFont"/>
    <w:uiPriority w:val="22"/>
    <w:qFormat/>
    <w:rsid w:val="002C73C9"/>
    <w:rPr>
      <w:b/>
      <w:bCs/>
    </w:rPr>
  </w:style>
  <w:style w:type="paragraph" w:styleId="Header">
    <w:name w:val="header"/>
    <w:basedOn w:val="Normal"/>
    <w:link w:val="HeaderChar"/>
    <w:uiPriority w:val="99"/>
    <w:unhideWhenUsed/>
    <w:rsid w:val="00837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7A9E"/>
  </w:style>
  <w:style w:type="paragraph" w:styleId="Footer">
    <w:name w:val="footer"/>
    <w:basedOn w:val="Normal"/>
    <w:link w:val="FooterChar"/>
    <w:uiPriority w:val="99"/>
    <w:unhideWhenUsed/>
    <w:rsid w:val="00837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7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86070">
      <w:bodyDiv w:val="1"/>
      <w:marLeft w:val="0"/>
      <w:marRight w:val="0"/>
      <w:marTop w:val="0"/>
      <w:marBottom w:val="0"/>
      <w:divBdr>
        <w:top w:val="none" w:sz="0" w:space="0" w:color="auto"/>
        <w:left w:val="none" w:sz="0" w:space="0" w:color="auto"/>
        <w:bottom w:val="none" w:sz="0" w:space="0" w:color="auto"/>
        <w:right w:val="none" w:sz="0" w:space="0" w:color="auto"/>
      </w:divBdr>
    </w:div>
    <w:div w:id="147406247">
      <w:bodyDiv w:val="1"/>
      <w:marLeft w:val="0"/>
      <w:marRight w:val="0"/>
      <w:marTop w:val="0"/>
      <w:marBottom w:val="0"/>
      <w:divBdr>
        <w:top w:val="none" w:sz="0" w:space="0" w:color="auto"/>
        <w:left w:val="none" w:sz="0" w:space="0" w:color="auto"/>
        <w:bottom w:val="none" w:sz="0" w:space="0" w:color="auto"/>
        <w:right w:val="none" w:sz="0" w:space="0" w:color="auto"/>
      </w:divBdr>
    </w:div>
    <w:div w:id="460617789">
      <w:bodyDiv w:val="1"/>
      <w:marLeft w:val="0"/>
      <w:marRight w:val="0"/>
      <w:marTop w:val="0"/>
      <w:marBottom w:val="0"/>
      <w:divBdr>
        <w:top w:val="none" w:sz="0" w:space="0" w:color="auto"/>
        <w:left w:val="none" w:sz="0" w:space="0" w:color="auto"/>
        <w:bottom w:val="none" w:sz="0" w:space="0" w:color="auto"/>
        <w:right w:val="none" w:sz="0" w:space="0" w:color="auto"/>
      </w:divBdr>
      <w:divsChild>
        <w:div w:id="1148016992">
          <w:marLeft w:val="0"/>
          <w:marRight w:val="0"/>
          <w:marTop w:val="0"/>
          <w:marBottom w:val="120"/>
          <w:divBdr>
            <w:top w:val="none" w:sz="0" w:space="0" w:color="auto"/>
            <w:left w:val="none" w:sz="0" w:space="0" w:color="auto"/>
            <w:bottom w:val="none" w:sz="0" w:space="0" w:color="auto"/>
            <w:right w:val="none" w:sz="0" w:space="0" w:color="auto"/>
          </w:divBdr>
        </w:div>
        <w:div w:id="1784155701">
          <w:marLeft w:val="0"/>
          <w:marRight w:val="0"/>
          <w:marTop w:val="0"/>
          <w:marBottom w:val="120"/>
          <w:divBdr>
            <w:top w:val="none" w:sz="0" w:space="0" w:color="auto"/>
            <w:left w:val="none" w:sz="0" w:space="0" w:color="auto"/>
            <w:bottom w:val="none" w:sz="0" w:space="0" w:color="auto"/>
            <w:right w:val="none" w:sz="0" w:space="0" w:color="auto"/>
          </w:divBdr>
        </w:div>
        <w:div w:id="632247799">
          <w:marLeft w:val="0"/>
          <w:marRight w:val="0"/>
          <w:marTop w:val="0"/>
          <w:marBottom w:val="120"/>
          <w:divBdr>
            <w:top w:val="none" w:sz="0" w:space="0" w:color="auto"/>
            <w:left w:val="none" w:sz="0" w:space="0" w:color="auto"/>
            <w:bottom w:val="none" w:sz="0" w:space="0" w:color="auto"/>
            <w:right w:val="none" w:sz="0" w:space="0" w:color="auto"/>
          </w:divBdr>
        </w:div>
        <w:div w:id="248463058">
          <w:marLeft w:val="0"/>
          <w:marRight w:val="0"/>
          <w:marTop w:val="0"/>
          <w:marBottom w:val="120"/>
          <w:divBdr>
            <w:top w:val="none" w:sz="0" w:space="0" w:color="auto"/>
            <w:left w:val="none" w:sz="0" w:space="0" w:color="auto"/>
            <w:bottom w:val="none" w:sz="0" w:space="0" w:color="auto"/>
            <w:right w:val="none" w:sz="0" w:space="0" w:color="auto"/>
          </w:divBdr>
        </w:div>
        <w:div w:id="150561405">
          <w:marLeft w:val="0"/>
          <w:marRight w:val="0"/>
          <w:marTop w:val="0"/>
          <w:marBottom w:val="120"/>
          <w:divBdr>
            <w:top w:val="none" w:sz="0" w:space="0" w:color="auto"/>
            <w:left w:val="none" w:sz="0" w:space="0" w:color="auto"/>
            <w:bottom w:val="none" w:sz="0" w:space="0" w:color="auto"/>
            <w:right w:val="none" w:sz="0" w:space="0" w:color="auto"/>
          </w:divBdr>
        </w:div>
        <w:div w:id="1796172528">
          <w:marLeft w:val="0"/>
          <w:marRight w:val="0"/>
          <w:marTop w:val="0"/>
          <w:marBottom w:val="240"/>
          <w:divBdr>
            <w:top w:val="none" w:sz="0" w:space="0" w:color="auto"/>
            <w:left w:val="none" w:sz="0" w:space="0" w:color="auto"/>
            <w:bottom w:val="none" w:sz="0" w:space="0" w:color="auto"/>
            <w:right w:val="none" w:sz="0" w:space="0" w:color="auto"/>
          </w:divBdr>
        </w:div>
        <w:div w:id="461921592">
          <w:marLeft w:val="0"/>
          <w:marRight w:val="0"/>
          <w:marTop w:val="0"/>
          <w:marBottom w:val="120"/>
          <w:divBdr>
            <w:top w:val="none" w:sz="0" w:space="0" w:color="auto"/>
            <w:left w:val="none" w:sz="0" w:space="0" w:color="auto"/>
            <w:bottom w:val="none" w:sz="0" w:space="0" w:color="auto"/>
            <w:right w:val="none" w:sz="0" w:space="0" w:color="auto"/>
          </w:divBdr>
        </w:div>
        <w:div w:id="1137837538">
          <w:marLeft w:val="0"/>
          <w:marRight w:val="0"/>
          <w:marTop w:val="0"/>
          <w:marBottom w:val="240"/>
          <w:divBdr>
            <w:top w:val="none" w:sz="0" w:space="0" w:color="auto"/>
            <w:left w:val="none" w:sz="0" w:space="0" w:color="auto"/>
            <w:bottom w:val="none" w:sz="0" w:space="0" w:color="auto"/>
            <w:right w:val="none" w:sz="0" w:space="0" w:color="auto"/>
          </w:divBdr>
        </w:div>
        <w:div w:id="690108727">
          <w:marLeft w:val="0"/>
          <w:marRight w:val="0"/>
          <w:marTop w:val="0"/>
          <w:marBottom w:val="240"/>
          <w:divBdr>
            <w:top w:val="none" w:sz="0" w:space="0" w:color="auto"/>
            <w:left w:val="none" w:sz="0" w:space="0" w:color="auto"/>
            <w:bottom w:val="none" w:sz="0" w:space="0" w:color="auto"/>
            <w:right w:val="none" w:sz="0" w:space="0" w:color="auto"/>
          </w:divBdr>
        </w:div>
      </w:divsChild>
    </w:div>
    <w:div w:id="852187425">
      <w:bodyDiv w:val="1"/>
      <w:marLeft w:val="0"/>
      <w:marRight w:val="0"/>
      <w:marTop w:val="0"/>
      <w:marBottom w:val="0"/>
      <w:divBdr>
        <w:top w:val="none" w:sz="0" w:space="0" w:color="auto"/>
        <w:left w:val="none" w:sz="0" w:space="0" w:color="auto"/>
        <w:bottom w:val="none" w:sz="0" w:space="0" w:color="auto"/>
        <w:right w:val="none" w:sz="0" w:space="0" w:color="auto"/>
      </w:divBdr>
    </w:div>
    <w:div w:id="940575749">
      <w:bodyDiv w:val="1"/>
      <w:marLeft w:val="0"/>
      <w:marRight w:val="0"/>
      <w:marTop w:val="0"/>
      <w:marBottom w:val="0"/>
      <w:divBdr>
        <w:top w:val="none" w:sz="0" w:space="0" w:color="auto"/>
        <w:left w:val="none" w:sz="0" w:space="0" w:color="auto"/>
        <w:bottom w:val="none" w:sz="0" w:space="0" w:color="auto"/>
        <w:right w:val="none" w:sz="0" w:space="0" w:color="auto"/>
      </w:divBdr>
      <w:divsChild>
        <w:div w:id="1095904777">
          <w:marLeft w:val="-720"/>
          <w:marRight w:val="0"/>
          <w:marTop w:val="0"/>
          <w:marBottom w:val="0"/>
          <w:divBdr>
            <w:top w:val="none" w:sz="0" w:space="0" w:color="auto"/>
            <w:left w:val="none" w:sz="0" w:space="0" w:color="auto"/>
            <w:bottom w:val="none" w:sz="0" w:space="0" w:color="auto"/>
            <w:right w:val="none" w:sz="0" w:space="0" w:color="auto"/>
          </w:divBdr>
        </w:div>
      </w:divsChild>
    </w:div>
    <w:div w:id="1067413536">
      <w:bodyDiv w:val="1"/>
      <w:marLeft w:val="0"/>
      <w:marRight w:val="0"/>
      <w:marTop w:val="0"/>
      <w:marBottom w:val="0"/>
      <w:divBdr>
        <w:top w:val="none" w:sz="0" w:space="0" w:color="auto"/>
        <w:left w:val="none" w:sz="0" w:space="0" w:color="auto"/>
        <w:bottom w:val="none" w:sz="0" w:space="0" w:color="auto"/>
        <w:right w:val="none" w:sz="0" w:space="0" w:color="auto"/>
      </w:divBdr>
      <w:divsChild>
        <w:div w:id="552347946">
          <w:marLeft w:val="-720"/>
          <w:marRight w:val="0"/>
          <w:marTop w:val="0"/>
          <w:marBottom w:val="0"/>
          <w:divBdr>
            <w:top w:val="none" w:sz="0" w:space="0" w:color="auto"/>
            <w:left w:val="none" w:sz="0" w:space="0" w:color="auto"/>
            <w:bottom w:val="none" w:sz="0" w:space="0" w:color="auto"/>
            <w:right w:val="none" w:sz="0" w:space="0" w:color="auto"/>
          </w:divBdr>
        </w:div>
      </w:divsChild>
    </w:div>
    <w:div w:id="1093820047">
      <w:bodyDiv w:val="1"/>
      <w:marLeft w:val="0"/>
      <w:marRight w:val="0"/>
      <w:marTop w:val="0"/>
      <w:marBottom w:val="0"/>
      <w:divBdr>
        <w:top w:val="none" w:sz="0" w:space="0" w:color="auto"/>
        <w:left w:val="none" w:sz="0" w:space="0" w:color="auto"/>
        <w:bottom w:val="none" w:sz="0" w:space="0" w:color="auto"/>
        <w:right w:val="none" w:sz="0" w:space="0" w:color="auto"/>
      </w:divBdr>
    </w:div>
    <w:div w:id="1112168869">
      <w:bodyDiv w:val="1"/>
      <w:marLeft w:val="0"/>
      <w:marRight w:val="0"/>
      <w:marTop w:val="0"/>
      <w:marBottom w:val="0"/>
      <w:divBdr>
        <w:top w:val="none" w:sz="0" w:space="0" w:color="auto"/>
        <w:left w:val="none" w:sz="0" w:space="0" w:color="auto"/>
        <w:bottom w:val="none" w:sz="0" w:space="0" w:color="auto"/>
        <w:right w:val="none" w:sz="0" w:space="0" w:color="auto"/>
      </w:divBdr>
    </w:div>
    <w:div w:id="1162240862">
      <w:bodyDiv w:val="1"/>
      <w:marLeft w:val="0"/>
      <w:marRight w:val="0"/>
      <w:marTop w:val="0"/>
      <w:marBottom w:val="0"/>
      <w:divBdr>
        <w:top w:val="none" w:sz="0" w:space="0" w:color="auto"/>
        <w:left w:val="none" w:sz="0" w:space="0" w:color="auto"/>
        <w:bottom w:val="none" w:sz="0" w:space="0" w:color="auto"/>
        <w:right w:val="none" w:sz="0" w:space="0" w:color="auto"/>
      </w:divBdr>
      <w:divsChild>
        <w:div w:id="2118517849">
          <w:marLeft w:val="-720"/>
          <w:marRight w:val="0"/>
          <w:marTop w:val="0"/>
          <w:marBottom w:val="0"/>
          <w:divBdr>
            <w:top w:val="none" w:sz="0" w:space="0" w:color="auto"/>
            <w:left w:val="none" w:sz="0" w:space="0" w:color="auto"/>
            <w:bottom w:val="none" w:sz="0" w:space="0" w:color="auto"/>
            <w:right w:val="none" w:sz="0" w:space="0" w:color="auto"/>
          </w:divBdr>
        </w:div>
      </w:divsChild>
    </w:div>
    <w:div w:id="1530753930">
      <w:bodyDiv w:val="1"/>
      <w:marLeft w:val="0"/>
      <w:marRight w:val="0"/>
      <w:marTop w:val="0"/>
      <w:marBottom w:val="0"/>
      <w:divBdr>
        <w:top w:val="none" w:sz="0" w:space="0" w:color="auto"/>
        <w:left w:val="none" w:sz="0" w:space="0" w:color="auto"/>
        <w:bottom w:val="none" w:sz="0" w:space="0" w:color="auto"/>
        <w:right w:val="none" w:sz="0" w:space="0" w:color="auto"/>
      </w:divBdr>
      <w:divsChild>
        <w:div w:id="2063361650">
          <w:marLeft w:val="-720"/>
          <w:marRight w:val="0"/>
          <w:marTop w:val="0"/>
          <w:marBottom w:val="0"/>
          <w:divBdr>
            <w:top w:val="none" w:sz="0" w:space="0" w:color="auto"/>
            <w:left w:val="none" w:sz="0" w:space="0" w:color="auto"/>
            <w:bottom w:val="none" w:sz="0" w:space="0" w:color="auto"/>
            <w:right w:val="none" w:sz="0" w:space="0" w:color="auto"/>
          </w:divBdr>
        </w:div>
      </w:divsChild>
    </w:div>
    <w:div w:id="1655260230">
      <w:bodyDiv w:val="1"/>
      <w:marLeft w:val="0"/>
      <w:marRight w:val="0"/>
      <w:marTop w:val="0"/>
      <w:marBottom w:val="0"/>
      <w:divBdr>
        <w:top w:val="none" w:sz="0" w:space="0" w:color="auto"/>
        <w:left w:val="none" w:sz="0" w:space="0" w:color="auto"/>
        <w:bottom w:val="none" w:sz="0" w:space="0" w:color="auto"/>
        <w:right w:val="none" w:sz="0" w:space="0" w:color="auto"/>
      </w:divBdr>
    </w:div>
    <w:div w:id="1784225480">
      <w:bodyDiv w:val="1"/>
      <w:marLeft w:val="0"/>
      <w:marRight w:val="0"/>
      <w:marTop w:val="0"/>
      <w:marBottom w:val="0"/>
      <w:divBdr>
        <w:top w:val="none" w:sz="0" w:space="0" w:color="auto"/>
        <w:left w:val="none" w:sz="0" w:space="0" w:color="auto"/>
        <w:bottom w:val="none" w:sz="0" w:space="0" w:color="auto"/>
        <w:right w:val="none" w:sz="0" w:space="0" w:color="auto"/>
      </w:divBdr>
      <w:divsChild>
        <w:div w:id="177740271">
          <w:marLeft w:val="-720"/>
          <w:marRight w:val="0"/>
          <w:marTop w:val="0"/>
          <w:marBottom w:val="0"/>
          <w:divBdr>
            <w:top w:val="none" w:sz="0" w:space="0" w:color="auto"/>
            <w:left w:val="none" w:sz="0" w:space="0" w:color="auto"/>
            <w:bottom w:val="none" w:sz="0" w:space="0" w:color="auto"/>
            <w:right w:val="none" w:sz="0" w:space="0" w:color="auto"/>
          </w:divBdr>
        </w:div>
      </w:divsChild>
    </w:div>
    <w:div w:id="1849829719">
      <w:bodyDiv w:val="1"/>
      <w:marLeft w:val="0"/>
      <w:marRight w:val="0"/>
      <w:marTop w:val="0"/>
      <w:marBottom w:val="0"/>
      <w:divBdr>
        <w:top w:val="none" w:sz="0" w:space="0" w:color="auto"/>
        <w:left w:val="none" w:sz="0" w:space="0" w:color="auto"/>
        <w:bottom w:val="none" w:sz="0" w:space="0" w:color="auto"/>
        <w:right w:val="none" w:sz="0" w:space="0" w:color="auto"/>
      </w:divBdr>
      <w:divsChild>
        <w:div w:id="237525144">
          <w:marLeft w:val="-720"/>
          <w:marRight w:val="0"/>
          <w:marTop w:val="0"/>
          <w:marBottom w:val="0"/>
          <w:divBdr>
            <w:top w:val="none" w:sz="0" w:space="0" w:color="auto"/>
            <w:left w:val="none" w:sz="0" w:space="0" w:color="auto"/>
            <w:bottom w:val="none" w:sz="0" w:space="0" w:color="auto"/>
            <w:right w:val="none" w:sz="0" w:space="0" w:color="auto"/>
          </w:divBdr>
        </w:div>
      </w:divsChild>
    </w:div>
    <w:div w:id="2050108464">
      <w:bodyDiv w:val="1"/>
      <w:marLeft w:val="0"/>
      <w:marRight w:val="0"/>
      <w:marTop w:val="0"/>
      <w:marBottom w:val="0"/>
      <w:divBdr>
        <w:top w:val="none" w:sz="0" w:space="0" w:color="auto"/>
        <w:left w:val="none" w:sz="0" w:space="0" w:color="auto"/>
        <w:bottom w:val="none" w:sz="0" w:space="0" w:color="auto"/>
        <w:right w:val="none" w:sz="0" w:space="0" w:color="auto"/>
      </w:divBdr>
      <w:divsChild>
        <w:div w:id="1010376562">
          <w:marLeft w:val="-720"/>
          <w:marRight w:val="0"/>
          <w:marTop w:val="0"/>
          <w:marBottom w:val="0"/>
          <w:divBdr>
            <w:top w:val="none" w:sz="0" w:space="0" w:color="auto"/>
            <w:left w:val="none" w:sz="0" w:space="0" w:color="auto"/>
            <w:bottom w:val="none" w:sz="0" w:space="0" w:color="auto"/>
            <w:right w:val="none" w:sz="0" w:space="0" w:color="auto"/>
          </w:divBdr>
        </w:div>
      </w:divsChild>
    </w:div>
    <w:div w:id="2068067105">
      <w:bodyDiv w:val="1"/>
      <w:marLeft w:val="0"/>
      <w:marRight w:val="0"/>
      <w:marTop w:val="0"/>
      <w:marBottom w:val="0"/>
      <w:divBdr>
        <w:top w:val="none" w:sz="0" w:space="0" w:color="auto"/>
        <w:left w:val="none" w:sz="0" w:space="0" w:color="auto"/>
        <w:bottom w:val="none" w:sz="0" w:space="0" w:color="auto"/>
        <w:right w:val="none" w:sz="0" w:space="0" w:color="auto"/>
      </w:divBdr>
      <w:divsChild>
        <w:div w:id="1516068301">
          <w:marLeft w:val="0"/>
          <w:marRight w:val="0"/>
          <w:marTop w:val="0"/>
          <w:marBottom w:val="0"/>
          <w:divBdr>
            <w:top w:val="none" w:sz="0" w:space="0" w:color="auto"/>
            <w:left w:val="none" w:sz="0" w:space="0" w:color="auto"/>
            <w:bottom w:val="none" w:sz="0" w:space="0" w:color="auto"/>
            <w:right w:val="none" w:sz="0" w:space="0" w:color="auto"/>
          </w:divBdr>
          <w:divsChild>
            <w:div w:id="336159620">
              <w:marLeft w:val="0"/>
              <w:marRight w:val="0"/>
              <w:marTop w:val="0"/>
              <w:marBottom w:val="0"/>
              <w:divBdr>
                <w:top w:val="none" w:sz="0" w:space="0" w:color="auto"/>
                <w:left w:val="none" w:sz="0" w:space="0" w:color="auto"/>
                <w:bottom w:val="none" w:sz="0" w:space="0" w:color="auto"/>
                <w:right w:val="none" w:sz="0" w:space="0" w:color="auto"/>
              </w:divBdr>
            </w:div>
            <w:div w:id="228543506">
              <w:marLeft w:val="0"/>
              <w:marRight w:val="0"/>
              <w:marTop w:val="0"/>
              <w:marBottom w:val="0"/>
              <w:divBdr>
                <w:top w:val="none" w:sz="0" w:space="0" w:color="auto"/>
                <w:left w:val="none" w:sz="0" w:space="0" w:color="auto"/>
                <w:bottom w:val="none" w:sz="0" w:space="0" w:color="auto"/>
                <w:right w:val="none" w:sz="0" w:space="0" w:color="auto"/>
              </w:divBdr>
              <w:divsChild>
                <w:div w:id="1990354681">
                  <w:marLeft w:val="0"/>
                  <w:marRight w:val="0"/>
                  <w:marTop w:val="0"/>
                  <w:marBottom w:val="0"/>
                  <w:divBdr>
                    <w:top w:val="none" w:sz="0" w:space="0" w:color="auto"/>
                    <w:left w:val="none" w:sz="0" w:space="0" w:color="auto"/>
                    <w:bottom w:val="none" w:sz="0" w:space="0" w:color="auto"/>
                    <w:right w:val="none" w:sz="0" w:space="0" w:color="auto"/>
                  </w:divBdr>
                </w:div>
                <w:div w:id="15515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8091">
          <w:marLeft w:val="0"/>
          <w:marRight w:val="0"/>
          <w:marTop w:val="0"/>
          <w:marBottom w:val="0"/>
          <w:divBdr>
            <w:top w:val="single" w:sz="6" w:space="0" w:color="CCCCCC"/>
            <w:left w:val="none" w:sz="0" w:space="0" w:color="auto"/>
            <w:bottom w:val="single" w:sz="6" w:space="0" w:color="CCCCCC"/>
            <w:right w:val="none" w:sz="0" w:space="0" w:color="auto"/>
          </w:divBdr>
          <w:divsChild>
            <w:div w:id="1765420458">
              <w:marLeft w:val="0"/>
              <w:marRight w:val="0"/>
              <w:marTop w:val="0"/>
              <w:marBottom w:val="0"/>
              <w:divBdr>
                <w:top w:val="single" w:sz="6" w:space="0" w:color="CCCCCC"/>
                <w:left w:val="single" w:sz="6" w:space="0" w:color="CCCCCC"/>
                <w:bottom w:val="single" w:sz="6" w:space="0" w:color="CCCCCC"/>
                <w:right w:val="single" w:sz="6" w:space="0" w:color="CCCCCC"/>
              </w:divBdr>
            </w:div>
            <w:div w:id="1701855578">
              <w:marLeft w:val="0"/>
              <w:marRight w:val="0"/>
              <w:marTop w:val="0"/>
              <w:marBottom w:val="0"/>
              <w:divBdr>
                <w:top w:val="none" w:sz="0" w:space="0" w:color="auto"/>
                <w:left w:val="none" w:sz="0" w:space="0" w:color="auto"/>
                <w:bottom w:val="none" w:sz="0" w:space="0" w:color="auto"/>
                <w:right w:val="none" w:sz="0" w:space="0" w:color="auto"/>
              </w:divBdr>
            </w:div>
          </w:divsChild>
        </w:div>
        <w:div w:id="1119446418">
          <w:marLeft w:val="0"/>
          <w:marRight w:val="0"/>
          <w:marTop w:val="0"/>
          <w:marBottom w:val="0"/>
          <w:divBdr>
            <w:top w:val="none" w:sz="0" w:space="0" w:color="auto"/>
            <w:left w:val="none" w:sz="0" w:space="0" w:color="auto"/>
            <w:bottom w:val="none" w:sz="0" w:space="0" w:color="auto"/>
            <w:right w:val="none" w:sz="0" w:space="0" w:color="auto"/>
          </w:divBdr>
          <w:divsChild>
            <w:div w:id="1159229029">
              <w:marLeft w:val="0"/>
              <w:marRight w:val="0"/>
              <w:marTop w:val="0"/>
              <w:marBottom w:val="0"/>
              <w:divBdr>
                <w:top w:val="none" w:sz="0" w:space="0" w:color="auto"/>
                <w:left w:val="none" w:sz="0" w:space="0" w:color="auto"/>
                <w:bottom w:val="single" w:sz="6" w:space="0" w:color="CCCCCC"/>
                <w:right w:val="none" w:sz="0" w:space="0" w:color="auto"/>
              </w:divBdr>
              <w:divsChild>
                <w:div w:id="1545562913">
                  <w:marLeft w:val="0"/>
                  <w:marRight w:val="0"/>
                  <w:marTop w:val="120"/>
                  <w:marBottom w:val="0"/>
                  <w:divBdr>
                    <w:top w:val="none" w:sz="0" w:space="0" w:color="auto"/>
                    <w:left w:val="none" w:sz="0" w:space="0" w:color="auto"/>
                    <w:bottom w:val="none" w:sz="0" w:space="0" w:color="auto"/>
                    <w:right w:val="none" w:sz="0" w:space="0" w:color="auto"/>
                  </w:divBdr>
                </w:div>
                <w:div w:id="1957130410">
                  <w:marLeft w:val="0"/>
                  <w:marRight w:val="0"/>
                  <w:marTop w:val="120"/>
                  <w:marBottom w:val="0"/>
                  <w:divBdr>
                    <w:top w:val="none" w:sz="0" w:space="0" w:color="auto"/>
                    <w:left w:val="none" w:sz="0" w:space="0" w:color="auto"/>
                    <w:bottom w:val="none" w:sz="0" w:space="0" w:color="auto"/>
                    <w:right w:val="none" w:sz="0" w:space="0" w:color="auto"/>
                  </w:divBdr>
                </w:div>
                <w:div w:id="1547793228">
                  <w:marLeft w:val="0"/>
                  <w:marRight w:val="0"/>
                  <w:marTop w:val="120"/>
                  <w:marBottom w:val="0"/>
                  <w:divBdr>
                    <w:top w:val="none" w:sz="0" w:space="0" w:color="auto"/>
                    <w:left w:val="none" w:sz="0" w:space="0" w:color="auto"/>
                    <w:bottom w:val="none" w:sz="0" w:space="0" w:color="auto"/>
                    <w:right w:val="none" w:sz="0" w:space="0" w:color="auto"/>
                  </w:divBdr>
                </w:div>
                <w:div w:id="1709990535">
                  <w:marLeft w:val="0"/>
                  <w:marRight w:val="0"/>
                  <w:marTop w:val="120"/>
                  <w:marBottom w:val="0"/>
                  <w:divBdr>
                    <w:top w:val="none" w:sz="0" w:space="0" w:color="auto"/>
                    <w:left w:val="none" w:sz="0" w:space="0" w:color="auto"/>
                    <w:bottom w:val="none" w:sz="0" w:space="0" w:color="auto"/>
                    <w:right w:val="none" w:sz="0" w:space="0" w:color="auto"/>
                  </w:divBdr>
                </w:div>
                <w:div w:id="184176875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79770985">
          <w:marLeft w:val="0"/>
          <w:marRight w:val="0"/>
          <w:marTop w:val="0"/>
          <w:marBottom w:val="0"/>
          <w:divBdr>
            <w:top w:val="none" w:sz="0" w:space="0" w:color="auto"/>
            <w:left w:val="none" w:sz="0" w:space="0" w:color="auto"/>
            <w:bottom w:val="none" w:sz="0" w:space="0" w:color="auto"/>
            <w:right w:val="none" w:sz="0" w:space="0" w:color="auto"/>
          </w:divBdr>
          <w:divsChild>
            <w:div w:id="996031544">
              <w:marLeft w:val="0"/>
              <w:marRight w:val="0"/>
              <w:marTop w:val="0"/>
              <w:marBottom w:val="120"/>
              <w:divBdr>
                <w:top w:val="none" w:sz="0" w:space="0" w:color="auto"/>
                <w:left w:val="none" w:sz="0" w:space="0" w:color="auto"/>
                <w:bottom w:val="none" w:sz="0" w:space="0" w:color="auto"/>
                <w:right w:val="none" w:sz="0" w:space="0" w:color="auto"/>
              </w:divBdr>
            </w:div>
            <w:div w:id="124191319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4.e25217"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177/23779608221109364" TargetMode="External"/><Relationship Id="rId12" Type="http://schemas.openxmlformats.org/officeDocument/2006/relationships/hyperlink" Target="https://doi.org/10.1016/j.heliyon.2025.e4187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heliyon.2024.e2521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177/23779608221109364" TargetMode="External"/><Relationship Id="rId4" Type="http://schemas.openxmlformats.org/officeDocument/2006/relationships/webSettings" Target="webSettings.xml"/><Relationship Id="rId9" Type="http://schemas.openxmlformats.org/officeDocument/2006/relationships/hyperlink" Target="https://doi.org/10.1016/j.heliyon.2025.e4187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1276</Words>
  <Characters>7277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Jennifer Mueke</cp:lastModifiedBy>
  <cp:revision>2</cp:revision>
  <dcterms:created xsi:type="dcterms:W3CDTF">2026-04-17T07:36:00Z</dcterms:created>
  <dcterms:modified xsi:type="dcterms:W3CDTF">2026-04-17T07:36:00Z</dcterms:modified>
</cp:coreProperties>
</file>