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[E121] Fuse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Replace the indicated fuse. The new fuse must have the same properties as that we removed.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Biztositek szereles.jpg" id="1" name="image1.jpg"/>
            <a:graphic>
              <a:graphicData uri="http://schemas.openxmlformats.org/drawingml/2006/picture">
                <pic:pic>
                  <pic:nvPicPr>
                    <pic:cNvPr descr="Biztositek szerele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