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footnotes.xml" ContentType="application/vnd.openxmlformats-officedocument.wordprocessingml.footnote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1"/>
        <w:ind w:hanging="202" w:left="202" w:right="0"/>
      </w:pPr>
      <w:r>
        <w:rPr>
          <w:rStyle w:val="style25"/>
        </w:rPr>
        <w:footnoteReference w:customMarkFollows="1" w:id="2"/>
        <w:t></w:t>
      </w:r>
    </w:p>
    <w:p>
      <w:pPr>
        <w:pStyle w:val="style50"/>
      </w:pPr>
      <w:r>
        <w:rPr/>
        <w:t>Resumen</w:t>
      </w:r>
    </w:p>
    <w:p>
      <w:pPr>
        <w:pStyle w:val="style33"/>
      </w:pPr>
      <w:r>
        <w:rPr>
          <w:lang w:val="es-ES"/>
        </w:rPr>
        <w:t>El artículo debe comenzar con un resumen corto de 150 palabras como máximo. Los propósitos del resumen son: dar una indicación clara del objetivo, alcance, y resultados del artículo. El resumen ayuda al lector a determinar si el texto completo es de su interés particular. El resumen debe intentar condensar el tema completo en pocas palabras, y se recomienda no citar referencias. Use letra Times New Roman, tamaño 9.</w:t>
      </w:r>
    </w:p>
    <w:p>
      <w:pPr>
        <w:pStyle w:val="style0"/>
      </w:pPr>
      <w:r>
        <w:rPr>
          <w:lang w:val="es-ES"/>
        </w:rPr>
      </w:r>
    </w:p>
    <w:p>
      <w:pPr>
        <w:pStyle w:val="style39"/>
      </w:pPr>
      <w:bookmarkStart w:id="0" w:name="PointTmp"/>
      <w:bookmarkEnd w:id="0"/>
      <w:r>
        <w:rPr>
          <w:i/>
          <w:iCs/>
          <w:lang w:val="es-ES"/>
        </w:rPr>
        <w:t>Palabras Clave</w:t>
      </w:r>
      <w:r>
        <w:rPr>
          <w:lang w:val="es-ES"/>
        </w:rPr>
        <w:t>—Son unas cuatro palabras o frases pequeñas, en orden alfabético, separadas por comas. Estas palabras ayudan a identificar el artículo para los procesos de clasificación y búsqueda.</w:t>
      </w:r>
    </w:p>
    <w:p>
      <w:pPr>
        <w:pStyle w:val="style0"/>
      </w:pPr>
      <w:r>
        <w:rPr>
          <w:lang w:val="es-ES"/>
        </w:rPr>
      </w:r>
    </w:p>
    <w:p>
      <w:pPr>
        <w:pStyle w:val="style1"/>
        <w:numPr>
          <w:ilvl w:val="0"/>
          <w:numId w:val="1"/>
        </w:numPr>
        <w:jc w:val="center"/>
        <w:keepNext/>
        <w:spacing w:after="80" w:before="240"/>
      </w:pPr>
      <w:bookmarkStart w:id="1" w:name="PointTmp"/>
      <w:bookmarkEnd w:id="1"/>
      <w:r>
        <w:rPr>
          <w:lang w:val="es-ES"/>
        </w:rPr>
        <w:t>I</w:t>
      </w:r>
      <w:r>
        <w:rPr>
          <w:sz w:val="16"/>
          <w:szCs w:val="16"/>
          <w:lang w:val="es-ES"/>
        </w:rPr>
        <w:t>NTRODUCCIÓN</w:t>
      </w:r>
    </w:p>
    <w:p>
      <w:pPr>
        <w:pStyle w:val="style41"/>
        <w:ind w:hanging="0" w:left="0" w:right="0"/>
      </w:pPr>
      <w:r>
        <w:rPr>
          <w:szCs w:val="56"/>
          <w:lang w:val="es-ES"/>
        </w:rPr>
        <w:t>E</w:t>
      </w:r>
      <w:r>
        <w:rPr>
          <w:lang w:val="es-ES"/>
        </w:rPr>
        <w:t>ste documento es una plantilla para Microsoft Office versiones 98 o posterior. Si desea usar otro editor de texto, lea este documento y siga las instrucciones. No borre la primera línea en blanco (arriba del Resumen); esta línea pone la nota al pie de esta página.</w:t>
      </w:r>
    </w:p>
    <w:p>
      <w:pPr>
        <w:pStyle w:val="style41"/>
        <w:ind w:hanging="0" w:left="0" w:right="0"/>
      </w:pPr>
      <w:r>
        <w:rPr>
          <w:lang w:val="es-ES"/>
        </w:rPr>
      </w:r>
    </w:p>
    <w:p>
      <w:pPr>
        <w:pStyle w:val="style41"/>
      </w:pPr>
      <w:r>
        <w:rPr>
          <w:lang w:val="es-ES"/>
        </w:rPr>
        <w:t>El título del artículo debe escribirse en letras mayúsculas y minúsculas, no todo en mayúsculas. Evite la escritura de títulos largos para los artículos. El texto se debe escribir en hoja tamaño carta, utilizando letra tipo Times New Roman, tamaño 10, a espacio sencillo, justificado en dos columnas. La primera línea de cada párrafo debe tener una sangría de 0,25 cm.</w:t>
      </w:r>
    </w:p>
    <w:p>
      <w:pPr>
        <w:pStyle w:val="style41"/>
      </w:pPr>
      <w:r>
        <w:rPr>
          <w:lang w:val="es-ES"/>
        </w:rPr>
      </w:r>
    </w:p>
    <w:p>
      <w:pPr>
        <w:pStyle w:val="style41"/>
      </w:pPr>
      <w:r>
        <w:rPr>
          <w:lang w:val="es-ES"/>
        </w:rPr>
        <w:t xml:space="preserve">Cuando abra el archivo “formatoenid2011.doc”, seleccione “Diseño de impresión” en el menú “Ver o Vista” en la barra de menús, que le permite observar las notas a pie de página. Luego, escriba sobre las diferentes secciones del archivo, o corte y pegue texto de otro documento y use los estilos del documento “formatoenid2011.doc”. </w:t>
      </w:r>
      <w:r>
        <w:rPr>
          <w:i/>
          <w:iCs/>
          <w:lang w:val="es-ES"/>
        </w:rPr>
        <w:t>No cambie el tamaño de las fuentes o el espaciamiento entre líneas para disminuir el número de páginas del texto</w:t>
      </w:r>
      <w:r>
        <w:rPr>
          <w:lang w:val="es-ES"/>
        </w:rPr>
        <w:t>. Use letra itálica para mostrar énfasis; no use subrayado. Asegúrese de que su artículo no sobrepase el número máximo de páginas establecido.</w:t>
      </w:r>
    </w:p>
    <w:p>
      <w:pPr>
        <w:pStyle w:val="style41"/>
      </w:pPr>
      <w:r>
        <w:rPr>
          <w:lang w:val="es-ES"/>
        </w:rPr>
      </w:r>
    </w:p>
    <w:p>
      <w:pPr>
        <w:pStyle w:val="style1"/>
        <w:numPr>
          <w:ilvl w:val="0"/>
          <w:numId w:val="1"/>
        </w:numPr>
        <w:jc w:val="center"/>
        <w:keepNext/>
        <w:spacing w:after="80" w:before="240"/>
      </w:pPr>
      <w:r>
        <w:rPr>
          <w:lang w:val="es-ES"/>
        </w:rPr>
        <w:t>Unidades</w:t>
      </w:r>
    </w:p>
    <w:p>
      <w:pPr>
        <w:pStyle w:val="style41"/>
      </w:pPr>
      <w:r>
        <w:rPr>
          <w:lang w:val="es-ES"/>
        </w:rPr>
        <w:t>Use SI (MKS) como su sistema principal de unidades. Las unidades inglesas pueden ser usadas como unidades secundarias (en paréntesis). Por ejemplo, escriba “200 GPa (29*10</w:t>
      </w:r>
      <w:r>
        <w:rPr>
          <w:lang w:val="es-ES"/>
        </w:rPr>
        <w:t>6</w:t>
      </w:r>
      <w:r>
        <w:rPr>
          <w:lang w:val="es-ES"/>
        </w:rPr>
        <w:t xml:space="preserve"> psi)”. Hay casos excepcionales, como aquellos en los que las unidades inglesas se usan como identificadores tradicionales, por ejemplo en “unidad de disco de 3½ pulgadas”. Evite combinar unidades de los sistemas SI y CGS, como distancias en metros y fuerza en dinas. Esto puede conducir a confusiones, ya que las ecuaciones no estarán balanceadas dimensionalmente. Si debe usar unidades combinadas, especifique claramente las unidades para cada cantidad en las ecuaciones. Use un punto central para separar las unidades compuestas, como en “N·m”.</w:t>
      </w:r>
    </w:p>
    <w:p>
      <w:pPr>
        <w:pStyle w:val="style41"/>
      </w:pPr>
      <w:r>
        <w:rPr>
          <w:lang w:val="es-ES"/>
        </w:rPr>
      </w:r>
    </w:p>
    <w:p>
      <w:pPr>
        <w:pStyle w:val="style1"/>
        <w:numPr>
          <w:ilvl w:val="0"/>
          <w:numId w:val="1"/>
        </w:numPr>
        <w:jc w:val="center"/>
        <w:keepNext/>
        <w:spacing w:after="80" w:before="240"/>
      </w:pPr>
      <w:r>
        <w:rPr>
          <w:lang w:val="es-ES"/>
        </w:rPr>
        <w:t>Consejos útiles</w:t>
      </w:r>
    </w:p>
    <w:p>
      <w:pPr>
        <w:pStyle w:val="style2"/>
        <w:numPr>
          <w:ilvl w:val="1"/>
          <w:numId w:val="1"/>
        </w:numPr>
        <w:ind w:hanging="0" w:left="144" w:right="0"/>
      </w:pPr>
      <w:r>
        <w:rPr>
          <w:lang w:val="es-ES"/>
        </w:rPr>
        <w:t>Figuras y Tablas</w:t>
      </w:r>
    </w:p>
    <w:p>
      <w:pPr>
        <w:pStyle w:val="style41"/>
      </w:pPr>
      <w:r>
        <w:rPr>
          <w:lang w:val="es-ES"/>
        </w:rPr>
        <w:t xml:space="preserve">Las figuras y tablas grandes pueden ocupar ambas columnas. Coloque títulos (epígrafes) para las figuras bajo ellas, y títulos de tablas sobre ellas. Si su figura tiene dos partes, incluya las etiquetas “(a)” y “(b)” como parte de la figura. Verifique que las figuras y las tablas que mencione en el artículo existan dentro del mismo. </w:t>
      </w:r>
      <w:r>
        <w:rPr>
          <w:i/>
          <w:iCs/>
          <w:lang w:val="es-ES"/>
        </w:rPr>
        <w:t>No incluya los títulos de las figuras como parte de las mismas. No incluya los títulos de las figuras dentro de cajas de texto. No agregue bordes alrededor de las figuras.</w:t>
      </w:r>
      <w:r>
        <w:rPr>
          <w:lang w:val="es-ES"/>
        </w:rPr>
        <w:t xml:space="preserve"> Use la abreviación “Fig.” siempre que mencione una figura, como en la Fig.1. No use abreviaturas para “Tabla”.</w:t>
      </w:r>
    </w:p>
    <w:p>
      <w:pPr>
        <w:pStyle w:val="style41"/>
      </w:pPr>
      <w:r>
        <w:rPr>
          <w:lang w:val="es-ES"/>
        </w:rPr>
      </w:r>
    </w:p>
    <w:p>
      <w:pPr>
        <w:pStyle w:val="style41"/>
      </w:pPr>
      <w:r>
        <w:rPr>
          <w:lang w:val="es-ES"/>
        </w:rPr>
        <w:t xml:space="preserve">Los ejes de las figuras son muchas veces una fuente de confusión. Se sugiere que use palabras, en lugar de símbolos. Por ejemplo, escriba “Magnetización” o “Magnetización </w:t>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4279777866" style="position:absolute;margin-left:0pt;margin-top:0pt;width:5.2pt;height:5.95pt" type="shapetype_75">
            <w10:wrap w10:type="none"/>
            <v:fill detectmouseclick="t"/>
            <v:stroke color="black" joinstyle="round"/>
          </v:shape>
        </w:pict>
      </w:r>
      <w:r>
        <w:rPr>
          <w:i/>
          <w:iCs/>
          <w:lang w:val="es-ES"/>
        </w:rPr>
        <w:t>M</w:t>
      </w:r>
      <w:r>
        <w:rPr>
          <w:lang w:val="es-ES"/>
        </w:rPr>
        <w:t>”, no solo “</w:t>
      </w:r>
      <w:r>
        <w:rPr>
          <w:i/>
          <w:iCs/>
          <w:lang w:val="es-ES"/>
        </w:rPr>
        <w:t>M</w:t>
      </w:r>
      <w:r>
        <w:rPr>
          <w:lang w:val="es-ES"/>
        </w:rPr>
        <w:t>”. Coloque las unidades entre paréntesis. No ponga únicamente las unidades junto a un eje. Siga el ejemplo de la Fig. 1; por ejemplo, escriba “Magnetización (A/m)” o “Magnetización (Am</w:t>
      </w:r>
      <w:r>
        <w:rPr>
          <w:rFonts w:ascii="Symbol" w:hAnsi="Symbol"/>
          <w:lang w:val="es-ES"/>
        </w:rPr>
        <w:t></w:t>
      </w:r>
      <w:r>
        <w:rPr>
          <w:lang w:val="es-ES"/>
        </w:rPr>
        <w:t>1</w:t>
      </w:r>
      <w:r>
        <w:rPr>
          <w:lang w:val="es-ES"/>
        </w:rPr>
        <w:t>)”, no solo “A/m”.</w:t>
      </w:r>
    </w:p>
    <w:p>
      <w:pPr>
        <w:pStyle w:val="style41"/>
        <w:jc w:val="center"/>
        <w:ind w:hanging="0" w:left="0" w:right="0"/>
      </w:pPr>
      <w:r>
        <w:rPr>
          <w:lang w:val="es-ES"/>
        </w:rPr>
      </w:r>
    </w:p>
    <w:p>
      <w:pPr>
        <w:pStyle w:val="style48"/>
        <w:jc w:val="both"/>
      </w:pPr>
      <w:r>
        <w:rPr>
          <w:lang w:val="es-ES"/>
        </w:rPr>
        <w:t>Fig. 1. Magnetización como función del campo aplicado. Note que se usa la abreviatura “Fig.”. Se escribe un punto después del  número de la figura. Es recomendable explicar brevemente el contenido de la figura en su  epígrafe. El tamaño de letra es de 8 puntos.</w:t>
      </w:r>
    </w:p>
    <w:p>
      <w:pPr>
        <w:pStyle w:val="style41"/>
      </w:pPr>
      <w:r>
        <w:rPr>
          <w:lang w:val="es-ES"/>
        </w:rPr>
      </w:r>
    </w:p>
    <w:p>
      <w:pPr>
        <w:pStyle w:val="style41"/>
      </w:pPr>
      <w:r>
        <w:rPr>
          <w:lang w:val="es-ES"/>
        </w:rPr>
        <w:t>Los multiplicadores pueden ser especialmente confusos. Escriba “Magnetización (kA/m)” o “Magnetización (10</w:t>
      </w:r>
      <w:r>
        <w:rPr>
          <w:lang w:val="es-ES"/>
        </w:rPr>
        <w:t>3</w:t>
      </w:r>
      <w:r>
        <w:rPr>
          <w:lang w:val="es-ES"/>
        </w:rPr>
        <w:t xml:space="preserve"> A/m)”. No escriba “Magnetización (A/m) </w:t>
      </w:r>
      <w:r>
        <w:rPr>
          <w:rFonts w:ascii="Symbol" w:hAnsi="Symbol"/>
          <w:lang w:val="es-ES"/>
        </w:rPr>
        <w:t></w:t>
      </w:r>
      <w:r>
        <w:rPr>
          <w:lang w:val="es-ES"/>
        </w:rPr>
        <w:t xml:space="preserve"> 1000” porque de esa forma el lector no entenderá si la etiqueta del eje vertical de la Fig. 1 significa 16000 A/m o 0.016 A/m.</w:t>
      </w:r>
    </w:p>
    <w:p>
      <w:pPr>
        <w:pStyle w:val="style41"/>
      </w:pPr>
      <w:r>
        <w:rPr>
          <w:lang w:val="es-ES"/>
        </w:rPr>
      </w:r>
    </w:p>
    <w:p>
      <w:pPr>
        <w:pStyle w:val="style2"/>
        <w:numPr>
          <w:ilvl w:val="1"/>
          <w:numId w:val="1"/>
        </w:numPr>
        <w:ind w:hanging="0" w:left="144" w:right="0"/>
      </w:pPr>
      <w:r>
        <w:rPr>
          <w:lang w:val="es-ES"/>
        </w:rPr>
        <w:t>Ecuaciones</w:t>
      </w:r>
    </w:p>
    <w:p>
      <w:pPr>
        <w:pStyle w:val="style41"/>
      </w:pPr>
      <w:r>
        <w:rPr>
          <w:lang w:val="es-ES"/>
        </w:rPr>
        <w:t>Numere las ecuaciones consecutivamente, con los números de las ecuaciones en paréntesis alineados con el margen derecho, como en (1). Para ello puede usar el estilo “Ecuación”. Presione la tecla Tab y escriba el número de la ecuación entre paréntesis. Use paréntesis para evitar ambigüedades en las expresiones. Escriba signos de puntuación apropiados luego de las ecuaciones cuando son parte de una frase, como en</w:t>
      </w:r>
    </w:p>
    <w:p>
      <w:pPr>
        <w:pStyle w:val="style46"/>
      </w:pPr>
      <w:r>
        <w:rPr>
          <w:lang w:val="es-ES"/>
        </w:rPr>
        <w:tab/>
        <w:t>(1)</w:t>
        <w:pict>
          <v:shape id="shape_4279777867" style="position:absolute;margin-left:0pt;margin-top:0pt;width:224.95pt;height:45.7pt" type="shapetype_75">
            <w10:wrap w10:type="none"/>
            <v:fill detectmouseclick="t"/>
            <v:stroke color="black" joinstyle="round"/>
          </v:shape>
        </w:pict>
      </w:r>
    </w:p>
    <w:p>
      <w:pPr>
        <w:pStyle w:val="style0"/>
      </w:pPr>
      <w:r>
        <w:rPr>
          <w:lang w:val="es-ES"/>
        </w:rPr>
      </w:r>
    </w:p>
    <w:p>
      <w:pPr>
        <w:pStyle w:val="style41"/>
      </w:pPr>
      <w:r>
        <w:rPr>
          <w:lang w:val="es-ES"/>
        </w:rPr>
        <w:t>Asegúrese de que los símbolos en su ecuación hayan sido definidos antes de que la ecuación aparezca o inmediatamente después de ella. Use los símbolos en itálica (</w:t>
      </w:r>
      <w:r>
        <w:rPr>
          <w:i/>
          <w:iCs/>
          <w:lang w:val="es-ES"/>
        </w:rPr>
        <w:t>T</w:t>
      </w:r>
      <w:r>
        <w:rPr>
          <w:lang w:val="es-ES"/>
        </w:rPr>
        <w:t xml:space="preserve"> puede referirse a la temperatura, pero T es la unidad Tesla). Refiera las ecuaciones como “(1)”, no “Eq. (1)” ni “ecuación (1)”, excepto al inicio de una frase: “La ecuación (1) indica ... ”.</w:t>
      </w:r>
    </w:p>
    <w:p>
      <w:pPr>
        <w:pStyle w:val="style41"/>
      </w:pPr>
      <w:r>
        <w:rPr>
          <w:lang w:val="es-ES"/>
        </w:rPr>
      </w:r>
    </w:p>
    <w:p>
      <w:pPr>
        <w:pStyle w:val="style2"/>
        <w:numPr>
          <w:ilvl w:val="1"/>
          <w:numId w:val="1"/>
        </w:numPr>
        <w:ind w:hanging="0" w:left="144" w:right="0"/>
      </w:pPr>
      <w:r>
        <w:rPr>
          <w:lang w:val="es-ES"/>
        </w:rPr>
        <w:t>Referencias</w:t>
      </w:r>
    </w:p>
    <w:p>
      <w:pPr>
        <w:pStyle w:val="style41"/>
      </w:pPr>
      <w:r>
        <w:rPr>
          <w:lang w:val="es-ES"/>
        </w:rPr>
        <w:t>Numere las citas bibliográficas consecutivamente usando paréntesis cuadrados [1]. Los signos de puntuación correspondientes deben seguir a los paréntesis cuadrados [2]. Las referencias múltiples [2], [3] se numeran con paréntesis separados [1]–[3]. Cuando se cita una sección de un libro, se deben dar los números de las páginas relevantes [2]. En las oraciones, use simplemente el número de la referencia, como en [3]. No use “Ref. [3]” o “referencia [3]” excepto al inicio de una frase: “La referencia [3] indica...”. Escriba la lista de referencias al final del artículo usando el estilo “Referencias”.</w:t>
      </w:r>
    </w:p>
    <w:p>
      <w:pPr>
        <w:pStyle w:val="style39"/>
      </w:pPr>
      <w:r>
        <w:rPr>
          <w:lang w:val="es-ES"/>
        </w:rPr>
      </w:r>
    </w:p>
    <w:p>
      <w:pPr>
        <w:pStyle w:val="style41"/>
      </w:pPr>
      <w:r>
        <w:rPr>
          <w:lang w:val="es-ES"/>
        </w:rPr>
        <w:t>Numere las notas a pie de página separadamente con superíndices (Insertar / Nota al pie)</w:t>
      </w:r>
      <w:r>
        <w:rPr>
          <w:rStyle w:val="style25"/>
        </w:rPr>
        <w:footnoteReference w:id="3"/>
      </w:r>
      <w:r>
        <w:rPr>
          <w:lang w:val="es-ES"/>
        </w:rPr>
        <w:t>. Coloque la nota en la parte inferior de la columna en que es citada. Use letras para las notas a pie de tabla.</w:t>
      </w:r>
    </w:p>
    <w:p>
      <w:pPr>
        <w:pStyle w:val="style48"/>
        <w:jc w:val="both"/>
      </w:pPr>
      <w:r>
        <w:rPr>
          <w:lang w:val="es-ES"/>
        </w:rPr>
        <w:t>Tabla 1. Constituyentes usados en 1 m</w:t>
      </w:r>
      <w:r>
        <w:rPr>
          <w:lang w:val="es-ES"/>
        </w:rPr>
        <w:t>3</w:t>
      </w:r>
      <w:r>
        <w:rPr>
          <w:lang w:val="es-ES"/>
        </w:rPr>
        <w:t xml:space="preserve"> de concreto.</w:t>
      </w:r>
    </w:p>
    <w:tbl>
      <w:tblPr>
        <w:tblBorders>
          <w:top w:color="00000A" w:space="0" w:sz="4" w:val="single"/>
          <w:left w:color="00000A" w:space="0" w:sz="4" w:val="single"/>
          <w:bottom w:color="00000A" w:space="0" w:sz="4" w:val="single"/>
          <w:right w:color="00000A" w:space="0" w:sz="4" w:val="single"/>
        </w:tblBorders>
        <w:jc w:val="left"/>
        <w:tblInd w:type="dxa" w:w="-70"/>
      </w:tblPr>
      <w:tblGrid>
        <w:gridCol w:w="1726"/>
        <w:gridCol w:w="3450"/>
        <w:gridCol w:w="5178"/>
      </w:tblGrid>
      <w:tr>
        <w:trPr>
          <w:cantSplit w:val="off"/>
        </w:trPr>
        <w:tc>
          <w:tcPr>
            <w:tcBorders>
              <w:top w:color="00000A" w:space="0" w:sz="4" w:val="single"/>
              <w:left w:color="00000A" w:space="0" w:sz="4" w:val="single"/>
              <w:bottom w:color="00000A" w:space="0" w:sz="4" w:val="single"/>
              <w:right w:color="00000A" w:space="0" w:sz="4" w:val="single"/>
            </w:tcBorders>
            <w:shd w:fill="auto"/>
            <w:tcW w:type="dxa" w:w="1726"/>
            <w:tcMar>
              <w:top w:type="dxa" w:w="0"/>
              <w:left w:type="dxa" w:w="70"/>
              <w:bottom w:type="dxa" w:w="0"/>
              <w:right w:type="dxa" w:w="70"/>
            </w:tcMar>
          </w:tcPr>
          <w:p>
            <w:pPr>
              <w:pStyle w:val="style0"/>
              <w:jc w:val="center"/>
            </w:pPr>
            <w:r>
              <w:rPr>
                <w:sz w:val="16"/>
                <w:lang w:val="es-ES"/>
              </w:rPr>
              <w:t>Constituyente</w:t>
            </w:r>
          </w:p>
        </w:tc>
        <w:tc>
          <w:tcPr>
            <w:tcBorders>
              <w:top w:color="00000A" w:space="0" w:sz="4" w:val="single"/>
              <w:left w:color="00000A" w:space="0" w:sz="4" w:val="single"/>
              <w:bottom w:color="00000A" w:space="0" w:sz="4" w:val="single"/>
              <w:right w:color="00000A" w:space="0" w:sz="4" w:val="single"/>
            </w:tcBorders>
            <w:shd w:fill="auto"/>
            <w:tcW w:type="dxa" w:w="3450"/>
            <w:tcMar>
              <w:top w:type="dxa" w:w="0"/>
              <w:left w:type="dxa" w:w="70"/>
              <w:bottom w:type="dxa" w:w="0"/>
              <w:right w:type="dxa" w:w="70"/>
            </w:tcMar>
          </w:tcPr>
          <w:p>
            <w:pPr>
              <w:pStyle w:val="style0"/>
              <w:jc w:val="center"/>
            </w:pPr>
            <w:r>
              <w:rPr>
                <w:sz w:val="16"/>
                <w:lang w:val="es-ES"/>
              </w:rPr>
              <w:t>Concreto sin adiciones</w:t>
            </w:r>
          </w:p>
        </w:tc>
        <w:tc>
          <w:tcPr>
            <w:tcBorders>
              <w:top w:color="00000A" w:space="0" w:sz="4" w:val="single"/>
              <w:left w:color="00000A" w:space="0" w:sz="4" w:val="single"/>
              <w:bottom w:color="00000A" w:space="0" w:sz="4" w:val="single"/>
              <w:right w:color="00000A" w:space="0" w:sz="4" w:val="single"/>
            </w:tcBorders>
            <w:shd w:fill="auto"/>
            <w:tcW w:type="dxa" w:w="5178"/>
            <w:tcMar>
              <w:top w:type="dxa" w:w="0"/>
              <w:left w:type="dxa" w:w="70"/>
              <w:bottom w:type="dxa" w:w="0"/>
              <w:right w:type="dxa" w:w="70"/>
            </w:tcMar>
          </w:tcPr>
          <w:p>
            <w:pPr>
              <w:pStyle w:val="style0"/>
              <w:jc w:val="center"/>
            </w:pPr>
            <w:r>
              <w:rPr>
                <w:sz w:val="16"/>
                <w:lang w:val="es-ES"/>
              </w:rPr>
              <w:t>Concreto con ceniza volcánica</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26"/>
            <w:tcMar>
              <w:top w:type="dxa" w:w="0"/>
              <w:left w:type="dxa" w:w="70"/>
              <w:bottom w:type="dxa" w:w="0"/>
              <w:right w:type="dxa" w:w="70"/>
            </w:tcMar>
          </w:tcPr>
          <w:p>
            <w:pPr>
              <w:pStyle w:val="style0"/>
              <w:jc w:val="both"/>
            </w:pPr>
            <w:r>
              <w:rPr>
                <w:sz w:val="16"/>
                <w:lang w:val="es-ES"/>
              </w:rPr>
              <w:t>Cemento, Kg.</w:t>
            </w:r>
          </w:p>
        </w:tc>
        <w:tc>
          <w:tcPr>
            <w:tcBorders>
              <w:top w:color="00000A" w:space="0" w:sz="4" w:val="single"/>
              <w:left w:color="00000A" w:space="0" w:sz="4" w:val="single"/>
              <w:bottom w:color="00000A" w:space="0" w:sz="4" w:val="single"/>
              <w:right w:color="00000A" w:space="0" w:sz="4" w:val="single"/>
            </w:tcBorders>
            <w:shd w:fill="auto"/>
            <w:tcW w:type="dxa" w:w="3450"/>
            <w:tcMar>
              <w:top w:type="dxa" w:w="0"/>
              <w:left w:type="dxa" w:w="70"/>
              <w:bottom w:type="dxa" w:w="0"/>
              <w:right w:type="dxa" w:w="70"/>
            </w:tcMar>
          </w:tcPr>
          <w:p>
            <w:pPr>
              <w:pStyle w:val="style0"/>
              <w:jc w:val="center"/>
            </w:pPr>
            <w:r>
              <w:rPr>
                <w:sz w:val="16"/>
                <w:lang w:val="es-ES"/>
              </w:rPr>
              <w:t>400</w:t>
            </w:r>
          </w:p>
        </w:tc>
        <w:tc>
          <w:tcPr>
            <w:tcBorders>
              <w:top w:color="00000A" w:space="0" w:sz="4" w:val="single"/>
              <w:left w:color="00000A" w:space="0" w:sz="4" w:val="single"/>
              <w:bottom w:color="00000A" w:space="0" w:sz="4" w:val="single"/>
              <w:right w:color="00000A" w:space="0" w:sz="4" w:val="single"/>
            </w:tcBorders>
            <w:shd w:fill="auto"/>
            <w:tcW w:type="dxa" w:w="5178"/>
            <w:tcMar>
              <w:top w:type="dxa" w:w="0"/>
              <w:left w:type="dxa" w:w="70"/>
              <w:bottom w:type="dxa" w:w="0"/>
              <w:right w:type="dxa" w:w="70"/>
            </w:tcMar>
          </w:tcPr>
          <w:p>
            <w:pPr>
              <w:pStyle w:val="style0"/>
              <w:jc w:val="center"/>
            </w:pPr>
            <w:r>
              <w:rPr>
                <w:sz w:val="16"/>
                <w:lang w:val="es-ES"/>
              </w:rPr>
              <w:t>320</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26"/>
            <w:tcMar>
              <w:top w:type="dxa" w:w="0"/>
              <w:left w:type="dxa" w:w="70"/>
              <w:bottom w:type="dxa" w:w="0"/>
              <w:right w:type="dxa" w:w="70"/>
            </w:tcMar>
          </w:tcPr>
          <w:p>
            <w:pPr>
              <w:pStyle w:val="style0"/>
              <w:jc w:val="both"/>
            </w:pPr>
            <w:r>
              <w:rPr>
                <w:sz w:val="16"/>
                <w:lang w:val="es-ES"/>
              </w:rPr>
              <w:t>Ceniza volcánica, Kg.</w:t>
            </w:r>
          </w:p>
        </w:tc>
        <w:tc>
          <w:tcPr>
            <w:tcBorders>
              <w:top w:color="00000A" w:space="0" w:sz="4" w:val="single"/>
              <w:left w:color="00000A" w:space="0" w:sz="4" w:val="single"/>
              <w:bottom w:color="00000A" w:space="0" w:sz="4" w:val="single"/>
              <w:right w:color="00000A" w:space="0" w:sz="4" w:val="single"/>
            </w:tcBorders>
            <w:shd w:fill="auto"/>
            <w:tcW w:type="dxa" w:w="3450"/>
            <w:tcMar>
              <w:top w:type="dxa" w:w="0"/>
              <w:left w:type="dxa" w:w="70"/>
              <w:bottom w:type="dxa" w:w="0"/>
              <w:right w:type="dxa" w:w="70"/>
            </w:tcMar>
          </w:tcPr>
          <w:p>
            <w:pPr>
              <w:pStyle w:val="style0"/>
              <w:jc w:val="center"/>
            </w:pPr>
            <w:r>
              <w:rPr>
                <w:sz w:val="16"/>
                <w:lang w:val="es-ES"/>
              </w:rPr>
              <w:t>--</w:t>
            </w:r>
          </w:p>
        </w:tc>
        <w:tc>
          <w:tcPr>
            <w:tcBorders>
              <w:top w:color="00000A" w:space="0" w:sz="4" w:val="single"/>
              <w:left w:color="00000A" w:space="0" w:sz="4" w:val="single"/>
              <w:bottom w:color="00000A" w:space="0" w:sz="4" w:val="single"/>
              <w:right w:color="00000A" w:space="0" w:sz="4" w:val="single"/>
            </w:tcBorders>
            <w:shd w:fill="auto"/>
            <w:tcW w:type="dxa" w:w="5178"/>
            <w:tcMar>
              <w:top w:type="dxa" w:w="0"/>
              <w:left w:type="dxa" w:w="70"/>
              <w:bottom w:type="dxa" w:w="0"/>
              <w:right w:type="dxa" w:w="70"/>
            </w:tcMar>
          </w:tcPr>
          <w:p>
            <w:pPr>
              <w:pStyle w:val="style0"/>
              <w:jc w:val="center"/>
            </w:pPr>
            <w:r>
              <w:rPr>
                <w:sz w:val="16"/>
                <w:lang w:val="es-ES"/>
              </w:rPr>
              <w:t>80</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26"/>
            <w:tcMar>
              <w:top w:type="dxa" w:w="0"/>
              <w:left w:type="dxa" w:w="70"/>
              <w:bottom w:type="dxa" w:w="0"/>
              <w:right w:type="dxa" w:w="70"/>
            </w:tcMar>
          </w:tcPr>
          <w:p>
            <w:pPr>
              <w:pStyle w:val="style0"/>
              <w:jc w:val="both"/>
            </w:pPr>
            <w:r>
              <w:rPr>
                <w:sz w:val="16"/>
                <w:lang w:val="es-ES"/>
              </w:rPr>
              <w:t>Agua, l.</w:t>
            </w:r>
          </w:p>
        </w:tc>
        <w:tc>
          <w:tcPr>
            <w:tcBorders>
              <w:top w:color="00000A" w:space="0" w:sz="4" w:val="single"/>
              <w:left w:color="00000A" w:space="0" w:sz="4" w:val="single"/>
              <w:bottom w:color="00000A" w:space="0" w:sz="4" w:val="single"/>
              <w:right w:color="00000A" w:space="0" w:sz="4" w:val="single"/>
            </w:tcBorders>
            <w:shd w:fill="auto"/>
            <w:tcW w:type="dxa" w:w="3450"/>
            <w:tcMar>
              <w:top w:type="dxa" w:w="0"/>
              <w:left w:type="dxa" w:w="70"/>
              <w:bottom w:type="dxa" w:w="0"/>
              <w:right w:type="dxa" w:w="70"/>
            </w:tcMar>
          </w:tcPr>
          <w:p>
            <w:pPr>
              <w:pStyle w:val="style43"/>
            </w:pPr>
            <w:r>
              <w:rPr>
                <w:smallCaps/>
                <w:szCs w:val="20"/>
                <w:lang w:val="es-ES"/>
              </w:rPr>
              <w:t>176</w:t>
            </w:r>
          </w:p>
        </w:tc>
        <w:tc>
          <w:tcPr>
            <w:tcBorders>
              <w:top w:color="00000A" w:space="0" w:sz="4" w:val="single"/>
              <w:left w:color="00000A" w:space="0" w:sz="4" w:val="single"/>
              <w:bottom w:color="00000A" w:space="0" w:sz="4" w:val="single"/>
              <w:right w:color="00000A" w:space="0" w:sz="4" w:val="single"/>
            </w:tcBorders>
            <w:shd w:fill="auto"/>
            <w:tcW w:type="dxa" w:w="5178"/>
            <w:tcMar>
              <w:top w:type="dxa" w:w="0"/>
              <w:left w:type="dxa" w:w="70"/>
              <w:bottom w:type="dxa" w:w="0"/>
              <w:right w:type="dxa" w:w="70"/>
            </w:tcMar>
          </w:tcPr>
          <w:p>
            <w:pPr>
              <w:pStyle w:val="style0"/>
              <w:jc w:val="center"/>
            </w:pPr>
            <w:r>
              <w:rPr>
                <w:sz w:val="16"/>
                <w:lang w:val="es-ES"/>
              </w:rPr>
              <w:t>184</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26"/>
            <w:tcMar>
              <w:top w:type="dxa" w:w="0"/>
              <w:left w:type="dxa" w:w="70"/>
              <w:bottom w:type="dxa" w:w="0"/>
              <w:right w:type="dxa" w:w="70"/>
            </w:tcMar>
          </w:tcPr>
          <w:p>
            <w:pPr>
              <w:pStyle w:val="style0"/>
              <w:jc w:val="both"/>
            </w:pPr>
            <w:r>
              <w:rPr>
                <w:sz w:val="16"/>
                <w:lang w:val="es-ES"/>
              </w:rPr>
              <w:t>Agregado grueso, Kg.</w:t>
            </w:r>
          </w:p>
        </w:tc>
        <w:tc>
          <w:tcPr>
            <w:tcBorders>
              <w:top w:color="00000A" w:space="0" w:sz="4" w:val="single"/>
              <w:left w:color="00000A" w:space="0" w:sz="4" w:val="single"/>
              <w:bottom w:color="00000A" w:space="0" w:sz="4" w:val="single"/>
              <w:right w:color="00000A" w:space="0" w:sz="4" w:val="single"/>
            </w:tcBorders>
            <w:shd w:fill="auto"/>
            <w:tcW w:type="dxa" w:w="3450"/>
            <w:tcMar>
              <w:top w:type="dxa" w:w="0"/>
              <w:left w:type="dxa" w:w="70"/>
              <w:bottom w:type="dxa" w:w="0"/>
              <w:right w:type="dxa" w:w="70"/>
            </w:tcMar>
          </w:tcPr>
          <w:p>
            <w:pPr>
              <w:pStyle w:val="style0"/>
              <w:jc w:val="center"/>
            </w:pPr>
            <w:r>
              <w:rPr>
                <w:sz w:val="16"/>
                <w:lang w:val="es-ES"/>
              </w:rPr>
              <w:t>180</w:t>
            </w:r>
          </w:p>
        </w:tc>
        <w:tc>
          <w:tcPr>
            <w:tcBorders>
              <w:top w:color="00000A" w:space="0" w:sz="4" w:val="single"/>
              <w:left w:color="00000A" w:space="0" w:sz="4" w:val="single"/>
              <w:bottom w:color="00000A" w:space="0" w:sz="4" w:val="single"/>
              <w:right w:color="00000A" w:space="0" w:sz="4" w:val="single"/>
            </w:tcBorders>
            <w:shd w:fill="auto"/>
            <w:tcW w:type="dxa" w:w="5178"/>
            <w:tcMar>
              <w:top w:type="dxa" w:w="0"/>
              <w:left w:type="dxa" w:w="70"/>
              <w:bottom w:type="dxa" w:w="0"/>
              <w:right w:type="dxa" w:w="70"/>
            </w:tcMar>
          </w:tcPr>
          <w:p>
            <w:pPr>
              <w:pStyle w:val="style0"/>
              <w:jc w:val="center"/>
            </w:pPr>
            <w:r>
              <w:rPr>
                <w:sz w:val="16"/>
                <w:lang w:val="es-ES"/>
              </w:rPr>
              <w:t>180</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26"/>
            <w:tcMar>
              <w:top w:type="dxa" w:w="0"/>
              <w:left w:type="dxa" w:w="70"/>
              <w:bottom w:type="dxa" w:w="0"/>
              <w:right w:type="dxa" w:w="70"/>
            </w:tcMar>
          </w:tcPr>
          <w:p>
            <w:pPr>
              <w:pStyle w:val="style0"/>
              <w:jc w:val="both"/>
            </w:pPr>
            <w:r>
              <w:rPr>
                <w:sz w:val="16"/>
                <w:lang w:val="es-ES"/>
              </w:rPr>
              <w:t>Agregado fino, Kg.</w:t>
            </w:r>
          </w:p>
        </w:tc>
        <w:tc>
          <w:tcPr>
            <w:tcBorders>
              <w:top w:color="00000A" w:space="0" w:sz="4" w:val="single"/>
              <w:left w:color="00000A" w:space="0" w:sz="4" w:val="single"/>
              <w:bottom w:color="00000A" w:space="0" w:sz="4" w:val="single"/>
              <w:right w:color="00000A" w:space="0" w:sz="4" w:val="single"/>
            </w:tcBorders>
            <w:shd w:fill="auto"/>
            <w:tcW w:type="dxa" w:w="3450"/>
            <w:tcMar>
              <w:top w:type="dxa" w:w="0"/>
              <w:left w:type="dxa" w:w="70"/>
              <w:bottom w:type="dxa" w:w="0"/>
              <w:right w:type="dxa" w:w="70"/>
            </w:tcMar>
          </w:tcPr>
          <w:p>
            <w:pPr>
              <w:pStyle w:val="style0"/>
              <w:jc w:val="center"/>
            </w:pPr>
            <w:r>
              <w:rPr>
                <w:sz w:val="16"/>
                <w:lang w:val="es-ES"/>
              </w:rPr>
              <w:t>600</w:t>
            </w:r>
          </w:p>
        </w:tc>
        <w:tc>
          <w:tcPr>
            <w:tcBorders>
              <w:top w:color="00000A" w:space="0" w:sz="4" w:val="single"/>
              <w:left w:color="00000A" w:space="0" w:sz="4" w:val="single"/>
              <w:bottom w:color="00000A" w:space="0" w:sz="4" w:val="single"/>
              <w:right w:color="00000A" w:space="0" w:sz="4" w:val="single"/>
            </w:tcBorders>
            <w:shd w:fill="auto"/>
            <w:tcW w:type="dxa" w:w="5178"/>
            <w:tcMar>
              <w:top w:type="dxa" w:w="0"/>
              <w:left w:type="dxa" w:w="70"/>
              <w:bottom w:type="dxa" w:w="0"/>
              <w:right w:type="dxa" w:w="70"/>
            </w:tcMar>
          </w:tcPr>
          <w:p>
            <w:pPr>
              <w:pStyle w:val="style0"/>
              <w:jc w:val="center"/>
            </w:pPr>
            <w:r>
              <w:rPr>
                <w:sz w:val="16"/>
                <w:lang w:val="es-ES"/>
              </w:rPr>
              <w:t>600</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726"/>
            <w:tcMar>
              <w:top w:type="dxa" w:w="0"/>
              <w:left w:type="dxa" w:w="70"/>
              <w:bottom w:type="dxa" w:w="0"/>
              <w:right w:type="dxa" w:w="70"/>
            </w:tcMar>
          </w:tcPr>
          <w:p>
            <w:pPr>
              <w:pStyle w:val="style0"/>
              <w:jc w:val="both"/>
            </w:pPr>
            <w:r>
              <w:rPr>
                <w:sz w:val="16"/>
                <w:lang w:val="es-ES"/>
              </w:rPr>
              <w:t>Relación A/C</w:t>
            </w:r>
            <w:r>
              <w:rPr>
                <w:sz w:val="16"/>
                <w:lang w:val="es-ES"/>
              </w:rPr>
              <w:t>A</w:t>
            </w:r>
          </w:p>
        </w:tc>
        <w:tc>
          <w:tcPr>
            <w:tcBorders>
              <w:top w:color="00000A" w:space="0" w:sz="4" w:val="single"/>
              <w:left w:color="00000A" w:space="0" w:sz="4" w:val="single"/>
              <w:bottom w:color="00000A" w:space="0" w:sz="4" w:val="single"/>
              <w:right w:color="00000A" w:space="0" w:sz="4" w:val="single"/>
            </w:tcBorders>
            <w:shd w:fill="auto"/>
            <w:tcW w:type="dxa" w:w="3450"/>
            <w:tcMar>
              <w:top w:type="dxa" w:w="0"/>
              <w:left w:type="dxa" w:w="70"/>
              <w:bottom w:type="dxa" w:w="0"/>
              <w:right w:type="dxa" w:w="70"/>
            </w:tcMar>
          </w:tcPr>
          <w:p>
            <w:pPr>
              <w:pStyle w:val="style0"/>
              <w:jc w:val="center"/>
            </w:pPr>
            <w:r>
              <w:rPr>
                <w:sz w:val="16"/>
                <w:lang w:val="es-ES"/>
              </w:rPr>
              <w:t>0.44</w:t>
            </w:r>
          </w:p>
        </w:tc>
        <w:tc>
          <w:tcPr>
            <w:tcBorders>
              <w:top w:color="00000A" w:space="0" w:sz="4" w:val="single"/>
              <w:left w:color="00000A" w:space="0" w:sz="4" w:val="single"/>
              <w:bottom w:color="00000A" w:space="0" w:sz="4" w:val="single"/>
              <w:right w:color="00000A" w:space="0" w:sz="4" w:val="single"/>
            </w:tcBorders>
            <w:shd w:fill="auto"/>
            <w:tcW w:type="dxa" w:w="5178"/>
            <w:tcMar>
              <w:top w:type="dxa" w:w="0"/>
              <w:left w:type="dxa" w:w="70"/>
              <w:bottom w:type="dxa" w:w="0"/>
              <w:right w:type="dxa" w:w="70"/>
            </w:tcMar>
          </w:tcPr>
          <w:p>
            <w:pPr>
              <w:pStyle w:val="style0"/>
              <w:jc w:val="center"/>
            </w:pPr>
            <w:r>
              <w:rPr>
                <w:sz w:val="16"/>
                <w:lang w:val="es-ES"/>
              </w:rPr>
              <w:t>0.46</w:t>
            </w:r>
          </w:p>
        </w:tc>
      </w:tr>
    </w:tbl>
    <w:p>
      <w:pPr>
        <w:pStyle w:val="style37"/>
      </w:pPr>
      <w:r>
        <w:rPr>
          <w:lang w:val="es-ES"/>
        </w:rPr>
        <w:t>A</w:t>
      </w:r>
      <w:r>
        <w:rPr>
          <w:lang w:val="es-ES"/>
        </w:rPr>
        <w:t xml:space="preserve"> Relación Arena / Cemento.</w:t>
      </w:r>
    </w:p>
    <w:p>
      <w:pPr>
        <w:pStyle w:val="style41"/>
      </w:pPr>
      <w:r>
        <w:rPr>
          <w:lang w:val="es-ES"/>
        </w:rPr>
      </w:r>
    </w:p>
    <w:p>
      <w:pPr>
        <w:pStyle w:val="style41"/>
      </w:pPr>
      <w:r>
        <w:rPr>
          <w:lang w:val="es-ES"/>
        </w:rPr>
        <w:t>Las referencias al final de este artículo se encuentran escritas con el estilo de referencia preferido por las publicaciones especializadas. En las referencias, cite todos los apellidos de los autores; no use “</w:t>
      </w:r>
      <w:r>
        <w:rPr>
          <w:i/>
          <w:iCs/>
          <w:lang w:val="es-ES"/>
        </w:rPr>
        <w:t>et al</w:t>
      </w:r>
      <w:r>
        <w:rPr>
          <w:lang w:val="es-ES"/>
        </w:rPr>
        <w:t>.” A menos que existan seis o más autores. Use un espacio después de las iniciales del autor. Los artículos que no han sido publicados deben citarse como “sin publicar” [4]. Los artículos que han sido enviados o aceptados para publicación deben ser citados como “enviados para publicación” [5]. Use letras mayúsculas solo para la primera letra del título de un artículo (excepto si se trata de nombres propios o símbolos de elementos).</w:t>
      </w:r>
    </w:p>
    <w:p>
      <w:pPr>
        <w:pStyle w:val="style41"/>
        <w:ind w:firstLine="144" w:left="0" w:right="0"/>
      </w:pPr>
      <w:r>
        <w:rPr>
          <w:lang w:val="es-ES"/>
        </w:rPr>
      </w:r>
    </w:p>
    <w:p>
      <w:pPr>
        <w:pStyle w:val="style2"/>
        <w:numPr>
          <w:ilvl w:val="1"/>
          <w:numId w:val="1"/>
        </w:numPr>
        <w:ind w:hanging="0" w:left="144" w:right="0"/>
      </w:pPr>
      <w:r>
        <w:rPr>
          <w:lang w:val="es-ES"/>
        </w:rPr>
        <w:t>Abreviaturas y Acrónimos</w:t>
      </w:r>
    </w:p>
    <w:p>
      <w:pPr>
        <w:pStyle w:val="style41"/>
        <w:ind w:firstLine="144" w:left="0" w:right="0"/>
      </w:pPr>
      <w:r>
        <w:rPr>
          <w:lang w:val="es-ES"/>
        </w:rPr>
        <w:t>Defina las abreviaturas y acrónimos la primera vez que los use en el texto, aun cuando ya hayan sido definidas en el resumen. Las abreviaturas que incorporan puntos no deben tener espacios: escriba “C.N.R.S.”, no “C. N. R. S.”. No use abreviaturas en el título a menos que sea indispensable.</w:t>
      </w:r>
    </w:p>
    <w:p>
      <w:pPr>
        <w:pStyle w:val="style41"/>
        <w:ind w:firstLine="144" w:left="0" w:right="0"/>
      </w:pPr>
      <w:r>
        <w:rPr>
          <w:lang w:val="es-ES"/>
        </w:rPr>
      </w:r>
    </w:p>
    <w:p>
      <w:pPr>
        <w:pStyle w:val="style2"/>
        <w:numPr>
          <w:ilvl w:val="1"/>
          <w:numId w:val="1"/>
        </w:numPr>
        <w:ind w:hanging="0" w:left="144" w:right="0"/>
      </w:pPr>
      <w:r>
        <w:rPr>
          <w:lang w:val="es-ES"/>
        </w:rPr>
        <w:t>Otras Recomendaciones</w:t>
      </w:r>
    </w:p>
    <w:p>
      <w:pPr>
        <w:pStyle w:val="style41"/>
      </w:pPr>
      <w:r>
        <w:rPr>
          <w:lang w:val="es-ES"/>
        </w:rPr>
        <w:t>Use un espacio después de las comas y puntos. Recuerde escribir en tercera persona del singular, como “El potencial se calculó usando (1)”; trate de evitar expresiones como “Calculamos el potencial usando (1)”, o “Usando (1) logré calcular el potencial”.</w:t>
      </w:r>
    </w:p>
    <w:p>
      <w:pPr>
        <w:pStyle w:val="style41"/>
      </w:pPr>
      <w:r>
        <w:rPr>
          <w:lang w:val="es-ES"/>
        </w:rPr>
      </w:r>
    </w:p>
    <w:p>
      <w:pPr>
        <w:pStyle w:val="style41"/>
      </w:pPr>
      <w:r>
        <w:rPr>
          <w:lang w:val="es-ES"/>
        </w:rPr>
        <w:t>Use un cero antes del punto decimal: “0.25”, no “.25”. Use “cm</w:t>
      </w:r>
      <w:r>
        <w:rPr>
          <w:lang w:val="es-ES"/>
        </w:rPr>
        <w:t>3</w:t>
      </w:r>
      <w:r>
        <w:rPr>
          <w:lang w:val="es-ES"/>
        </w:rPr>
        <w:t xml:space="preserve">”, no “cc”. Indique las dimensiones simples, como “0.1 cm </w:t>
      </w:r>
      <w:r>
        <w:rPr>
          <w:rFonts w:ascii="Symbol" w:hAnsi="Symbol"/>
          <w:lang w:val="es-ES"/>
        </w:rPr>
        <w:t></w:t>
      </w:r>
      <w:r>
        <w:rPr>
          <w:lang w:val="es-ES"/>
        </w:rPr>
        <w:t xml:space="preserve"> 0.2 cm”, no “0.1 </w:t>
      </w:r>
      <w:r>
        <w:rPr>
          <w:rFonts w:ascii="Symbol" w:hAnsi="Symbol"/>
          <w:lang w:val="es-ES"/>
        </w:rPr>
        <w:t></w:t>
      </w:r>
      <w:r>
        <w:rPr>
          <w:lang w:val="es-ES"/>
        </w:rPr>
        <w:t xml:space="preserve"> 0.2 cm</w:t>
      </w:r>
      <w:r>
        <w:rPr>
          <w:lang w:val="es-ES"/>
        </w:rPr>
        <w:t>2</w:t>
      </w:r>
      <w:r>
        <w:rPr>
          <w:lang w:val="es-ES"/>
        </w:rPr>
        <w:t>”. La abreviatura para “segundos” es “s”, no “seg.”. No mezcle abreviaturas con nombre de unidades: use “N/m</w:t>
      </w:r>
      <w:r>
        <w:rPr>
          <w:lang w:val="es-ES"/>
        </w:rPr>
        <w:t>2</w:t>
      </w:r>
      <w:r>
        <w:rPr>
          <w:lang w:val="es-ES"/>
        </w:rPr>
        <w:t>” o “Newtons por metro cuadrado”, no “Newtons/m</w:t>
      </w:r>
      <w:r>
        <w:rPr>
          <w:lang w:val="es-ES"/>
        </w:rPr>
        <w:t>2</w:t>
      </w:r>
      <w:r>
        <w:rPr>
          <w:lang w:val="es-ES"/>
        </w:rPr>
        <w:t>”. Cuando exprese un intervalo de valores, escriba “7 a 9” o “7-9”, no “7~9”.</w:t>
      </w:r>
    </w:p>
    <w:p>
      <w:pPr>
        <w:pStyle w:val="style41"/>
      </w:pPr>
      <w:r>
        <w:rPr>
          <w:lang w:val="es-ES"/>
        </w:rPr>
      </w:r>
    </w:p>
    <w:p>
      <w:pPr>
        <w:pStyle w:val="style41"/>
      </w:pPr>
      <w:r>
        <w:rPr>
          <w:lang w:val="es-ES"/>
        </w:rPr>
        <w:t>Una culminación de oración encerrada entre paréntesis lleva el signo de puntuación luego del paréntesis de cierre (como en este caso). (Una frase completa dentro de un paréntesis lleva el signo de puntuación dentro del paréntesis.). En enumeraciones, se prefiere escribir “A, B y C” en vez de “A, B, y C”.</w:t>
      </w:r>
    </w:p>
    <w:p>
      <w:pPr>
        <w:pStyle w:val="style41"/>
      </w:pPr>
      <w:r>
        <w:rPr>
          <w:lang w:val="es-ES"/>
        </w:rPr>
      </w:r>
    </w:p>
    <w:p>
      <w:pPr>
        <w:pStyle w:val="style1"/>
        <w:numPr>
          <w:ilvl w:val="0"/>
          <w:numId w:val="1"/>
        </w:numPr>
        <w:jc w:val="center"/>
        <w:keepNext/>
        <w:spacing w:after="80" w:before="240"/>
      </w:pPr>
      <w:r>
        <w:rPr>
          <w:lang w:val="es-ES"/>
        </w:rPr>
        <w:t>Procedimiento para Entrega del Articulo</w:t>
      </w:r>
    </w:p>
    <w:p>
      <w:pPr>
        <w:pStyle w:val="style2"/>
        <w:numPr>
          <w:ilvl w:val="1"/>
          <w:numId w:val="1"/>
        </w:numPr>
        <w:ind w:hanging="0" w:left="144" w:right="0"/>
      </w:pPr>
      <w:r>
        <w:rPr>
          <w:lang w:val="es-ES"/>
        </w:rPr>
        <w:t>Revisión</w:t>
      </w:r>
    </w:p>
    <w:p>
      <w:pPr>
        <w:pStyle w:val="style41"/>
      </w:pPr>
      <w:r>
        <w:rPr>
          <w:lang w:val="es-ES"/>
        </w:rPr>
        <w:t>Antes de entregar la copia final, imprima una copia de prueba y revise cuidadosamente la ortografía, puntuación, redacción y distribución del documento.</w:t>
      </w:r>
    </w:p>
    <w:p>
      <w:pPr>
        <w:pStyle w:val="style2"/>
        <w:numPr>
          <w:ilvl w:val="1"/>
          <w:numId w:val="1"/>
        </w:numPr>
        <w:ind w:hanging="0" w:left="144" w:right="0"/>
      </w:pPr>
      <w:r>
        <w:rPr>
          <w:lang w:val="es-ES"/>
        </w:rPr>
        <w:t>Entrega Final</w:t>
      </w:r>
    </w:p>
    <w:p>
      <w:pPr>
        <w:pStyle w:val="style41"/>
      </w:pPr>
      <w:r>
        <w:rPr>
          <w:lang w:val="es-ES"/>
        </w:rPr>
        <w:t>Envíe el archivo vía Web según las instrucciones de la página del Encuentro, y de acuerdo con las fechas establecidas. No se recibe ningún artículo después de la fecha límite.</w:t>
      </w:r>
    </w:p>
    <w:p>
      <w:pPr>
        <w:pStyle w:val="style41"/>
      </w:pPr>
      <w:r>
        <w:rPr>
          <w:lang w:val="es-ES"/>
        </w:rPr>
      </w:r>
    </w:p>
    <w:p>
      <w:pPr>
        <w:pStyle w:val="style1"/>
        <w:numPr>
          <w:ilvl w:val="0"/>
          <w:numId w:val="1"/>
        </w:numPr>
        <w:jc w:val="center"/>
        <w:keepNext/>
        <w:spacing w:after="80" w:before="240"/>
      </w:pPr>
      <w:r>
        <w:rPr>
          <w:lang w:val="es-ES"/>
        </w:rPr>
        <w:t>Recomendaciones Finales</w:t>
      </w:r>
    </w:p>
    <w:p>
      <w:pPr>
        <w:pStyle w:val="style41"/>
      </w:pPr>
      <w:r>
        <w:rPr>
          <w:lang w:val="es-ES"/>
        </w:rPr>
        <w:t>El trabajo sometido al evento debe haber sido desarrollado como parte de un trabajo de Investigación o Desarrollo desarrollado en el país. El tema del trabajo debe estar en las áreas que se especifican en http://www.enid.unal.edu.co. Recuerde citar todas las referencias que hayan sido utilizadas en su trabajo. Indique la fuente de los datos usados, las hipótesis utilizadas, las gráficas incluidas en su trabajo, etc. Los autores son responsables de cualquier violación de derechos de autor como resultado de su artículo.</w:t>
      </w:r>
    </w:p>
    <w:p>
      <w:pPr>
        <w:pStyle w:val="style41"/>
      </w:pPr>
      <w:r>
        <w:rPr>
          <w:lang w:val="es-ES"/>
        </w:rPr>
      </w:r>
    </w:p>
    <w:p>
      <w:pPr>
        <w:pStyle w:val="style1"/>
        <w:numPr>
          <w:ilvl w:val="0"/>
          <w:numId w:val="1"/>
        </w:numPr>
        <w:jc w:val="center"/>
        <w:keepNext/>
        <w:spacing w:after="80" w:before="240"/>
      </w:pPr>
      <w:r>
        <w:rPr>
          <w:lang w:val="es-ES"/>
        </w:rPr>
        <w:t>Conclusiones</w:t>
      </w:r>
    </w:p>
    <w:p>
      <w:pPr>
        <w:pStyle w:val="style41"/>
      </w:pPr>
      <w:r>
        <w:rPr>
          <w:lang w:val="es-ES"/>
        </w:rPr>
        <w:t>Las conclusiones deben recopilar los principales aspectos del artículo, no replique el resumen (</w:t>
      </w:r>
      <w:r>
        <w:rPr>
          <w:i/>
          <w:iCs/>
          <w:lang w:val="es-ES"/>
        </w:rPr>
        <w:t>abstract</w:t>
      </w:r>
      <w:r>
        <w:rPr>
          <w:lang w:val="es-ES"/>
        </w:rPr>
        <w:t>) como conclusión. Las conclusiones pueden tratar sobre la importancia del trabajo desarrollado, o sugerir aplicaciones y extensiones del trabajo planteado. No incluya ideas generales como “Matlab es una valiosa herramienta para resolver problemas complejos de ingeniería”, o “Este trabajo es valioso para observar las aplicaciones reales de ... en el ejercicio de la ingeniería”; las conclusiones deben resaltar los resultados logrados con el trabado desarrollado en el artículo.</w:t>
      </w:r>
    </w:p>
    <w:p>
      <w:pPr>
        <w:pStyle w:val="style41"/>
      </w:pPr>
      <w:r>
        <w:rPr>
          <w:lang w:val="es-ES"/>
        </w:rPr>
      </w:r>
    </w:p>
    <w:p>
      <w:pPr>
        <w:pStyle w:val="style44"/>
      </w:pPr>
      <w:r>
        <w:rPr>
          <w:lang w:val="es-ES"/>
        </w:rPr>
        <w:t>Anexos</w:t>
      </w:r>
    </w:p>
    <w:p>
      <w:pPr>
        <w:pStyle w:val="style41"/>
      </w:pPr>
      <w:r>
        <w:rPr>
          <w:lang w:val="es-ES"/>
        </w:rPr>
        <w:t>Los anexos, si se requieren, aparecen antes de la sección de agradecimientos.</w:t>
      </w:r>
    </w:p>
    <w:p>
      <w:pPr>
        <w:pStyle w:val="style41"/>
      </w:pPr>
      <w:r>
        <w:rPr>
          <w:lang w:val="es-ES"/>
        </w:rPr>
      </w:r>
    </w:p>
    <w:p>
      <w:pPr>
        <w:pStyle w:val="style44"/>
      </w:pPr>
      <w:r>
        <w:rPr>
          <w:lang w:val="es-ES"/>
        </w:rPr>
        <w:t>Agradecimientos</w:t>
      </w:r>
    </w:p>
    <w:p>
      <w:pPr>
        <w:pStyle w:val="style41"/>
      </w:pPr>
      <w:r>
        <w:rPr>
          <w:lang w:val="es-ES"/>
        </w:rPr>
        <w:t xml:space="preserve">Si desea agradecer el apoyo de alguna persona o institución que contribuyó de manera importante en su trabajo, use esta sección. </w:t>
      </w:r>
      <w:r>
        <w:rPr>
          <w:i/>
          <w:iCs/>
          <w:lang w:val="es-ES"/>
        </w:rPr>
        <w:t>El agradecimiento por patrocinio o soporte financiero de un proyecto se escribe en la nota al pie de la primera página</w:t>
      </w:r>
      <w:r>
        <w:rPr>
          <w:lang w:val="es-ES"/>
        </w:rPr>
        <w:t>.</w:t>
      </w:r>
    </w:p>
    <w:p>
      <w:pPr>
        <w:pStyle w:val="style44"/>
      </w:pPr>
      <w:r>
        <w:rPr>
          <w:lang w:val="es-ES"/>
        </w:rPr>
        <w:t>Referencias</w:t>
      </w:r>
    </w:p>
    <w:p>
      <w:pPr>
        <w:pStyle w:val="style0"/>
        <w:numPr>
          <w:ilvl w:val="0"/>
          <w:numId w:val="2"/>
        </w:numPr>
        <w:jc w:val="both"/>
      </w:pPr>
      <w:r>
        <w:rPr>
          <w:sz w:val="16"/>
          <w:szCs w:val="16"/>
          <w:lang w:val="es-ES"/>
        </w:rPr>
        <w:t xml:space="preserve">G. O. Young, “Synthetic structure of industrial plastics” (Referencia de artículo publicado en un libro de recopilaciones), </w:t>
        <w:tab/>
        <w:t xml:space="preserve">en </w:t>
      </w:r>
      <w:r>
        <w:rPr>
          <w:sz w:val="16"/>
          <w:i/>
          <w:szCs w:val="16"/>
          <w:iCs/>
          <w:lang w:val="es-ES"/>
        </w:rPr>
        <w:t>Plastics</w:t>
      </w:r>
      <w:r>
        <w:rPr>
          <w:sz w:val="16"/>
          <w:szCs w:val="16"/>
          <w:lang w:val="es-ES"/>
        </w:rPr>
        <w:t xml:space="preserve">, 2da ed. vol. 3, J. Peters, Ed. </w:t>
      </w:r>
      <w:r>
        <w:rPr>
          <w:sz w:val="16"/>
          <w:szCs w:val="16"/>
        </w:rPr>
        <w:t>New York: McGraw-Hill, 1964, pp. 15–64.</w:t>
      </w:r>
    </w:p>
    <w:p>
      <w:pPr>
        <w:pStyle w:val="style0"/>
        <w:numPr>
          <w:ilvl w:val="0"/>
          <w:numId w:val="2"/>
        </w:numPr>
        <w:jc w:val="both"/>
      </w:pPr>
      <w:r>
        <w:rPr>
          <w:sz w:val="16"/>
          <w:szCs w:val="16"/>
        </w:rPr>
        <w:t xml:space="preserve">W.-K. Chen, </w:t>
      </w:r>
      <w:r>
        <w:rPr>
          <w:sz w:val="16"/>
          <w:i/>
          <w:szCs w:val="16"/>
          <w:iCs/>
        </w:rPr>
        <w:t>Linear Networks and Systems</w:t>
      </w:r>
      <w:r>
        <w:rPr>
          <w:sz w:val="16"/>
          <w:szCs w:val="16"/>
        </w:rPr>
        <w:t xml:space="preserve"> (Referencia de libro)</w:t>
      </w:r>
      <w:r>
        <w:rPr>
          <w:sz w:val="16"/>
          <w:i/>
          <w:szCs w:val="16"/>
          <w:iCs/>
        </w:rPr>
        <w:t>.</w:t>
      </w:r>
      <w:r>
        <w:rPr>
          <w:sz w:val="16"/>
          <w:szCs w:val="16"/>
        </w:rPr>
        <w:tab/>
        <w:t>Belmont, CA: Wadsworth, 1993, pp. 123–135.</w:t>
      </w:r>
    </w:p>
    <w:p>
      <w:pPr>
        <w:pStyle w:val="style0"/>
        <w:numPr>
          <w:ilvl w:val="0"/>
          <w:numId w:val="2"/>
        </w:numPr>
        <w:jc w:val="both"/>
      </w:pPr>
      <w:r>
        <w:rPr>
          <w:sz w:val="16"/>
          <w:szCs w:val="16"/>
        </w:rPr>
        <w:tab/>
        <w:t xml:space="preserve">H. Poor, </w:t>
      </w:r>
      <w:r>
        <w:rPr>
          <w:sz w:val="16"/>
          <w:i/>
          <w:szCs w:val="16"/>
          <w:iCs/>
        </w:rPr>
        <w:t>An Introduction to Signal Detection and Estimation</w:t>
      </w:r>
      <w:r>
        <w:rPr>
          <w:sz w:val="16"/>
          <w:szCs w:val="16"/>
        </w:rPr>
        <w:t>. New York: Springer-Verlag, 1985, cap. 4.</w:t>
      </w:r>
    </w:p>
    <w:p>
      <w:pPr>
        <w:pStyle w:val="style0"/>
        <w:numPr>
          <w:ilvl w:val="0"/>
          <w:numId w:val="2"/>
        </w:numPr>
        <w:jc w:val="both"/>
      </w:pPr>
      <w:r>
        <w:rPr>
          <w:sz w:val="16"/>
          <w:szCs w:val="16"/>
        </w:rPr>
        <w:t xml:space="preserve">J. U. Duncombe, “Infrared navigation—Part I: An assessment of feasibility” (Referencia de artículo en publicación periódica), </w:t>
      </w:r>
      <w:r>
        <w:rPr>
          <w:sz w:val="16"/>
          <w:i/>
          <w:szCs w:val="16"/>
          <w:iCs/>
        </w:rPr>
        <w:t>IEEE Trans. Electron Devices</w:t>
      </w:r>
      <w:r>
        <w:rPr>
          <w:sz w:val="16"/>
          <w:szCs w:val="16"/>
        </w:rPr>
        <w:t xml:space="preserve">, vol. </w:t>
      </w:r>
      <w:r>
        <w:rPr>
          <w:sz w:val="16"/>
          <w:szCs w:val="16"/>
          <w:lang w:val="es-ES"/>
        </w:rPr>
        <w:t>ED-11, pp. 34–39, Enero 1959.</w:t>
      </w:r>
    </w:p>
    <w:p>
      <w:pPr>
        <w:pStyle w:val="style0"/>
        <w:numPr>
          <w:ilvl w:val="0"/>
          <w:numId w:val="2"/>
        </w:numPr>
        <w:jc w:val="both"/>
      </w:pPr>
      <w:r>
        <w:rPr>
          <w:sz w:val="16"/>
          <w:szCs w:val="16"/>
          <w:lang w:val="es-ES"/>
        </w:rPr>
        <w:tab/>
      </w:r>
      <w:r>
        <w:rPr>
          <w:sz w:val="16"/>
          <w:szCs w:val="16"/>
        </w:rPr>
        <w:t xml:space="preserve">S. Chen, B. Mulgrew, y P. M. Grant, “A clustering technique for digital communications channel equalization using radial basis function networks”, </w:t>
      </w:r>
      <w:r>
        <w:rPr>
          <w:sz w:val="16"/>
          <w:i/>
          <w:szCs w:val="16"/>
          <w:iCs/>
        </w:rPr>
        <w:t>IEEE Trans. Neural Networks</w:t>
      </w:r>
      <w:r>
        <w:rPr>
          <w:sz w:val="16"/>
          <w:szCs w:val="16"/>
        </w:rPr>
        <w:t>, vol. 4, pp. 570–578, Julio 1993.</w:t>
      </w:r>
    </w:p>
    <w:p>
      <w:pPr>
        <w:pStyle w:val="style0"/>
        <w:numPr>
          <w:ilvl w:val="0"/>
          <w:numId w:val="2"/>
        </w:numPr>
        <w:jc w:val="both"/>
      </w:pPr>
      <w:r>
        <w:rPr>
          <w:sz w:val="16"/>
          <w:szCs w:val="16"/>
        </w:rPr>
        <w:t xml:space="preserve">R. W. Lucky, “Automatic equalization for digital communication”, </w:t>
      </w:r>
      <w:r>
        <w:rPr>
          <w:sz w:val="16"/>
          <w:i/>
          <w:szCs w:val="16"/>
          <w:iCs/>
        </w:rPr>
        <w:t xml:space="preserve">Bell Syst. </w:t>
      </w:r>
      <w:r>
        <w:rPr>
          <w:sz w:val="16"/>
          <w:i/>
          <w:szCs w:val="16"/>
          <w:iCs/>
          <w:lang w:val="es-ES"/>
        </w:rPr>
        <w:t>Tech. J.</w:t>
      </w:r>
      <w:r>
        <w:rPr>
          <w:sz w:val="16"/>
          <w:szCs w:val="16"/>
          <w:lang w:val="es-ES"/>
        </w:rPr>
        <w:t>, vol. 44, no. 4, pp. 547–588, Abril 1965.</w:t>
      </w:r>
    </w:p>
    <w:p>
      <w:pPr>
        <w:pStyle w:val="style0"/>
        <w:numPr>
          <w:ilvl w:val="0"/>
          <w:numId w:val="2"/>
        </w:numPr>
        <w:jc w:val="both"/>
      </w:pPr>
      <w:r>
        <w:rPr>
          <w:sz w:val="16"/>
          <w:szCs w:val="16"/>
          <w:lang w:val="es-ES"/>
        </w:rPr>
        <w:t xml:space="preserve">E. H. Miller, “A note on reflector arrays” (Referencia de artículo aceptado para una publicación periódica), </w:t>
      </w:r>
      <w:r>
        <w:rPr>
          <w:sz w:val="16"/>
          <w:i/>
          <w:szCs w:val="16"/>
          <w:iCs/>
          <w:lang w:val="es-ES"/>
        </w:rPr>
        <w:t>IEEE Trans. Antennas Propagat.</w:t>
      </w:r>
      <w:r>
        <w:rPr>
          <w:sz w:val="16"/>
          <w:szCs w:val="16"/>
          <w:lang w:val="es-ES"/>
        </w:rPr>
        <w:t>, publicación pendiente.</w:t>
      </w:r>
    </w:p>
    <w:p>
      <w:pPr>
        <w:pStyle w:val="style0"/>
        <w:numPr>
          <w:ilvl w:val="0"/>
          <w:numId w:val="2"/>
        </w:numPr>
        <w:jc w:val="both"/>
      </w:pPr>
      <w:r>
        <w:rPr>
          <w:sz w:val="16"/>
          <w:szCs w:val="16"/>
          <w:lang w:val="es-ES"/>
        </w:rPr>
        <w:t xml:space="preserve">S. P. Bingulac, “On the compatibility of adaptive controllers” (Referencia de artículo publicado en Memorias de un evento), en </w:t>
      </w:r>
      <w:r>
        <w:rPr>
          <w:sz w:val="16"/>
          <w:i/>
          <w:szCs w:val="16"/>
          <w:iCs/>
          <w:lang w:val="es-ES"/>
        </w:rPr>
        <w:t xml:space="preserve">Proc. 4th Annu. </w:t>
      </w:r>
      <w:r>
        <w:rPr>
          <w:sz w:val="16"/>
          <w:i/>
          <w:szCs w:val="16"/>
          <w:iCs/>
        </w:rPr>
        <w:t>Allerton Conf. Circuits and Systems Theory</w:t>
      </w:r>
      <w:r>
        <w:rPr>
          <w:sz w:val="16"/>
          <w:szCs w:val="16"/>
        </w:rPr>
        <w:t>, New York, 1994, pp. 8–16.</w:t>
      </w:r>
    </w:p>
    <w:p>
      <w:pPr>
        <w:pStyle w:val="style0"/>
        <w:numPr>
          <w:ilvl w:val="0"/>
          <w:numId w:val="2"/>
        </w:numPr>
        <w:jc w:val="both"/>
      </w:pPr>
      <w:r>
        <w:rPr>
          <w:sz w:val="16"/>
          <w:szCs w:val="16"/>
        </w:rPr>
        <w:t xml:space="preserve">G. R. Faulhaber, “Design of service systems with priority reservation”, en </w:t>
      </w:r>
      <w:r>
        <w:rPr>
          <w:sz w:val="16"/>
          <w:i/>
          <w:szCs w:val="16"/>
          <w:iCs/>
        </w:rPr>
        <w:t>Conf. Rec. 1995 IEEE Int. Conf. Communications,</w:t>
      </w:r>
      <w:r>
        <w:rPr>
          <w:sz w:val="16"/>
          <w:szCs w:val="16"/>
        </w:rPr>
        <w:t xml:space="preserve"> pp. 3–8.</w:t>
      </w:r>
    </w:p>
    <w:p>
      <w:pPr>
        <w:pStyle w:val="style0"/>
        <w:numPr>
          <w:ilvl w:val="0"/>
          <w:numId w:val="2"/>
        </w:numPr>
        <w:jc w:val="both"/>
      </w:pPr>
      <w:r>
        <w:rPr>
          <w:sz w:val="16"/>
          <w:szCs w:val="16"/>
        </w:rPr>
        <w:t xml:space="preserve">W. D. Doyle, “Magnetization reversal in films with biaxial anisotropy”, en </w:t>
      </w:r>
      <w:r>
        <w:rPr>
          <w:sz w:val="16"/>
          <w:i/>
          <w:szCs w:val="16"/>
          <w:iCs/>
        </w:rPr>
        <w:t>1987 Proc. INTERMAG Conf.</w:t>
      </w:r>
      <w:r>
        <w:rPr>
          <w:sz w:val="16"/>
          <w:szCs w:val="16"/>
        </w:rPr>
        <w:t>, pp. 2.2-1–2.2-6.</w:t>
      </w:r>
    </w:p>
    <w:p>
      <w:pPr>
        <w:pStyle w:val="style0"/>
        <w:numPr>
          <w:ilvl w:val="0"/>
          <w:numId w:val="2"/>
        </w:numPr>
        <w:jc w:val="both"/>
      </w:pPr>
      <w:r>
        <w:rPr>
          <w:sz w:val="16"/>
          <w:szCs w:val="16"/>
        </w:rPr>
        <w:t>G. W. Juette and L. E. Zeffanella, “Radio noise currents in short sections on bundle conductors” (Referencia de artículo proveniente de una conferencia), presentado en el IEEE Summer power Meeting, Dallas, TX, Junio 22–27, 1990, Artículo 90 SM 690-0 PWRS.</w:t>
      </w:r>
    </w:p>
    <w:p>
      <w:pPr>
        <w:pStyle w:val="style38"/>
        <w:numPr>
          <w:ilvl w:val="0"/>
          <w:numId w:val="2"/>
        </w:numPr>
      </w:pPr>
      <w:r>
        <w:rPr/>
        <w:t>J. G. Kreifeldt, “An analysis of surface-detected EMG as an amplitude-modulated noise”, presentado en la 1989 Int. Conf. Medicine and Biological Engineering, Chicago, IL.</w:t>
      </w:r>
    </w:p>
    <w:p>
      <w:pPr>
        <w:pStyle w:val="style38"/>
        <w:numPr>
          <w:ilvl w:val="0"/>
          <w:numId w:val="2"/>
        </w:numPr>
      </w:pPr>
      <w:r>
        <w:rPr>
          <w:lang w:val="es-ES"/>
        </w:rPr>
        <w:t xml:space="preserve">J. Williams, “Narrow-band analyzer” (Referencia de una tesis o monografía), Tesis de Ph.D., Dept. </w:t>
      </w:r>
      <w:r>
        <w:rPr/>
        <w:t>Elect. Eng., Harvard Univ., Cambridge, MA, 1993.</w:t>
      </w:r>
    </w:p>
    <w:p>
      <w:pPr>
        <w:pStyle w:val="style38"/>
        <w:numPr>
          <w:ilvl w:val="0"/>
          <w:numId w:val="2"/>
        </w:numPr>
      </w:pPr>
      <w:r>
        <w:rPr/>
        <w:t xml:space="preserve">N. Kawasaki, “Parametric study of thermal and chemical nonequilibrium nozzle flow”, tesis de M.S., Dept. Electron. </w:t>
      </w:r>
      <w:r>
        <w:rPr>
          <w:lang w:val="es-ES"/>
        </w:rPr>
        <w:t>Eng., Osaka Univ., Osaka, Japón, 1993.</w:t>
      </w:r>
    </w:p>
    <w:p>
      <w:pPr>
        <w:pStyle w:val="style38"/>
        <w:numPr>
          <w:ilvl w:val="0"/>
          <w:numId w:val="2"/>
        </w:numPr>
      </w:pPr>
      <w:r>
        <w:rPr/>
        <w:t xml:space="preserve">B. Smith, “An approach to graphs of linear forms” </w:t>
      </w:r>
      <w:r>
        <w:rPr>
          <w:lang w:val="es-ES"/>
        </w:rPr>
        <w:t>(Referencia de un trabajo no publicado), sin publicar.</w:t>
      </w:r>
    </w:p>
    <w:p>
      <w:pPr>
        <w:pStyle w:val="style38"/>
        <w:numPr>
          <w:ilvl w:val="0"/>
          <w:numId w:val="2"/>
        </w:numPr>
      </w:pPr>
      <w:r>
        <w:rPr>
          <w:lang w:val="es-ES"/>
        </w:rPr>
        <w:t>J. P. Wilkinson, “Nonlinear resonant circuit devices” (Referencia de una patente), U.S. Patent 3 624 12, Julio 16, 1990.</w:t>
      </w:r>
    </w:p>
    <w:p>
      <w:pPr>
        <w:pStyle w:val="style38"/>
        <w:numPr>
          <w:ilvl w:val="0"/>
          <w:numId w:val="2"/>
        </w:numPr>
      </w:pPr>
      <w:r>
        <w:rPr>
          <w:lang w:val="es-ES"/>
        </w:rPr>
        <w:t>A. Harrison, comunicación privada, Mayo 1995.</w:t>
      </w:r>
    </w:p>
    <w:p>
      <w:pPr>
        <w:pStyle w:val="style38"/>
        <w:numPr>
          <w:ilvl w:val="0"/>
          <w:numId w:val="2"/>
        </w:numPr>
      </w:pPr>
      <w:r>
        <w:rPr>
          <w:i/>
          <w:iCs/>
        </w:rPr>
        <w:t xml:space="preserve">IEEE Criteria for Class IE Electric Systems </w:t>
      </w:r>
      <w:r>
        <w:rPr/>
        <w:t>(Referencia de normas)</w:t>
      </w:r>
      <w:r>
        <w:rPr>
          <w:i/>
          <w:iCs/>
        </w:rPr>
        <w:t>,</w:t>
      </w:r>
      <w:r>
        <w:rPr/>
        <w:t xml:space="preserve"> IEEE Standard 308, 1969.</w:t>
      </w:r>
    </w:p>
    <w:p>
      <w:pPr>
        <w:pStyle w:val="style38"/>
        <w:numPr>
          <w:ilvl w:val="0"/>
          <w:numId w:val="2"/>
        </w:numPr>
      </w:pPr>
      <w:r>
        <w:rPr>
          <w:i/>
          <w:iCs/>
        </w:rPr>
        <w:t>Letter Symbols for Quantities</w:t>
      </w:r>
      <w:r>
        <w:rPr/>
        <w:t>, ANSI Standard Y10.5-1968.</w:t>
      </w:r>
    </w:p>
    <w:p>
      <w:pPr>
        <w:pStyle w:val="style38"/>
        <w:numPr>
          <w:ilvl w:val="0"/>
          <w:numId w:val="2"/>
        </w:numPr>
      </w:pPr>
      <w:r>
        <w:rPr/>
        <w:t>R. E. Haskell and C. T. Case, “Transient signal propagation in lossless isotropic plasmas” (Referencia de un reporte), USAF Cambridge Res. Lab., Cambridge, MA Rep. ARCRL-66-234 (II), 1994, vol. 2.</w:t>
      </w:r>
    </w:p>
    <w:p>
      <w:pPr>
        <w:pStyle w:val="style38"/>
        <w:numPr>
          <w:ilvl w:val="0"/>
          <w:numId w:val="2"/>
        </w:numPr>
      </w:pPr>
      <w:r>
        <w:rPr/>
        <w:t>[10]</w:t>
        <w:tab/>
        <w:t>E. E. Reber, R. L. Michell, and C. J. Carter, “Oxygen absorption in the Earth’s atmosphere” Aerospace Corp., Los Angeles, CA, Tech. Rep. TR-0200 (420-46)-3, Nov. 1988.</w:t>
      </w:r>
    </w:p>
    <w:p>
      <w:pPr>
        <w:pStyle w:val="style38"/>
        <w:numPr>
          <w:ilvl w:val="0"/>
          <w:numId w:val="2"/>
        </w:numPr>
      </w:pPr>
      <w:r>
        <w:rPr>
          <w:i/>
          <w:iCs/>
        </w:rPr>
        <w:t xml:space="preserve">Transmission Systems for Communications </w:t>
      </w:r>
      <w:r>
        <w:rPr/>
        <w:t>(Referencia de un manual o Handbook), 3rd ed., Western Electric Co., Winston-Salem, NC, 1985, pp. 44–60.</w:t>
      </w:r>
    </w:p>
    <w:p>
      <w:pPr>
        <w:pStyle w:val="style38"/>
        <w:numPr>
          <w:ilvl w:val="0"/>
          <w:numId w:val="2"/>
        </w:numPr>
      </w:pPr>
      <w:r>
        <w:rPr/>
        <w:t>[12]</w:t>
        <w:tab/>
      </w:r>
      <w:r>
        <w:rPr>
          <w:i/>
          <w:iCs/>
        </w:rPr>
        <w:t>Motorola Semiconductor Data Manual,</w:t>
      </w:r>
      <w:r>
        <w:rPr/>
        <w:t xml:space="preserve"> Motorola Semiconductor Products Inc., Phoenix, AZ, 1989.</w:t>
      </w:r>
    </w:p>
    <w:p>
      <w:pPr>
        <w:pStyle w:val="style38"/>
        <w:numPr>
          <w:ilvl w:val="0"/>
          <w:numId w:val="2"/>
        </w:numPr>
      </w:pPr>
      <w:r>
        <w:rPr>
          <w:lang w:val="es-ES"/>
        </w:rPr>
        <w:t xml:space="preserve">(Referencia de un libro o monografía en Internet) A. B. Autor. (año, mes, día). </w:t>
      </w:r>
      <w:r>
        <w:rPr>
          <w:i/>
          <w:iCs/>
          <w:lang w:val="es-ES"/>
        </w:rPr>
        <w:t>Título</w:t>
      </w:r>
      <w:r>
        <w:rPr>
          <w:lang w:val="es-ES"/>
        </w:rPr>
        <w:t xml:space="preserve"> (edición) [Tipo de medio]. Volumen (número).</w:t>
        <w:tab/>
        <w:t xml:space="preserve"> Disponible en: </w:t>
      </w:r>
      <w:hyperlink r:id="rId2">
        <w:r>
          <w:rPr>
            <w:rStyle w:val="style23"/>
            <w:lang w:val="es-ES"/>
          </w:rPr>
          <w:t>http://www.(URL</w:t>
        </w:r>
      </w:hyperlink>
      <w:r>
        <w:rPr>
          <w:lang w:val="es-ES"/>
        </w:rPr>
        <w:t>).</w:t>
      </w:r>
    </w:p>
    <w:p>
      <w:pPr>
        <w:pStyle w:val="style38"/>
        <w:numPr>
          <w:ilvl w:val="0"/>
          <w:numId w:val="2"/>
        </w:numPr>
      </w:pPr>
      <w:r>
        <w:rPr>
          <w:lang w:val="es-CO"/>
        </w:rPr>
        <w:t xml:space="preserve">J. Jones. </w:t>
      </w:r>
      <w:r>
        <w:rPr>
          <w:lang w:val="es-ES"/>
        </w:rPr>
        <w:t xml:space="preserve">(Mayo 10, 1991). Networks (2da Ed.) </w:t>
      </w:r>
      <w:r>
        <w:rPr>
          <w:lang w:val="es-CO"/>
        </w:rPr>
        <w:t xml:space="preserve">[En Internet, Online]. </w:t>
      </w:r>
      <w:r>
        <w:rPr>
          <w:lang w:val="es-ES"/>
        </w:rPr>
        <w:t xml:space="preserve">Disponible en: </w:t>
      </w:r>
      <w:hyperlink r:id="rId3">
        <w:r>
          <w:rPr>
            <w:rStyle w:val="style18"/>
            <w:lang w:val="es-ES"/>
          </w:rPr>
          <w:t>http://www.atm.com</w:t>
        </w:r>
      </w:hyperlink>
      <w:r>
        <w:rPr>
          <w:lang w:val="es-ES"/>
        </w:rPr>
        <w:t>.</w:t>
      </w:r>
    </w:p>
    <w:p>
      <w:pPr>
        <w:pStyle w:val="style38"/>
        <w:numPr>
          <w:ilvl w:val="0"/>
          <w:numId w:val="2"/>
        </w:numPr>
      </w:pPr>
      <w:r>
        <w:rPr>
          <w:lang w:val="es-ES"/>
        </w:rPr>
        <w:t xml:space="preserve">(Referencia de un Journal Online) A. Autor. (año, mes). Título. </w:t>
      </w:r>
      <w:r>
        <w:rPr>
          <w:i/>
          <w:iCs/>
          <w:lang w:val="es-ES"/>
        </w:rPr>
        <w:t>Journal</w:t>
      </w:r>
      <w:r>
        <w:rPr>
          <w:lang w:val="es-ES"/>
        </w:rPr>
        <w:t xml:space="preserve"> [Tipo de medio]. Volumen (número), número de páginas.</w:t>
        <w:tab/>
        <w:t xml:space="preserve"> Disponible en: </w:t>
      </w:r>
      <w:hyperlink r:id="rId4">
        <w:r>
          <w:rPr>
            <w:rStyle w:val="style23"/>
            <w:lang w:val="es-ES"/>
          </w:rPr>
          <w:t>http://www.(URL</w:t>
        </w:r>
      </w:hyperlink>
      <w:r>
        <w:rPr>
          <w:lang w:val="es-ES"/>
        </w:rPr>
        <w:t>).</w:t>
      </w:r>
    </w:p>
    <w:p>
      <w:pPr>
        <w:pStyle w:val="style38"/>
        <w:numPr>
          <w:ilvl w:val="0"/>
          <w:numId w:val="2"/>
        </w:numPr>
      </w:pPr>
      <w:r>
        <w:rPr/>
        <w:t xml:space="preserve">R. J. Vidmar. (Agosto, 1992). On the use of atmospheric plasmas as electromagnetic reflectors. </w:t>
      </w:r>
      <w:r>
        <w:rPr>
          <w:i/>
          <w:iCs/>
        </w:rPr>
        <w:t>IEEE Trans. Plasma Sci.</w:t>
      </w:r>
      <w:r>
        <w:rPr/>
        <w:t xml:space="preserve"> [Online]. </w:t>
      </w:r>
      <w:r>
        <w:rPr>
          <w:i/>
          <w:iCs/>
          <w:lang w:val="es-CO"/>
        </w:rPr>
        <w:t>21(3).</w:t>
      </w:r>
      <w:r>
        <w:rPr>
          <w:lang w:val="es-CO"/>
        </w:rPr>
        <w:t xml:space="preserve"> pp. 876—880. </w:t>
      </w:r>
      <w:r>
        <w:rPr>
          <w:lang w:val="es-ES"/>
        </w:rPr>
        <w:t xml:space="preserve">Disponible en: </w:t>
      </w:r>
      <w:hyperlink r:id="rId5">
        <w:r>
          <w:rPr>
            <w:rStyle w:val="style18"/>
            <w:lang w:val="es-ES"/>
          </w:rPr>
          <w:t>http://www.halcyon.com/pub/journals/21ps03-vidmar</w:t>
        </w:r>
      </w:hyperlink>
      <w:r>
        <w:rPr>
          <w:lang w:val="es-ES"/>
        </w:rPr>
        <w:t>.</w:t>
      </w:r>
    </w:p>
    <w:p>
      <w:pPr>
        <w:pStyle w:val="style38"/>
        <w:ind w:hanging="360" w:left="360" w:right="0"/>
      </w:pPr>
      <w:r>
        <w:rPr/>
      </w:r>
    </w:p>
    <w:sectPr>
      <w:formProt w:val="off"/>
      <w:pgSz w:h="15840" w:w="12240"/>
      <w:cols w:equalWidth="true" w:num="2" w:sep="true" w:space="288"/>
      <w:textDirection w:val="lrTb"/>
      <w:pgNumType w:fmt="decimal"/>
      <w:type w:val="nextPage"/>
      <w:headerReference r:id="rId6"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notes.xml><?xml version="1.0" encoding="UTF-8" standalone="yes"?>
<w:footnotes xmlns:w="http://schemas.openxmlformats.org/wordprocessingml/2006/main"><w:footnote w:id="0" w:type="separator"><w:p><w:r><w:separator/></w:r></w:p></w:footnote><w:footnote w:id="1" w:type="continuationSeparator"><w:p><w:r><w:continuationSeparator/></w:r></w:p></w:footnote><w:footnote w:id="2"><w:p><w:pPr><w:pStyle w:val="style37"/></w:pPr><w:r><w:rPr><w:lang w:val="es-ES"/></w:rPr><w:tab/><w:t xml:space="preserve">Primer Autor: </w:t></w:r><w:hyperlink r:id="rId8"><w:r><w:rPr><w:rStyle w:val="style18"/><w:lang w:val="es-ES"/></w:rPr><w:t>autor1@unal.edu.co</w:t></w:r></w:hyperlink><w:r><w:rPr><w:lang w:val="es-ES"/></w:rPr><w:t>, estudiante de Maestría en Ingeniería - Ingeniería Mecánica, Universidad Nacional de Colombia.</w:t></w:r></w:p><w:p><w:pPr><w:pStyle w:val="style37"/></w:pPr><w:r><w:rPr><w:lang w:val="es-ES"/></w:rPr><w:tab/><w:t xml:space="preserve">Segundo Autor: </w:t></w:r><w:hyperlink r:id="rId9"><w:r><w:rPr><w:rStyle w:val="style18"/><w:lang w:val="es-ES"/></w:rPr><w:t>autor2@unal.edu.co</w:t></w:r></w:hyperlink><w:r><w:rPr><w:lang w:val="es-ES"/></w:rPr><w:t>, Profesor, Departamento de Ingeniería Civil y Agrícola, Universidad Nacional de Colombia</w:t></w:r></w:p><w:p><w:pPr><w:pStyle w:val="style37"/></w:pPr><w:r><w:rPr><w:lang w:val="es-ES"/></w:rPr><w:tab/><w:t xml:space="preserve">Tercer Autor: </w:t></w:r><w:hyperlink r:id="rId10"><w:r><w:rPr><w:rStyle w:val="style18"/><w:lang w:val="es-ES"/></w:rPr><w:t>autor3@yahoo.com</w:t></w:r></w:hyperlink><w:r><w:rPr><w:lang w:val="es-ES"/></w:rPr><w:t>, Magister en Ingeniería - Ingeniería Química, Universidad Nacional de Colombia.</w:t></w:r></w:p><w:p><w:pPr><w:pStyle w:val="style52"/></w:pPr><w:r><w:rPr></w:rPr></w:r></w:p></w:footnote><w:footnote w:id="3"><w:p><w:pPr><w:pStyle w:val="style37"/></w:pPr><w:r><w:rPr></w:rPr><w:tab/></w:r><w:r><w:rPr><w:lang w:val="es-ES"/></w:rPr><w:t xml:space="preserve"> </w:t></w:r><w:r><w:rPr><w:lang w:val="es-ES"/></w:rPr><w:t>Se recomienda evitar las notas a pie de página (exceptuando la nota a pie de la primera página). Trate de integrar la información proporcionada al texto del artículo.</w:t></w:r></w:p><w:p><w:pPr><w:pStyle w:val="style37"/></w:pPr><w:r><w:rPr><w:lang w:val="es-ES"/></w:rPr></w:r></w:p><w:p><w:pPr><w:pStyle w:val="style52"/></w:pPr><w:r><w:rPr></w:rPr></w:r></w:p></w:footnote></w:footnotes>
</file>

<file path=word/header1.xml><?xml version="1.0" encoding="utf-8"?>
<w:hdr xmlns:w="http://schemas.openxmlformats.org/wordprocessingml/2006/main">
  <w:p>
    <w:pPr>
      <w:pStyle w:val="style0"/>
      <w:ind w:hanging="0" w:left="0" w:right="360"/>
    </w:pPr>
    <w:r>
      <w:fldChar w:fldCharType="begin"/>
    </w:r>
    <w:r>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w:abstractNum w:abstractNumId="1">
    <w:lvl w:ilvl="0">
      <w:start w:val="1"/>
      <w:numFmt w:val="decimal"/>
      <w:lvlJc w:val="left"/>
      <w:lvlText w:val="[%1]"/>
      <w:pPr>
        <w:ind w:hanging="360" w:left="360"/>
      </w:pPr>
    </w:lvl>
    <w:lvl w:ilvl="1">
      <w:start w:val="1"/>
      <w:numFmt w:val="upperLetter"/>
      <w:lvlJc w:val="left"/>
      <w:lvlText w:val="%2."/>
      <w:pPr>
        <w:ind w:hanging="576" w:left="144"/>
      </w:pPr>
    </w:lvl>
    <w:lvl w:ilvl="2">
      <w:start w:val="1"/>
      <w:numFmt w:val="decimal"/>
      <w:lvlJc w:val="left"/>
      <w:lvlText w:val="%2.%3)"/>
      <w:pPr>
        <w:ind w:hanging="720" w:left="288"/>
      </w:pPr>
    </w:lvl>
    <w:lvl w:ilvl="3">
      <w:start w:val="1"/>
      <w:numFmt w:val="lowerLetter"/>
      <w:lvlJc w:val="left"/>
      <w:lvlText w:val="%2.%3.%4)"/>
      <w:pPr>
        <w:ind w:hanging="720" w:left="1152"/>
      </w:pPr>
    </w:lvl>
    <w:lvl w:ilvl="4">
      <w:start w:val="1"/>
      <w:numFmt w:val="decimal"/>
      <w:lvlJc w:val="left"/>
      <w:lvlText w:val="(%2.%3.%4.%5)"/>
      <w:pPr>
        <w:ind w:hanging="720" w:left="1872"/>
      </w:pPr>
    </w:lvl>
    <w:lvl w:ilvl="5">
      <w:start w:val="1"/>
      <w:numFmt w:val="lowerLetter"/>
      <w:lvlJc w:val="left"/>
      <w:lvlText w:val="(%2.%3.%4.%5.%6)"/>
      <w:pPr>
        <w:ind w:hanging="720" w:left="2592"/>
      </w:pPr>
    </w:lvl>
    <w:lvl w:ilvl="6">
      <w:start w:val="1"/>
      <w:numFmt w:val="lowerRoman"/>
      <w:lvlJc w:val="left"/>
      <w:lvlText w:val="(%2.%3.%4.%5.%6.%7)"/>
      <w:pPr>
        <w:ind w:hanging="720" w:left="3312"/>
      </w:pPr>
    </w:lvl>
    <w:lvl w:ilvl="7">
      <w:start w:val="1"/>
      <w:numFmt w:val="lowerLetter"/>
      <w:lvlJc w:val="left"/>
      <w:lvlText w:val="(%2.%3.%4.%5.%6.%7.%8)"/>
      <w:pPr>
        <w:ind w:hanging="720" w:left="4032"/>
      </w:pPr>
    </w:lvl>
    <w:lvl w:ilvl="8">
      <w:start w:val="1"/>
      <w:numFmt w:val="lowerRoman"/>
      <w:lvlJc w:val="left"/>
      <w:lvlText w:val="(%2.%3.%4.%5.%6.%7.%8.%9)"/>
      <w:pPr>
        <w:ind w:hanging="720" w:left="4752"/>
      </w:pPr>
    </w:lvl>
  </w:abstractNum>
  <w:abstractNum w:abstractNumId="2">
    <w:lvl w:ilvl="0">
      <w:start w:val="1"/>
      <w:numFmt w:val="decimal"/>
      <w:lvlJc w:val="left"/>
      <w:lvlText w:val="[%1]"/>
      <w:pPr>
        <w:ind w:hanging="360" w:left="502"/>
      </w:pPr>
      <w:rPr>
        <w:sz w:val="16"/>
        <w:szCs w:val="16"/>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pPr>
    <w:rPr>
      <w:color w:val="auto"/>
      <w:sz w:val="20"/>
      <w:szCs w:val="20"/>
      <w:rFonts w:ascii="Times New Roman" w:cs="Times New Roman" w:eastAsia="Times New Roman" w:hAnsi="Times New Roman"/>
      <w:lang w:bidi="ar-SA" w:eastAsia="en-US" w:val="en-US"/>
    </w:rPr>
  </w:style>
  <w:style w:styleId="style1" w:type="paragraph">
    <w:name w:val="Heading 1"/>
    <w:basedOn w:val="style0"/>
    <w:next w:val="style29"/>
    <w:pPr>
      <w:numPr>
        <w:ilvl w:val="0"/>
        <w:numId w:val="1"/>
      </w:numPr>
      <w:jc w:val="center"/>
      <w:keepNext/>
      <w:spacing w:after="80" w:before="240"/>
    </w:pPr>
    <w:rPr>
      <w:smallCaps/>
    </w:rPr>
  </w:style>
  <w:style w:styleId="style2" w:type="paragraph">
    <w:name w:val="Heading 2"/>
    <w:basedOn w:val="style0"/>
    <w:next w:val="style29"/>
    <w:pPr>
      <w:outlineLvl w:val="1"/>
      <w:numPr>
        <w:ilvl w:val="1"/>
        <w:numId w:val="1"/>
      </w:numPr>
      <w:ind w:hanging="0" w:left="144" w:right="0"/>
      <w:keepNext/>
      <w:spacing w:after="60" w:before="120"/>
    </w:pPr>
    <w:rPr>
      <w:i/>
      <w:iCs/>
    </w:rPr>
  </w:style>
  <w:style w:styleId="style3" w:type="paragraph">
    <w:name w:val="Heading 3"/>
    <w:basedOn w:val="style0"/>
    <w:next w:val="style29"/>
    <w:pPr>
      <w:outlineLvl w:val="2"/>
      <w:numPr>
        <w:ilvl w:val="2"/>
        <w:numId w:val="1"/>
      </w:numPr>
      <w:ind w:hanging="0" w:left="288" w:right="0"/>
      <w:keepNext/>
    </w:pPr>
    <w:rPr>
      <w:i/>
      <w:iCs/>
    </w:rPr>
  </w:style>
  <w:style w:styleId="style4" w:type="paragraph">
    <w:name w:val="Heading 4"/>
    <w:basedOn w:val="style0"/>
    <w:next w:val="style29"/>
    <w:pPr>
      <w:outlineLvl w:val="3"/>
      <w:numPr>
        <w:ilvl w:val="3"/>
        <w:numId w:val="1"/>
      </w:numPr>
      <w:keepNext/>
      <w:spacing w:after="60" w:before="240"/>
    </w:pPr>
    <w:rPr>
      <w:sz w:val="18"/>
      <w:i/>
      <w:szCs w:val="18"/>
      <w:iCs/>
    </w:rPr>
  </w:style>
  <w:style w:styleId="style5" w:type="paragraph">
    <w:name w:val="Heading 5"/>
    <w:basedOn w:val="style0"/>
    <w:next w:val="style29"/>
    <w:pPr>
      <w:outlineLvl w:val="4"/>
      <w:numPr>
        <w:ilvl w:val="4"/>
        <w:numId w:val="1"/>
      </w:numPr>
      <w:spacing w:after="60" w:before="240"/>
    </w:pPr>
    <w:rPr>
      <w:sz w:val="18"/>
      <w:szCs w:val="18"/>
    </w:rPr>
  </w:style>
  <w:style w:styleId="style6" w:type="paragraph">
    <w:name w:val="Heading 6"/>
    <w:basedOn w:val="style0"/>
    <w:next w:val="style29"/>
    <w:pPr>
      <w:outlineLvl w:val="5"/>
      <w:numPr>
        <w:ilvl w:val="5"/>
        <w:numId w:val="1"/>
      </w:numPr>
      <w:spacing w:after="60" w:before="240"/>
    </w:pPr>
    <w:rPr>
      <w:sz w:val="16"/>
      <w:i/>
      <w:szCs w:val="16"/>
      <w:iCs/>
    </w:rPr>
  </w:style>
  <w:style w:styleId="style7" w:type="paragraph">
    <w:name w:val="Heading 7"/>
    <w:basedOn w:val="style0"/>
    <w:next w:val="style29"/>
    <w:pPr>
      <w:outlineLvl w:val="6"/>
      <w:numPr>
        <w:ilvl w:val="6"/>
        <w:numId w:val="1"/>
      </w:numPr>
      <w:spacing w:after="60" w:before="240"/>
    </w:pPr>
    <w:rPr>
      <w:sz w:val="16"/>
      <w:szCs w:val="16"/>
    </w:rPr>
  </w:style>
  <w:style w:styleId="style8" w:type="paragraph">
    <w:name w:val="Heading 8"/>
    <w:basedOn w:val="style0"/>
    <w:next w:val="style29"/>
    <w:pPr>
      <w:outlineLvl w:val="7"/>
      <w:numPr>
        <w:ilvl w:val="7"/>
        <w:numId w:val="1"/>
      </w:numPr>
      <w:spacing w:after="60" w:before="240"/>
    </w:pPr>
    <w:rPr>
      <w:sz w:val="16"/>
      <w:i/>
      <w:szCs w:val="16"/>
      <w:iCs/>
    </w:rPr>
  </w:style>
  <w:style w:styleId="style9" w:type="paragraph">
    <w:name w:val="Heading 9"/>
    <w:basedOn w:val="style0"/>
    <w:next w:val="style29"/>
    <w:pPr>
      <w:outlineLvl w:val="8"/>
      <w:numPr>
        <w:ilvl w:val="8"/>
        <w:numId w:val="1"/>
      </w:numPr>
      <w:spacing w:after="60" w:before="240"/>
    </w:pPr>
    <w:rPr>
      <w:sz w:val="16"/>
      <w:szCs w:val="16"/>
    </w:rPr>
  </w:style>
  <w:style w:styleId="style15" w:type="character">
    <w:name w:val="Default Paragraph Font"/>
    <w:next w:val="style15"/>
    <w:rPr/>
  </w:style>
  <w:style w:styleId="style16" w:type="character">
    <w:name w:val="MemberType"/>
    <w:basedOn w:val="style15"/>
    <w:next w:val="style16"/>
    <w:rPr/>
  </w:style>
  <w:style w:styleId="style17" w:type="character">
    <w:name w:val="footnote reference"/>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FollowedHyperlink"/>
    <w:basedOn w:val="style15"/>
    <w:next w:val="style19"/>
    <w:rPr/>
  </w:style>
  <w:style w:styleId="style20" w:type="character">
    <w:name w:val="Texto de globo Car"/>
    <w:basedOn w:val="style15"/>
    <w:next w:val="style20"/>
    <w:rPr/>
  </w:style>
  <w:style w:styleId="style21" w:type="character">
    <w:name w:val="ListLabel 1"/>
    <w:next w:val="style21"/>
    <w:rPr>
      <w:sz w:val="16"/>
      <w:szCs w:val="16"/>
    </w:rPr>
  </w:style>
  <w:style w:styleId="style22" w:type="character">
    <w:name w:val="ListLabel 2"/>
    <w:next w:val="style22"/>
    <w:rPr>
      <w:sz w:val="20"/>
    </w:rPr>
  </w:style>
  <w:style w:styleId="style23" w:type="character">
    <w:name w:val="Visited Internet Link"/>
    <w:next w:val="style23"/>
    <w:rPr>
      <w:color w:val="800000"/>
      <w:u w:val="single"/>
      <w:lang w:bidi="en-US" w:eastAsia="en-US" w:val="en-US"/>
    </w:rPr>
  </w:style>
  <w:style w:styleId="style24" w:type="character">
    <w:name w:val="Footnote Characters"/>
    <w:next w:val="style24"/>
    <w:rPr/>
  </w:style>
  <w:style w:styleId="style25" w:type="character">
    <w:name w:val="Footnote anchor"/>
    <w:next w:val="style25"/>
    <w:rPr/>
  </w:style>
  <w:style w:styleId="style26" w:type="character">
    <w:name w:val="Endnote anchor"/>
    <w:next w:val="style26"/>
    <w:rPr/>
  </w:style>
  <w:style w:styleId="style27" w:type="character">
    <w:name w:val="Endnote Characters"/>
    <w:next w:val="style27"/>
    <w:rPr/>
  </w:style>
  <w:style w:styleId="style28" w:type="paragraph">
    <w:name w:val="Heading"/>
    <w:basedOn w:val="style0"/>
    <w:next w:val="style29"/>
    <w:pPr>
      <w:keepNext/>
      <w:spacing w:after="120" w:before="240"/>
    </w:pPr>
    <w:rPr>
      <w:sz w:val="28"/>
      <w:szCs w:val="28"/>
      <w:rFonts w:ascii="Arial" w:cs="DejaVu Sans" w:eastAsia="DejaVu Sans" w:hAnsi="Arial"/>
    </w:rPr>
  </w:style>
  <w:style w:styleId="style29" w:type="paragraph">
    <w:name w:val="Text body"/>
    <w:basedOn w:val="style0"/>
    <w:next w:val="style29"/>
    <w:pPr>
      <w:jc w:val="both"/>
    </w:pPr>
    <w:rPr>
      <w:lang w:eastAsia="es-ES" w:val="es-CO"/>
    </w:rPr>
  </w:style>
  <w:style w:styleId="style30" w:type="paragraph">
    <w:name w:val="List"/>
    <w:basedOn w:val="style29"/>
    <w:next w:val="style30"/>
    <w:pPr/>
    <w:rPr/>
  </w:style>
  <w:style w:styleId="style31" w:type="paragraph">
    <w:name w:val="Caption"/>
    <w:basedOn w:val="style0"/>
    <w:next w:val="style31"/>
    <w:pPr>
      <w:suppressLineNumbers/>
      <w:spacing w:after="120" w:before="120"/>
    </w:pPr>
    <w:rPr>
      <w:sz w:val="24"/>
      <w:i/>
      <w:szCs w:val="24"/>
      <w:iCs/>
    </w:rPr>
  </w:style>
  <w:style w:styleId="style32" w:type="paragraph">
    <w:name w:val="Index"/>
    <w:basedOn w:val="style0"/>
    <w:next w:val="style32"/>
    <w:pPr>
      <w:suppressLineNumbers/>
    </w:pPr>
    <w:rPr/>
  </w:style>
  <w:style w:styleId="style33" w:type="paragraph">
    <w:name w:val="Resumen"/>
    <w:basedOn w:val="style0"/>
    <w:next w:val="style33"/>
    <w:pPr/>
    <w:rPr/>
  </w:style>
  <w:style w:styleId="style34" w:type="paragraph">
    <w:name w:val="Authors"/>
    <w:basedOn w:val="style0"/>
    <w:next w:val="style34"/>
    <w:pPr/>
    <w:rPr/>
  </w:style>
  <w:style w:styleId="style35" w:type="paragraph">
    <w:name w:val="Title"/>
    <w:basedOn w:val="style0"/>
    <w:next w:val="style36"/>
    <w:pPr>
      <w:jc w:val="center"/>
    </w:pPr>
    <w:rPr>
      <w:sz w:val="48"/>
      <w:b/>
      <w:szCs w:val="48"/>
      <w:bCs/>
    </w:rPr>
  </w:style>
  <w:style w:styleId="style36" w:type="paragraph">
    <w:name w:val="Subtitle"/>
    <w:basedOn w:val="style28"/>
    <w:next w:val="style29"/>
    <w:pPr>
      <w:jc w:val="center"/>
    </w:pPr>
    <w:rPr>
      <w:sz w:val="28"/>
      <w:i/>
      <w:szCs w:val="28"/>
      <w:iCs/>
    </w:rPr>
  </w:style>
  <w:style w:styleId="style37" w:type="paragraph">
    <w:name w:val="footnote text"/>
    <w:basedOn w:val="style0"/>
    <w:next w:val="style37"/>
    <w:pPr/>
    <w:rPr/>
  </w:style>
  <w:style w:styleId="style38" w:type="paragraph">
    <w:name w:val="Referencias"/>
    <w:basedOn w:val="style0"/>
    <w:next w:val="style38"/>
    <w:pPr>
      <w:outlineLvl w:val="0"/>
      <w:numPr>
        <w:ilvl w:val="0"/>
        <w:numId w:val="1"/>
      </w:numPr>
    </w:pPr>
    <w:rPr/>
  </w:style>
  <w:style w:styleId="style39" w:type="paragraph">
    <w:name w:val="Palabras clave"/>
    <w:basedOn w:val="style0"/>
    <w:next w:val="style39"/>
    <w:pPr/>
    <w:rPr/>
  </w:style>
  <w:style w:styleId="style40" w:type="paragraph">
    <w:name w:val="Footer"/>
    <w:basedOn w:val="style0"/>
    <w:next w:val="style40"/>
    <w:pPr>
      <w:tabs>
        <w:tab w:leader="none" w:pos="4320" w:val="center"/>
        <w:tab w:leader="none" w:pos="8640" w:val="right"/>
      </w:tabs>
      <w:suppressLineNumbers/>
    </w:pPr>
    <w:rPr/>
  </w:style>
  <w:style w:styleId="style41" w:type="paragraph">
    <w:name w:val="Texto"/>
    <w:basedOn w:val="style0"/>
    <w:next w:val="style41"/>
    <w:pPr/>
    <w:rPr/>
  </w:style>
  <w:style w:styleId="style42" w:type="paragraph">
    <w:name w:val="Título de figura"/>
    <w:basedOn w:val="style0"/>
    <w:next w:val="style42"/>
    <w:pPr/>
    <w:rPr/>
  </w:style>
  <w:style w:styleId="style43" w:type="paragraph">
    <w:name w:val="Table Title"/>
    <w:basedOn w:val="style0"/>
    <w:next w:val="style43"/>
    <w:pPr/>
    <w:rPr/>
  </w:style>
  <w:style w:styleId="style44" w:type="paragraph">
    <w:name w:val="Títulos auxiliares"/>
    <w:basedOn w:val="style1"/>
    <w:next w:val="style44"/>
    <w:pPr/>
    <w:rPr/>
  </w:style>
  <w:style w:styleId="style45" w:type="paragraph">
    <w:name w:val="Header"/>
    <w:basedOn w:val="style0"/>
    <w:next w:val="style45"/>
    <w:pPr>
      <w:tabs>
        <w:tab w:leader="none" w:pos="4320" w:val="center"/>
        <w:tab w:leader="none" w:pos="8640" w:val="right"/>
      </w:tabs>
      <w:suppressLineNumbers/>
    </w:pPr>
    <w:rPr/>
  </w:style>
  <w:style w:styleId="style46" w:type="paragraph">
    <w:name w:val="Ecuación"/>
    <w:basedOn w:val="style0"/>
    <w:next w:val="style46"/>
    <w:pPr/>
    <w:rPr/>
  </w:style>
  <w:style w:styleId="style47" w:type="paragraph">
    <w:name w:val="Text body indent"/>
    <w:basedOn w:val="style0"/>
    <w:next w:val="style47"/>
    <w:pPr>
      <w:ind w:hanging="630" w:left="630" w:right="0"/>
    </w:pPr>
    <w:rPr>
      <w:szCs w:val="24"/>
    </w:rPr>
  </w:style>
  <w:style w:styleId="style48" w:type="paragraph">
    <w:name w:val="caption"/>
    <w:basedOn w:val="style0"/>
    <w:next w:val="style48"/>
    <w:pPr/>
    <w:rPr/>
  </w:style>
  <w:style w:styleId="style49" w:type="paragraph">
    <w:name w:val="Autores"/>
    <w:basedOn w:val="style34"/>
    <w:next w:val="style49"/>
    <w:pPr/>
    <w:rPr/>
  </w:style>
  <w:style w:styleId="style50" w:type="paragraph">
    <w:name w:val="Titulo Independiente"/>
    <w:basedOn w:val="style1"/>
    <w:next w:val="style50"/>
    <w:pPr/>
    <w:rPr/>
  </w:style>
  <w:style w:styleId="style51" w:type="paragraph">
    <w:name w:val="Balloon Text"/>
    <w:basedOn w:val="style0"/>
    <w:next w:val="style51"/>
    <w:pPr/>
    <w:rPr/>
  </w:style>
  <w:style w:styleId="style52" w:type="paragraph">
    <w:name w:val="Footnote"/>
    <w:basedOn w:val="style0"/>
    <w:next w:val="style52"/>
    <w:pPr>
      <w:ind w:hanging="283" w:left="283" w:right="0"/>
      <w:suppressLineNumbers/>
    </w:pPr>
    <w:rPr>
      <w:sz w:val="20"/>
      <w:szCs w:val="20"/>
    </w:rPr>
  </w:style>
  <w:style w:styleId="style53" w:type="paragraph">
    <w:name w:val="Frame contents"/>
    <w:basedOn w:val="style29"/>
    <w:next w:val="style5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www.atm.com/" TargetMode="External"/><Relationship Id="rId4" Type="http://schemas.openxmlformats.org/officeDocument/2006/relationships/hyperlink" Target="" TargetMode="External"/><Relationship Id="rId5" Type="http://schemas.openxmlformats.org/officeDocument/2006/relationships/hyperlink" Target="http://www.halcyon.com/pub/journals/21ps03-vidmar" TargetMode="External"/><Relationship Id="rId6" Type="http://schemas.openxmlformats.org/officeDocument/2006/relationships/header" Target="header1.xml"/><Relationship Id="rId7" Type="http://schemas.openxmlformats.org/officeDocument/2006/relationships/footnotes" Target="footnotes.xml"/><Relationship Id="rId8" Type="http://schemas.openxmlformats.org/officeDocument/2006/relationships/hyperlink" Target="mailto:autor1@unal.edu.co" TargetMode="External"/><Relationship Id="rId9" Type="http://schemas.openxmlformats.org/officeDocument/2006/relationships/hyperlink" Target="mailto:autor2@hotmail.com" TargetMode="External"/><Relationship Id="rId10" Type="http://schemas.openxmlformats.org/officeDocument/2006/relationships/hyperlink" Target="mailto:autor3@yahoo.com"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2011-02-24T16:51:00.00Z</dcterms:created>
  <dc:creator>-</dc:creator>
  <cp:lastModifiedBy>Angelica</cp:lastModifiedBy>
  <cp:lastPrinted>2002-04-02T16:54:00.00Z</cp:lastPrinted>
  <dcterms:modified xsi:type="dcterms:W3CDTF">2011-02-24T16:51:00.00Z</dcterms:modified>
  <cp:revision>2</cp:revision>
  <dc:subject>IEEE Transactions on Magnetics </dc:subject>
  <dc:title></dc:title>
</cp:coreProperties>
</file>