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1F1F"/>
          <w:sz w:val="34"/>
          <w:szCs w:val="34"/>
        </w:rPr>
        <w:t xml:space="preserve">Preliminary Insight Development: Used Car Prices in India</w:t>
      </w:r>
    </w:p>
    <w:p>
      <w:pPr>
        <w:spacing w:after="30"/>
      </w:pPr>
      <w:r>
        <w:rPr>
          <w:rFonts w:ascii="Calibri" w:cs="Calibri" w:eastAsia="Calibri" w:hAnsi="Calibri"/>
          <w:color w:val="595959"/>
          <w:sz w:val="19"/>
          <w:szCs w:val="19"/>
        </w:rPr>
        <w:t xml:space="preserve">COMM5000 Data Literacy · Case Study Project · Milestone 1 · Term 3, 2026</w:t>
      </w:r>
    </w:p>
    <w:p>
      <w:pPr>
        <w:pBdr>
          <w:bottom w:val="single" w:color="404040" w:sz="6" w:space="6"/>
        </w:pBdr>
        <w:spacing w:after="200"/>
      </w:pPr>
      <w:r>
        <w:rPr>
          <w:rFonts w:ascii="Calibri" w:cs="Calibri" w:eastAsia="Calibri" w:hAnsi="Calibri"/>
          <w:color w:val="595959"/>
          <w:sz w:val="18"/>
          <w:szCs w:val="18"/>
        </w:rPr>
        <w:t xml:space="preserve">Word count: 996 (headings included; tables, figures, captions, notes, references and appendix excluded)</w:t>
      </w:r>
    </w:p>
    <w:p>
      <w:pPr>
        <w:pStyle w:val="Heading1"/>
        <w:keepNext/>
        <w:spacing w:after="80" w:before="240"/>
      </w:pPr>
      <w:r>
        <w:rPr>
          <w:rFonts w:ascii="Calibri" w:cs="Calibri" w:eastAsia="Calibri" w:hAnsi="Calibri"/>
          <w:b/>
          <w:bCs/>
          <w:color w:val="1F1F1F"/>
          <w:sz w:val="26"/>
          <w:szCs w:val="26"/>
        </w:rPr>
        <w:t xml:space="preserve">1   Introduction</w:t>
      </w:r>
    </w:p>
    <w:p>
      <w:pPr>
        <w:spacing w:after="120" w:before="0" w:line="264"/>
        <w:jc w:val="both"/>
      </w:pPr>
      <w:r>
        <w:rPr>
          <w:rFonts w:ascii="Calibri" w:cs="Calibri" w:eastAsia="Calibri" w:hAnsi="Calibri"/>
          <w:color w:val="1F1F1F"/>
          <w:sz w:val="21"/>
          <w:szCs w:val="21"/>
        </w:rPr>
        <w:t xml:space="preserve">India’s used car market now outsells the new car market, yet price appraisal still relies on manual valuation (UNSW Business School 2026, p. 4). Our client, an online marketplace, needs a fast and consistent price estimate at appraisal to support instant cash offers, spot mispriced listings and forecast stock turnover. An offer set too high erodes margin and one set too low loses the seller, so the client needs a typical price and its likely spread.</w:t>
      </w:r>
    </w:p>
    <w:p>
      <w:pPr>
        <w:spacing w:after="120" w:before="0" w:line="264"/>
        <w:jc w:val="both"/>
      </w:pPr>
      <w:r>
        <w:rPr>
          <w:rFonts w:ascii="Calibri" w:cs="Calibri" w:eastAsia="Calibri" w:hAnsi="Calibri"/>
          <w:color w:val="1F1F1F"/>
          <w:sz w:val="21"/>
          <w:szCs w:val="21"/>
        </w:rPr>
        <w:t xml:space="preserve">This report explores the 1,005,000 listings in the course dataset (Stable Space 2026) against the two project objectives (UNSW Business School 2026, p. 4): how Car_Price relates to the other variables, including brand segment, and how the methods could be improved. Section 2 presents the analysis and Section 3 the findings and plan.</w:t>
      </w:r>
    </w:p>
    <w:p>
      <w:pPr>
        <w:pStyle w:val="Heading1"/>
        <w:keepNext/>
        <w:spacing w:after="80" w:before="240"/>
      </w:pPr>
      <w:r>
        <w:rPr>
          <w:rFonts w:ascii="Calibri" w:cs="Calibri" w:eastAsia="Calibri" w:hAnsi="Calibri"/>
          <w:b/>
          <w:bCs/>
          <w:color w:val="1F1F1F"/>
          <w:sz w:val="26"/>
          <w:szCs w:val="26"/>
        </w:rPr>
        <w:t xml:space="preserve">2   Data Summaries and Descriptive Statistics</w:t>
      </w:r>
    </w:p>
    <w:p>
      <w:pPr>
        <w:pStyle w:val="Heading2"/>
        <w:keepNext/>
        <w:spacing w:after="60" w:before="160"/>
      </w:pPr>
      <w:r>
        <w:rPr>
          <w:rFonts w:ascii="Calibri" w:cs="Calibri" w:eastAsia="Calibri" w:hAnsi="Calibri"/>
          <w:b/>
          <w:bCs/>
          <w:color w:val="1F1F1F"/>
          <w:sz w:val="22"/>
          <w:szCs w:val="22"/>
        </w:rPr>
        <w:t xml:space="preserve">2.1   Data preparation</w:t>
      </w:r>
    </w:p>
    <w:p>
      <w:pPr>
        <w:spacing w:after="120" w:before="0" w:line="264"/>
        <w:jc w:val="both"/>
      </w:pPr>
      <w:r>
        <w:rPr>
          <w:rFonts w:ascii="Calibri" w:cs="Calibri" w:eastAsia="Calibri" w:hAnsi="Calibri"/>
          <w:color w:val="1F1F1F"/>
          <w:sz w:val="21"/>
          <w:szCs w:val="21"/>
        </w:rPr>
        <w:t xml:space="preserve">The analysis uses the workbook randomised on 26 September 2026 (Dataset sheet, cell B6); Excel formulas calculate every number. Labels were corrected only where the intended category was obvious, and no listing was deleted (Table 1). ‘Unknown’ entries were kept as a category because they affect 28.2% of rows and cannot be recovered. No cell is blank because the macro fills gaps (Stable Space 2026, cell B4) and sets negative draws to zero, so technical zeros were treated as missing.</w:t>
      </w:r>
    </w:p>
    <w:p>
      <w:pPr>
        <w:spacing w:after="120" w:before="0" w:line="264"/>
        <w:jc w:val="both"/>
      </w:pPr>
      <w:r>
        <w:rPr>
          <w:rFonts w:ascii="Calibri" w:cs="Calibri" w:eastAsia="Calibri" w:hAnsi="Calibri"/>
          <w:color w:val="1F1F1F"/>
          <w:sz w:val="21"/>
          <w:szCs w:val="21"/>
        </w:rPr>
        <w:t xml:space="preserve">The randomising macro (Franch 2026, slide 7) rewrites five numeric columns in its code, so repeated listings no longer look identical. Matching rows on the other 15 fields gives 31,575 identical pairs, about 4,750 more than the 26,821 expected by chance. They cannot be told apart from chance matches, so were flagged but kept. Keeping one row per match moves the median by only 0.01% (Table A4).</w:t>
      </w:r>
    </w:p>
    <w:p>
      <w:pPr>
        <w:spacing w:after="120" w:before="0" w:line="264"/>
        <w:jc w:val="both"/>
      </w:pPr>
      <w:r>
        <w:rPr>
          <w:rFonts w:ascii="Calibri" w:cs="Calibri" w:eastAsia="Calibri" w:hAnsi="Calibri"/>
          <w:color w:val="1F1F1F"/>
          <w:sz w:val="21"/>
          <w:szCs w:val="21"/>
        </w:rPr>
        <w:t xml:space="preserve">The guide treats more than 1,000,000 km as implausible (UNSW Business School 2026, p. 7). These 6,134 listings are close to the 6,102 expected from a log-normal fit, so they may be a genuine tail, but were left out of the usage analysis. A few isolated values, such as 4.6 hp, are too few to matter (Table 1).</w:t>
      </w:r>
    </w:p>
    <w:p>
      <w:pPr>
        <w:keepNext/>
        <w:spacing w:after="60" w:before="160"/>
      </w:pPr>
      <w:r>
        <w:rPr>
          <w:rFonts w:ascii="Calibri" w:cs="Calibri" w:eastAsia="Calibri" w:hAnsi="Calibri"/>
          <w:b/>
          <w:bCs/>
          <w:i w:val="false"/>
          <w:iCs w:val="false"/>
          <w:sz w:val="18"/>
          <w:szCs w:val="18"/>
        </w:rPr>
        <w:t xml:space="preserve">Table 1</w:t>
      </w:r>
      <w:r>
        <w:rPr>
          <w:rFonts w:ascii="Calibri" w:cs="Calibri" w:eastAsia="Calibri" w:hAnsi="Calibri"/>
          <w:sz w:val="18"/>
          <w:szCs w:val="18"/>
        </w:rPr>
        <w:t xml:space="preserve">  Data problems and how they were treated</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41"/>
        <w:gridCol w:w="1788"/>
        <w:gridCol w:w="3012"/>
        <w:gridCol w:w="2071"/>
      </w:tblGrid>
      <w:tr>
        <w:trPr>
          <w:cantSplit/>
          <w:tblHeader/>
        </w:trPr>
        <w:tc>
          <w:tcPr>
            <w:tcW w:type="dxa" w:w="2541"/>
            <w:tcBorders>
              <w:top w:val="single" w:color="404040" w:sz="8"/>
              <w:left w:val="none" w:color="FFFFFF" w:sz="0"/>
              <w:bottom w:val="single" w:color="404040" w:sz="4"/>
              <w:right w:val="none" w:color="FFFFFF" w:sz="0"/>
            </w:tcBorders>
            <w:shd w:fill="F2F2F2" w:color="auto" w:val="clear"/>
            <w:tcMar>
              <w:top w:type="dxa" w:w="30"/>
              <w:left w:type="dxa" w:w="70"/>
              <w:bottom w:type="dxa" w:w="30"/>
              <w:right w:type="dxa" w:w="70"/>
            </w:tcMar>
            <w:vAlign w:val="top"/>
          </w:tcPr>
          <w:p>
            <w:pPr>
              <w:keepNext w:val="false"/>
              <w:spacing w:after="0" w:before="0" w:line="240"/>
              <w:jc w:val="left"/>
            </w:pPr>
            <w:r>
              <w:rPr>
                <w:rFonts w:ascii="Calibri" w:cs="Calibri" w:eastAsia="Calibri" w:hAnsi="Calibri"/>
                <w:b/>
                <w:bCs/>
                <w:color w:val="1F1F1F"/>
                <w:sz w:val="17"/>
                <w:szCs w:val="17"/>
              </w:rPr>
              <w:t xml:space="preserve">Problem</w:t>
            </w:r>
          </w:p>
        </w:tc>
        <w:tc>
          <w:tcPr>
            <w:tcW w:type="dxa" w:w="1788"/>
            <w:tcBorders>
              <w:top w:val="single" w:color="404040" w:sz="8"/>
              <w:left w:val="none" w:color="FFFFFF" w:sz="0"/>
              <w:bottom w:val="single" w:color="404040" w:sz="4"/>
              <w:right w:val="none" w:color="FFFFFF" w:sz="0"/>
            </w:tcBorders>
            <w:shd w:fill="F2F2F2" w:color="auto" w:val="clear"/>
            <w:tcMar>
              <w:top w:type="dxa" w:w="30"/>
              <w:left w:type="dxa" w:w="70"/>
              <w:bottom w:type="dxa" w:w="30"/>
              <w:right w:type="dxa" w:w="70"/>
            </w:tcMar>
            <w:vAlign w:val="top"/>
          </w:tcPr>
          <w:p>
            <w:pPr>
              <w:keepNext w:val="false"/>
              <w:spacing w:after="0" w:before="0" w:line="240"/>
              <w:jc w:val="left"/>
            </w:pPr>
            <w:r>
              <w:rPr>
                <w:rFonts w:ascii="Calibri" w:cs="Calibri" w:eastAsia="Calibri" w:hAnsi="Calibri"/>
                <w:b/>
                <w:bCs/>
                <w:color w:val="1F1F1F"/>
                <w:sz w:val="17"/>
                <w:szCs w:val="17"/>
              </w:rPr>
              <w:t xml:space="preserve">Found with</w:t>
            </w:r>
          </w:p>
        </w:tc>
        <w:tc>
          <w:tcPr>
            <w:tcW w:type="dxa" w:w="3012"/>
            <w:tcBorders>
              <w:top w:val="single" w:color="404040" w:sz="8"/>
              <w:left w:val="none" w:color="FFFFFF" w:sz="0"/>
              <w:bottom w:val="single" w:color="404040" w:sz="4"/>
              <w:right w:val="none" w:color="FFFFFF" w:sz="0"/>
            </w:tcBorders>
            <w:shd w:fill="F2F2F2" w:color="auto" w:val="clear"/>
            <w:tcMar>
              <w:top w:type="dxa" w:w="30"/>
              <w:left w:type="dxa" w:w="70"/>
              <w:bottom w:type="dxa" w:w="30"/>
              <w:right w:type="dxa" w:w="70"/>
            </w:tcMar>
            <w:vAlign w:val="top"/>
          </w:tcPr>
          <w:p>
            <w:pPr>
              <w:keepNext w:val="false"/>
              <w:spacing w:after="0" w:before="0" w:line="240"/>
              <w:jc w:val="left"/>
            </w:pPr>
            <w:r>
              <w:rPr>
                <w:rFonts w:ascii="Calibri" w:cs="Calibri" w:eastAsia="Calibri" w:hAnsi="Calibri"/>
                <w:b/>
                <w:bCs/>
                <w:color w:val="1F1F1F"/>
                <w:sz w:val="17"/>
                <w:szCs w:val="17"/>
              </w:rPr>
              <w:t xml:space="preserve">Size</w:t>
            </w:r>
          </w:p>
        </w:tc>
        <w:tc>
          <w:tcPr>
            <w:tcW w:type="dxa" w:w="2071"/>
            <w:tcBorders>
              <w:top w:val="single" w:color="404040" w:sz="8"/>
              <w:left w:val="none" w:color="FFFFFF" w:sz="0"/>
              <w:bottom w:val="single" w:color="404040" w:sz="4"/>
              <w:right w:val="none" w:color="FFFFFF" w:sz="0"/>
            </w:tcBorders>
            <w:shd w:fill="F2F2F2" w:color="auto" w:val="clear"/>
            <w:tcMar>
              <w:top w:type="dxa" w:w="30"/>
              <w:left w:type="dxa" w:w="70"/>
              <w:bottom w:type="dxa" w:w="30"/>
              <w:right w:type="dxa" w:w="70"/>
            </w:tcMar>
            <w:vAlign w:val="top"/>
          </w:tcPr>
          <w:p>
            <w:pPr>
              <w:keepNext w:val="false"/>
              <w:spacing w:after="0" w:before="0" w:line="240"/>
              <w:jc w:val="left"/>
            </w:pPr>
            <w:r>
              <w:rPr>
                <w:rFonts w:ascii="Calibri" w:cs="Calibri" w:eastAsia="Calibri" w:hAnsi="Calibri"/>
                <w:b/>
                <w:bCs/>
                <w:color w:val="1F1F1F"/>
                <w:sz w:val="17"/>
                <w:szCs w:val="17"/>
              </w:rPr>
              <w:t xml:space="preserve">Treatment</w:t>
            </w:r>
          </w:p>
        </w:tc>
      </w:tr>
      <w:tr>
        <w:trPr>
          <w:cantSplit/>
        </w:trPr>
        <w:tc>
          <w:tcPr>
            <w:tcW w:type="dxa" w:w="25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Brand labels with extra spaces (e.g. ‘ BMW ’)</w:t>
            </w:r>
          </w:p>
        </w:tc>
        <w:tc>
          <w:tcPr>
            <w:tcW w:type="dxa" w:w="1788"/>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TRIM, EXACT</w:t>
            </w:r>
          </w:p>
        </w:tc>
        <w:tc>
          <w:tcPr>
            <w:tcW w:type="dxa" w:w="3012"/>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10,040 rows (2,334 luxury)</w:t>
            </w:r>
          </w:p>
        </w:tc>
        <w:tc>
          <w:tcPr>
            <w:tcW w:type="dxa" w:w="207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Trimmed; 13 brands</w:t>
            </w:r>
          </w:p>
        </w:tc>
      </w:tr>
      <w:tr>
        <w:trPr>
          <w:cantSplit/>
        </w:trPr>
        <w:tc>
          <w:tcPr>
            <w:tcW w:type="dxa" w:w="25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Fuel_Type variants (PETROL, petrol, diesel with spaces, hybridd, electrik)</w:t>
            </w:r>
          </w:p>
        </w:tc>
        <w:tc>
          <w:tcPr>
            <w:tcW w:type="dxa" w:w="1788"/>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LOWER, TRIM, lookup table</w:t>
            </w:r>
          </w:p>
        </w:tc>
        <w:tc>
          <w:tcPr>
            <w:tcW w:type="dxa" w:w="3012"/>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20,123 rows</w:t>
            </w:r>
          </w:p>
        </w:tc>
        <w:tc>
          <w:tcPr>
            <w:tcW w:type="dxa" w:w="207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Mapped to CNG, Diesel, Electric, Hybrid, Petrol; Unknown kept</w:t>
            </w:r>
          </w:p>
        </w:tc>
      </w:tr>
      <w:tr>
        <w:trPr>
          <w:cantSplit/>
        </w:trPr>
        <w:tc>
          <w:tcPr>
            <w:tcW w:type="dxa" w:w="25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Other text fields (Model, Transmission, Owner_Type, Color, City)</w:t>
            </w:r>
          </w:p>
        </w:tc>
        <w:tc>
          <w:tcPr>
            <w:tcW w:type="dxa" w:w="1788"/>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LEN, TRIM, category lists</w:t>
            </w:r>
          </w:p>
        </w:tc>
        <w:tc>
          <w:tcPr>
            <w:tcW w:type="dxa" w:w="3012"/>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No variants found</w:t>
            </w:r>
          </w:p>
        </w:tc>
        <w:tc>
          <w:tcPr>
            <w:tcW w:type="dxa" w:w="207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None needed</w:t>
            </w:r>
          </w:p>
        </w:tc>
      </w:tr>
      <w:tr>
        <w:trPr>
          <w:cantSplit/>
        </w:trPr>
        <w:tc>
          <w:tcPr>
            <w:tcW w:type="dxa" w:w="25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‘Unknown’ in Fuel_Type, Transmission, Color, City</w:t>
            </w:r>
          </w:p>
        </w:tc>
        <w:tc>
          <w:tcPr>
            <w:tcW w:type="dxa" w:w="1788"/>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COUNTIF</w:t>
            </w:r>
          </w:p>
        </w:tc>
        <w:tc>
          <w:tcPr>
            <w:tcW w:type="dxa" w:w="3012"/>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78,733; 80,385; 80,419; 80,430. 283,648 rows have at least one</w:t>
            </w:r>
          </w:p>
        </w:tc>
        <w:tc>
          <w:tcPr>
            <w:tcW w:type="dxa" w:w="207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Kept as a category</w:t>
            </w:r>
          </w:p>
        </w:tc>
      </w:tr>
      <w:tr>
        <w:trPr>
          <w:cantSplit/>
        </w:trPr>
        <w:tc>
          <w:tcPr>
            <w:tcW w:type="dxa" w:w="25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Blank cells</w:t>
            </w:r>
          </w:p>
        </w:tc>
        <w:tc>
          <w:tcPr>
            <w:tcW w:type="dxa" w:w="1788"/>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COUNTBLANK</w:t>
            </w:r>
          </w:p>
        </w:tc>
        <w:tc>
          <w:tcPr>
            <w:tcW w:type="dxa" w:w="3012"/>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0</w:t>
            </w:r>
          </w:p>
        </w:tc>
        <w:tc>
          <w:tcPr>
            <w:tcW w:type="dxa" w:w="207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None; the macro fills gaps</w:t>
            </w:r>
          </w:p>
        </w:tc>
      </w:tr>
      <w:tr>
        <w:trPr>
          <w:cantSplit/>
        </w:trPr>
        <w:tc>
          <w:tcPr>
            <w:tcW w:type="dxa" w:w="25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Zero technical values (the macro sets negative draws to 0)</w:t>
            </w:r>
          </w:p>
        </w:tc>
        <w:tc>
          <w:tcPr>
            <w:tcW w:type="dxa" w:w="1788"/>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COUNTIF</w:t>
            </w:r>
          </w:p>
        </w:tc>
        <w:tc>
          <w:tcPr>
            <w:tcW w:type="dxa" w:w="3012"/>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Mileage 4; Engine 12; Horsepower 10</w:t>
            </w:r>
          </w:p>
        </w:tc>
        <w:tc>
          <w:tcPr>
            <w:tcW w:type="dxa" w:w="207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Blank for that field only</w:t>
            </w:r>
          </w:p>
        </w:tc>
      </w:tr>
      <w:tr>
        <w:trPr>
          <w:cantSplit/>
        </w:trPr>
        <w:tc>
          <w:tcPr>
            <w:tcW w:type="dxa" w:w="25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Technical values beyond mean ± 3 SD</w:t>
            </w:r>
          </w:p>
        </w:tc>
        <w:tc>
          <w:tcPr>
            <w:tcW w:type="dxa" w:w="1788"/>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AVERAGEIF, STDEV.S, COUNTIFS</w:t>
            </w:r>
          </w:p>
        </w:tc>
        <w:tc>
          <w:tcPr>
            <w:tcW w:type="dxa" w:w="3012"/>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Mileage 36; Engine 52; Horsepower 33 (raw maxima 40.8 km/l, 5,502 cc, 393 hp)</w:t>
            </w:r>
          </w:p>
        </w:tc>
        <w:tc>
          <w:tcPr>
            <w:tcW w:type="dxa" w:w="207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Blank for that field only; far from the main range</w:t>
            </w:r>
          </w:p>
        </w:tc>
      </w:tr>
      <w:tr>
        <w:trPr>
          <w:cantSplit/>
        </w:trPr>
        <w:tc>
          <w:tcPr>
            <w:tcW w:type="dxa" w:w="25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Isolated values inside the ± 3 SD limits</w:t>
            </w:r>
          </w:p>
        </w:tc>
        <w:tc>
          <w:tcPr>
            <w:tcW w:type="dxa" w:w="1788"/>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MIN, COUNTIFS</w:t>
            </w:r>
          </w:p>
        </w:tc>
        <w:tc>
          <w:tcPr>
            <w:tcW w:type="dxa" w:w="3012"/>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hp: 44 &lt; 50, 67 &gt; 190; cc: 60 &lt; 850, 97 &gt; 2,250; km/l: 42 &lt; 11, 37 &gt; 25.5; price: 44 &lt; INR 20,000</w:t>
            </w:r>
          </w:p>
        </w:tc>
        <w:tc>
          <w:tcPr>
            <w:tcW w:type="dxa" w:w="207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Kept; too few to move any median</w:t>
            </w:r>
          </w:p>
        </w:tc>
      </w:tr>
      <w:tr>
        <w:trPr>
          <w:cantSplit/>
        </w:trPr>
        <w:tc>
          <w:tcPr>
            <w:tcW w:type="dxa" w:w="25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Identical rows on all 20 fields</w:t>
            </w:r>
          </w:p>
        </w:tc>
        <w:tc>
          <w:tcPr>
            <w:tcW w:type="dxa" w:w="1788"/>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FREQUENCY on Car_Price</w:t>
            </w:r>
          </w:p>
        </w:tc>
        <w:tc>
          <w:tcPr>
            <w:tcW w:type="dxa" w:w="3012"/>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0</w:t>
            </w:r>
          </w:p>
        </w:tc>
        <w:tc>
          <w:tcPr>
            <w:tcW w:type="dxa" w:w="207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None needed</w:t>
            </w:r>
          </w:p>
        </w:tc>
      </w:tr>
      <w:tr>
        <w:trPr>
          <w:cantSplit/>
        </w:trPr>
        <w:tc>
          <w:tcPr>
            <w:tcW w:type="dxa" w:w="25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Repeated rows on the 15 non-randomised fields</w:t>
            </w:r>
          </w:p>
        </w:tc>
        <w:tc>
          <w:tcPr>
            <w:tcW w:type="dxa" w:w="1788"/>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Sorted key, run count, category shares</w:t>
            </w:r>
          </w:p>
        </w:tc>
        <w:tc>
          <w:tcPr>
            <w:tcW w:type="dxa" w:w="3012"/>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31,575 pairs in 29,640 repeat rows; 26,821 pairs expected by chance</w:t>
            </w:r>
          </w:p>
        </w:tc>
        <w:tc>
          <w:tcPr>
            <w:tcW w:type="dxa" w:w="207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Flagged and kept</w:t>
            </w:r>
          </w:p>
        </w:tc>
      </w:tr>
      <w:tr>
        <w:trPr>
          <w:cantSplit/>
        </w:trPr>
        <w:tc>
          <w:tcPr>
            <w:tcW w:type="dxa" w:w="25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Kms_Driven above 1,000,000 km</w:t>
            </w:r>
          </w:p>
        </w:tc>
        <w:tc>
          <w:tcPr>
            <w:tcW w:type="dxa" w:w="1788"/>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COUNTIF; NORM.DIST on LN(km)</w:t>
            </w:r>
          </w:p>
        </w:tc>
        <w:tc>
          <w:tcPr>
            <w:tcW w:type="dxa" w:w="3012"/>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6,134 rows (0.61%), up to 5.8 million km (6,102 expected)</w:t>
            </w:r>
          </w:p>
        </w:tc>
        <w:tc>
          <w:tcPr>
            <w:tcW w:type="dxa" w:w="207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Excluded from usage analysis only (998,866 rows left)</w:t>
            </w:r>
          </w:p>
        </w:tc>
      </w:tr>
      <w:tr>
        <w:trPr>
          <w:cantSplit/>
        </w:trPr>
        <w:tc>
          <w:tcPr>
            <w:tcW w:type="dxa" w:w="25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Extreme Car_Price (3 × IQR on log scale)</w:t>
            </w:r>
          </w:p>
        </w:tc>
        <w:tc>
          <w:tcPr>
            <w:tcW w:type="dxa" w:w="1788"/>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QUARTILE, COUNTIF</w:t>
            </w:r>
          </w:p>
        </w:tc>
        <w:tc>
          <w:tcPr>
            <w:tcW w:type="dxa" w:w="3012"/>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1 low, 2 high</w:t>
            </w:r>
          </w:p>
        </w:tc>
        <w:tc>
          <w:tcPr>
            <w:tcW w:type="dxa" w:w="207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Kept</w:t>
            </w:r>
          </w:p>
        </w:tc>
      </w:tr>
      <w:tr>
        <w:trPr>
          <w:cantSplit/>
        </w:trPr>
        <w:tc>
          <w:tcPr>
            <w:tcW w:type="dxa" w:w="2541"/>
            <w:tcBorders>
              <w:top w:val="none" w:color="FFFFFF" w:sz="0"/>
              <w:left w:val="none" w:color="FFFFFF" w:sz="0"/>
              <w:bottom w:val="single" w:color="404040" w:sz="8"/>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Year and Registration_Age consistency</w:t>
            </w:r>
          </w:p>
        </w:tc>
        <w:tc>
          <w:tcPr>
            <w:tcW w:type="dxa" w:w="1788"/>
            <w:tcBorders>
              <w:top w:val="none" w:color="FFFFFF" w:sz="0"/>
              <w:left w:val="none" w:color="FFFFFF" w:sz="0"/>
              <w:bottom w:val="single" w:color="404040" w:sz="8"/>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SUMPRODUCT</w:t>
            </w:r>
          </w:p>
        </w:tc>
        <w:tc>
          <w:tcPr>
            <w:tcW w:type="dxa" w:w="3012"/>
            <w:tcBorders>
              <w:top w:val="none" w:color="FFFFFF" w:sz="0"/>
              <w:left w:val="none" w:color="FFFFFF" w:sz="0"/>
              <w:bottom w:val="single" w:color="404040" w:sz="8"/>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Sum is 2025 in all rows</w:t>
            </w:r>
          </w:p>
        </w:tc>
        <w:tc>
          <w:tcPr>
            <w:tcW w:type="dxa" w:w="2071"/>
            <w:tcBorders>
              <w:top w:val="none" w:color="FFFFFF" w:sz="0"/>
              <w:left w:val="none" w:color="FFFFFF" w:sz="0"/>
              <w:bottom w:val="single" w:color="404040" w:sz="8"/>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Age used as supplied</w:t>
            </w:r>
          </w:p>
        </w:tc>
      </w:tr>
    </w:tbl>
    <w:p>
      <w:pPr>
        <w:spacing w:after="120" w:before="40"/>
      </w:pPr>
      <w:r>
        <w:rPr>
          <w:rFonts w:ascii="Calibri" w:cs="Calibri" w:eastAsia="Calibri" w:hAnsi="Calibri"/>
          <w:color w:val="595959"/>
          <w:sz w:val="15"/>
          <w:szCs w:val="15"/>
        </w:rPr>
        <w:t xml:space="preserve">Source: calculated from Stable Space (2026). A group of k identical rows gives k(k − 1)/2 pairs and k − 1 repeat rows. The chance count multiplies, over 13 fields, the probability that two random rows share a category (sum of squared shares); Brand and Year are left out because Model and Registration_Age already fix them. Limits for isolated values are the edges of the dense main range of each frequency distribution.</w:t>
      </w:r>
    </w:p>
    <w:p>
      <w:pPr>
        <w:pStyle w:val="Heading2"/>
        <w:keepNext/>
        <w:spacing w:after="60" w:before="160"/>
      </w:pPr>
      <w:r>
        <w:rPr>
          <w:rFonts w:ascii="Calibri" w:cs="Calibri" w:eastAsia="Calibri" w:hAnsi="Calibri"/>
          <w:b/>
          <w:bCs/>
          <w:color w:val="1F1F1F"/>
          <w:sz w:val="22"/>
          <w:szCs w:val="22"/>
        </w:rPr>
        <w:t xml:space="preserve">2.2   The variables</w:t>
      </w:r>
    </w:p>
    <w:p>
      <w:pPr>
        <w:spacing w:after="120" w:before="0" w:line="264"/>
        <w:jc w:val="both"/>
      </w:pPr>
      <w:r>
        <w:rPr>
          <w:rFonts w:ascii="Calibri" w:cs="Calibri" w:eastAsia="Calibri" w:hAnsi="Calibri"/>
          <w:color w:val="1F1F1F"/>
          <w:sz w:val="21"/>
          <w:szCs w:val="21"/>
        </w:rPr>
        <w:t xml:space="preserve">Table A1 describes all 20 fields and Table 2 groups them by type. Car_Price is in Indian rupees (INR), and Year and Registration_Age carry the same information. Registration_Age is spread evenly over 1 to 25 years, and Engine_CC, Horsepower and Mileage_kmpl are roughly flat across their main range, so their modes in Table 3 are not typical values.</w:t>
      </w:r>
    </w:p>
    <w:p>
      <w:pPr>
        <w:keepNext/>
        <w:spacing w:after="60" w:before="160"/>
      </w:pPr>
      <w:r>
        <w:rPr>
          <w:rFonts w:ascii="Calibri" w:cs="Calibri" w:eastAsia="Calibri" w:hAnsi="Calibri"/>
          <w:b/>
          <w:bCs/>
          <w:i w:val="false"/>
          <w:iCs w:val="false"/>
          <w:sz w:val="18"/>
          <w:szCs w:val="18"/>
        </w:rPr>
        <w:t xml:space="preserve">Table 2</w:t>
      </w:r>
      <w:r>
        <w:rPr>
          <w:rFonts w:ascii="Calibri" w:cs="Calibri" w:eastAsia="Calibri" w:hAnsi="Calibri"/>
          <w:sz w:val="18"/>
          <w:szCs w:val="18"/>
        </w:rPr>
        <w:t xml:space="preserve">  Variable types and how each type is summarised</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83"/>
        <w:gridCol w:w="4141"/>
        <w:gridCol w:w="3388"/>
      </w:tblGrid>
      <w:tr>
        <w:trPr>
          <w:cantSplit/>
          <w:tblHeader/>
        </w:trPr>
        <w:tc>
          <w:tcPr>
            <w:tcW w:type="dxa" w:w="1883"/>
            <w:tcBorders>
              <w:top w:val="single" w:color="404040" w:sz="8"/>
              <w:left w:val="none" w:color="FFFFFF" w:sz="0"/>
              <w:bottom w:val="single" w:color="404040" w:sz="4"/>
              <w:right w:val="none" w:color="FFFFFF" w:sz="0"/>
            </w:tcBorders>
            <w:shd w:fill="F2F2F2" w:color="auto" w:val="clear"/>
            <w:tcMar>
              <w:top w:type="dxa" w:w="30"/>
              <w:left w:type="dxa" w:w="70"/>
              <w:bottom w:type="dxa" w:w="30"/>
              <w:right w:type="dxa" w:w="70"/>
            </w:tcMar>
            <w:vAlign w:val="top"/>
          </w:tcPr>
          <w:p>
            <w:pPr>
              <w:keepNext w:val="false"/>
              <w:spacing w:after="0" w:before="0" w:line="240"/>
              <w:jc w:val="left"/>
            </w:pPr>
            <w:r>
              <w:rPr>
                <w:rFonts w:ascii="Calibri" w:cs="Calibri" w:eastAsia="Calibri" w:hAnsi="Calibri"/>
                <w:b/>
                <w:bCs/>
                <w:color w:val="1F1F1F"/>
                <w:sz w:val="17"/>
                <w:szCs w:val="17"/>
              </w:rPr>
              <w:t xml:space="preserve">Type</w:t>
            </w:r>
          </w:p>
        </w:tc>
        <w:tc>
          <w:tcPr>
            <w:tcW w:type="dxa" w:w="4141"/>
            <w:tcBorders>
              <w:top w:val="single" w:color="404040" w:sz="8"/>
              <w:left w:val="none" w:color="FFFFFF" w:sz="0"/>
              <w:bottom w:val="single" w:color="404040" w:sz="4"/>
              <w:right w:val="none" w:color="FFFFFF" w:sz="0"/>
            </w:tcBorders>
            <w:shd w:fill="F2F2F2" w:color="auto" w:val="clear"/>
            <w:tcMar>
              <w:top w:type="dxa" w:w="30"/>
              <w:left w:type="dxa" w:w="70"/>
              <w:bottom w:type="dxa" w:w="30"/>
              <w:right w:type="dxa" w:w="70"/>
            </w:tcMar>
            <w:vAlign w:val="top"/>
          </w:tcPr>
          <w:p>
            <w:pPr>
              <w:keepNext w:val="false"/>
              <w:spacing w:after="0" w:before="0" w:line="240"/>
              <w:jc w:val="left"/>
            </w:pPr>
            <w:r>
              <w:rPr>
                <w:rFonts w:ascii="Calibri" w:cs="Calibri" w:eastAsia="Calibri" w:hAnsi="Calibri"/>
                <w:b/>
                <w:bCs/>
                <w:color w:val="1F1F1F"/>
                <w:sz w:val="17"/>
                <w:szCs w:val="17"/>
              </w:rPr>
              <w:t xml:space="preserve">Fields</w:t>
            </w:r>
          </w:p>
        </w:tc>
        <w:tc>
          <w:tcPr>
            <w:tcW w:type="dxa" w:w="3388"/>
            <w:tcBorders>
              <w:top w:val="single" w:color="404040" w:sz="8"/>
              <w:left w:val="none" w:color="FFFFFF" w:sz="0"/>
              <w:bottom w:val="single" w:color="404040" w:sz="4"/>
              <w:right w:val="none" w:color="FFFFFF" w:sz="0"/>
            </w:tcBorders>
            <w:shd w:fill="F2F2F2" w:color="auto" w:val="clear"/>
            <w:tcMar>
              <w:top w:type="dxa" w:w="30"/>
              <w:left w:type="dxa" w:w="70"/>
              <w:bottom w:type="dxa" w:w="30"/>
              <w:right w:type="dxa" w:w="70"/>
            </w:tcMar>
            <w:vAlign w:val="top"/>
          </w:tcPr>
          <w:p>
            <w:pPr>
              <w:keepNext w:val="false"/>
              <w:spacing w:after="0" w:before="0" w:line="240"/>
              <w:jc w:val="left"/>
            </w:pPr>
            <w:r>
              <w:rPr>
                <w:rFonts w:ascii="Calibri" w:cs="Calibri" w:eastAsia="Calibri" w:hAnsi="Calibri"/>
                <w:b/>
                <w:bCs/>
                <w:color w:val="1F1F1F"/>
                <w:sz w:val="17"/>
                <w:szCs w:val="17"/>
              </w:rPr>
              <w:t xml:space="preserve">Summaries used</w:t>
            </w:r>
          </w:p>
        </w:tc>
      </w:tr>
      <w:tr>
        <w:trPr>
          <w:cantSplit/>
        </w:trPr>
        <w:tc>
          <w:tcPr>
            <w:tcW w:type="dxa" w:w="1883"/>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Numeric, continuous</w:t>
            </w:r>
          </w:p>
        </w:tc>
        <w:tc>
          <w:tcPr>
            <w:tcW w:type="dxa" w:w="41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Car_Price, Kms_Driven, Engine_CC, Horsepower, Mileage_kmpl</w:t>
            </w:r>
          </w:p>
        </w:tc>
        <w:tc>
          <w:tcPr>
            <w:tcW w:type="dxa" w:w="3388"/>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Mean, median, modal class, SD, min, max, quartiles; correlation with price</w:t>
            </w:r>
          </w:p>
        </w:tc>
      </w:tr>
      <w:tr>
        <w:trPr>
          <w:cantSplit/>
        </w:trPr>
        <w:tc>
          <w:tcPr>
            <w:tcW w:type="dxa" w:w="1883"/>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Numeric, discrete</w:t>
            </w:r>
          </w:p>
        </w:tc>
        <w:tc>
          <w:tcPr>
            <w:tcW w:type="dxa" w:w="41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Registration_Age, Year, Accidents, Number_of_Doors, Seats</w:t>
            </w:r>
          </w:p>
        </w:tc>
        <w:tc>
          <w:tcPr>
            <w:tcW w:type="dxa" w:w="3388"/>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The same, with the exact mode; count of each value</w:t>
            </w:r>
          </w:p>
        </w:tc>
      </w:tr>
      <w:tr>
        <w:trPr>
          <w:cantSplit/>
        </w:trPr>
        <w:tc>
          <w:tcPr>
            <w:tcW w:type="dxa" w:w="1883"/>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Categorical</w:t>
            </w:r>
          </w:p>
        </w:tc>
        <w:tc>
          <w:tcPr>
            <w:tcW w:type="dxa" w:w="41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Brand, Model, Fuel_Type, Transmission, Owner_Type, Color, City</w:t>
            </w:r>
          </w:p>
        </w:tc>
        <w:tc>
          <w:tcPr>
            <w:tcW w:type="dxa" w:w="3388"/>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Count and share of each category, Unknown kept; median price per category</w:t>
            </w:r>
          </w:p>
        </w:tc>
      </w:tr>
      <w:tr>
        <w:trPr>
          <w:cantSplit/>
        </w:trPr>
        <w:tc>
          <w:tcPr>
            <w:tcW w:type="dxa" w:w="1883"/>
            <w:tcBorders>
              <w:top w:val="none" w:color="FFFFFF" w:sz="0"/>
              <w:left w:val="none" w:color="FFFFFF" w:sz="0"/>
              <w:bottom w:val="single" w:color="404040" w:sz="8"/>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Binary (1 = yes, 0 = no)</w:t>
            </w:r>
          </w:p>
        </w:tc>
        <w:tc>
          <w:tcPr>
            <w:tcW w:type="dxa" w:w="4141"/>
            <w:tcBorders>
              <w:top w:val="none" w:color="FFFFFF" w:sz="0"/>
              <w:left w:val="none" w:color="FFFFFF" w:sz="0"/>
              <w:bottom w:val="single" w:color="404040" w:sz="8"/>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Insurance_Valid, Service_History, Tax_Paid</w:t>
            </w:r>
          </w:p>
        </w:tc>
        <w:tc>
          <w:tcPr>
            <w:tcW w:type="dxa" w:w="3388"/>
            <w:tcBorders>
              <w:top w:val="none" w:color="FFFFFF" w:sz="0"/>
              <w:left w:val="none" w:color="FFFFFF" w:sz="0"/>
              <w:bottom w:val="single" w:color="404040" w:sz="8"/>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Share of 1s; here a 0 means “no”, not a missing value</w:t>
            </w:r>
          </w:p>
        </w:tc>
      </w:tr>
    </w:tbl>
    <w:p>
      <w:pPr>
        <w:spacing w:after="120" w:before="40"/>
      </w:pPr>
      <w:r>
        <w:rPr>
          <w:rFonts w:ascii="Calibri" w:cs="Calibri" w:eastAsia="Calibri" w:hAnsi="Calibri"/>
          <w:color w:val="595959"/>
          <w:sz w:val="15"/>
          <w:szCs w:val="15"/>
        </w:rPr>
        <w:t xml:space="preserve">Source: Stable Space (2026, cell B5). Results are in Tables 3 and A1 to A3.</w:t>
      </w:r>
    </w:p>
    <w:p>
      <w:pPr>
        <w:pStyle w:val="Heading2"/>
        <w:keepNext/>
        <w:spacing w:after="60" w:before="160"/>
      </w:pPr>
      <w:r>
        <w:rPr>
          <w:rFonts w:ascii="Calibri" w:cs="Calibri" w:eastAsia="Calibri" w:hAnsi="Calibri"/>
          <w:b/>
          <w:bCs/>
          <w:color w:val="1F1F1F"/>
          <w:sz w:val="22"/>
          <w:szCs w:val="22"/>
        </w:rPr>
        <w:t xml:space="preserve">2.3   Distribution of Car_Price</w:t>
      </w:r>
    </w:p>
    <w:p>
      <w:pPr>
        <w:spacing w:after="120" w:before="0" w:line="264"/>
        <w:jc w:val="both"/>
      </w:pPr>
      <w:r>
        <w:rPr>
          <w:rFonts w:ascii="Calibri" w:cs="Calibri" w:eastAsia="Calibri" w:hAnsi="Calibri"/>
          <w:color w:val="1F1F1F"/>
          <w:sz w:val="21"/>
          <w:szCs w:val="21"/>
        </w:rPr>
        <w:t xml:space="preserve">Car_Price is strongly right-skewed (Table 3; skewness 4.9). The long right tail lifts the mean of INR 1,015,107 to 50.7% above the median of INR 673,522, and 67.5% of listings sit below the mean (Figure 1a). The median and interquartile range (INR 365,843 to 1,240,714) therefore describe a typical car better and should be reported to the client. Log price is almost symmetric (skewness 0.001; Figure 1b), so price is roughly log-normal.</w:t>
      </w:r>
    </w:p>
    <w:p>
      <w:pPr>
        <w:keepNext/>
        <w:spacing w:after="60" w:before="160"/>
      </w:pPr>
      <w:r>
        <w:rPr>
          <w:rFonts w:ascii="Calibri" w:cs="Calibri" w:eastAsia="Calibri" w:hAnsi="Calibri"/>
          <w:b/>
          <w:bCs/>
          <w:i w:val="false"/>
          <w:iCs w:val="false"/>
          <w:sz w:val="18"/>
          <w:szCs w:val="18"/>
        </w:rPr>
        <w:t xml:space="preserve">Table 3</w:t>
      </w:r>
      <w:r>
        <w:rPr>
          <w:rFonts w:ascii="Calibri" w:cs="Calibri" w:eastAsia="Calibri" w:hAnsi="Calibri"/>
          <w:sz w:val="18"/>
          <w:szCs w:val="18"/>
        </w:rPr>
        <w:t xml:space="preserve">  Numerical summaries for all listings, luxury (Audi, BMW, Mercedes) and non-luxury listings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2"/>
        <w:gridCol w:w="941"/>
        <w:gridCol w:w="941"/>
        <w:gridCol w:w="941"/>
        <w:gridCol w:w="941"/>
        <w:gridCol w:w="847"/>
        <w:gridCol w:w="941"/>
        <w:gridCol w:w="753"/>
        <w:gridCol w:w="1035"/>
      </w:tblGrid>
      <w:tr>
        <w:trPr>
          <w:cantSplit/>
          <w:tblHeader/>
        </w:trPr>
        <w:tc>
          <w:tcPr>
            <w:tcW w:type="dxa" w:w="2072"/>
            <w:tcBorders>
              <w:top w:val="single" w:color="404040" w:sz="8"/>
              <w:left w:val="none" w:color="FFFFFF" w:sz="0"/>
              <w:bottom w:val="single" w:color="404040" w:sz="4"/>
              <w:right w:val="none" w:color="FFFFFF" w:sz="0"/>
            </w:tcBorders>
            <w:shd w:fill="F2F2F2" w:color="auto" w:val="clear"/>
            <w:tcMar>
              <w:top w:type="dxa" w:w="30"/>
              <w:left w:type="dxa" w:w="70"/>
              <w:bottom w:type="dxa" w:w="30"/>
              <w:right w:type="dxa" w:w="70"/>
            </w:tcMar>
            <w:vAlign w:val="top"/>
          </w:tcPr>
          <w:p>
            <w:pPr>
              <w:keepNext w:val="false"/>
              <w:spacing w:after="0" w:before="0" w:line="240"/>
              <w:jc w:val="left"/>
            </w:pPr>
            <w:r>
              <w:rPr>
                <w:rFonts w:ascii="Calibri" w:cs="Calibri" w:eastAsia="Calibri" w:hAnsi="Calibri"/>
                <w:b/>
                <w:bCs/>
                <w:color w:val="1F1F1F"/>
                <w:sz w:val="17"/>
                <w:szCs w:val="17"/>
              </w:rPr>
              <w:t xml:space="preserve">Variable</w:t>
            </w:r>
          </w:p>
        </w:tc>
        <w:tc>
          <w:tcPr>
            <w:tcW w:type="dxa" w:w="941"/>
            <w:tcBorders>
              <w:top w:val="single" w:color="404040" w:sz="8"/>
              <w:left w:val="none" w:color="FFFFFF" w:sz="0"/>
              <w:bottom w:val="single" w:color="404040" w:sz="4"/>
              <w:right w:val="none" w:color="FFFFFF" w:sz="0"/>
            </w:tcBorders>
            <w:shd w:fill="F2F2F2" w:color="auto" w:val="clear"/>
            <w:tcMar>
              <w:top w:type="dxa" w:w="30"/>
              <w:left w:type="dxa" w:w="70"/>
              <w:bottom w:type="dxa" w:w="30"/>
              <w:right w:type="dxa" w:w="70"/>
            </w:tcMar>
            <w:vAlign w:val="top"/>
          </w:tcPr>
          <w:p>
            <w:pPr>
              <w:keepNext w:val="false"/>
              <w:spacing w:after="0" w:before="0" w:line="240"/>
              <w:jc w:val="left"/>
            </w:pPr>
            <w:r>
              <w:rPr>
                <w:rFonts w:ascii="Calibri" w:cs="Calibri" w:eastAsia="Calibri" w:hAnsi="Calibri"/>
                <w:b/>
                <w:bCs/>
                <w:color w:val="1F1F1F"/>
                <w:sz w:val="17"/>
                <w:szCs w:val="17"/>
              </w:rPr>
              <w:t xml:space="preserve">Group</w:t>
            </w:r>
          </w:p>
        </w:tc>
        <w:tc>
          <w:tcPr>
            <w:tcW w:type="dxa" w:w="941"/>
            <w:tcBorders>
              <w:top w:val="single" w:color="404040" w:sz="8"/>
              <w:left w:val="none" w:color="FFFFFF" w:sz="0"/>
              <w:bottom w:val="single" w:color="404040" w:sz="4"/>
              <w:right w:val="none" w:color="FFFFFF" w:sz="0"/>
            </w:tcBorders>
            <w:shd w:fill="F2F2F2" w:color="auto" w:val="clear"/>
            <w:tcMar>
              <w:top w:type="dxa" w:w="30"/>
              <w:left w:type="dxa" w:w="70"/>
              <w:bottom w:type="dxa" w:w="30"/>
              <w:right w:type="dxa" w:w="70"/>
            </w:tcMar>
            <w:vAlign w:val="top"/>
          </w:tcPr>
          <w:p>
            <w:pPr>
              <w:keepNext w:val="false"/>
              <w:spacing w:after="0" w:before="0" w:line="240"/>
              <w:jc w:val="right"/>
            </w:pPr>
            <w:r>
              <w:rPr>
                <w:rFonts w:ascii="Calibri" w:cs="Calibri" w:eastAsia="Calibri" w:hAnsi="Calibri"/>
                <w:b/>
                <w:bCs/>
                <w:color w:val="1F1F1F"/>
                <w:sz w:val="17"/>
                <w:szCs w:val="17"/>
              </w:rPr>
              <w:t xml:space="preserve">n</w:t>
            </w:r>
          </w:p>
        </w:tc>
        <w:tc>
          <w:tcPr>
            <w:tcW w:type="dxa" w:w="941"/>
            <w:tcBorders>
              <w:top w:val="single" w:color="404040" w:sz="8"/>
              <w:left w:val="none" w:color="FFFFFF" w:sz="0"/>
              <w:bottom w:val="single" w:color="404040" w:sz="4"/>
              <w:right w:val="none" w:color="FFFFFF" w:sz="0"/>
            </w:tcBorders>
            <w:shd w:fill="F2F2F2" w:color="auto" w:val="clear"/>
            <w:tcMar>
              <w:top w:type="dxa" w:w="30"/>
              <w:left w:type="dxa" w:w="70"/>
              <w:bottom w:type="dxa" w:w="30"/>
              <w:right w:type="dxa" w:w="70"/>
            </w:tcMar>
            <w:vAlign w:val="top"/>
          </w:tcPr>
          <w:p>
            <w:pPr>
              <w:keepNext w:val="false"/>
              <w:spacing w:after="0" w:before="0" w:line="240"/>
              <w:jc w:val="right"/>
            </w:pPr>
            <w:r>
              <w:rPr>
                <w:rFonts w:ascii="Calibri" w:cs="Calibri" w:eastAsia="Calibri" w:hAnsi="Calibri"/>
                <w:b/>
                <w:bCs/>
                <w:color w:val="1F1F1F"/>
                <w:sz w:val="17"/>
                <w:szCs w:val="17"/>
              </w:rPr>
              <w:t xml:space="preserve">Mean</w:t>
            </w:r>
          </w:p>
        </w:tc>
        <w:tc>
          <w:tcPr>
            <w:tcW w:type="dxa" w:w="941"/>
            <w:tcBorders>
              <w:top w:val="single" w:color="404040" w:sz="8"/>
              <w:left w:val="none" w:color="FFFFFF" w:sz="0"/>
              <w:bottom w:val="single" w:color="404040" w:sz="4"/>
              <w:right w:val="none" w:color="FFFFFF" w:sz="0"/>
            </w:tcBorders>
            <w:shd w:fill="F2F2F2" w:color="auto" w:val="clear"/>
            <w:tcMar>
              <w:top w:type="dxa" w:w="30"/>
              <w:left w:type="dxa" w:w="70"/>
              <w:bottom w:type="dxa" w:w="30"/>
              <w:right w:type="dxa" w:w="70"/>
            </w:tcMar>
            <w:vAlign w:val="top"/>
          </w:tcPr>
          <w:p>
            <w:pPr>
              <w:keepNext w:val="false"/>
              <w:spacing w:after="0" w:before="0" w:line="240"/>
              <w:jc w:val="right"/>
            </w:pPr>
            <w:r>
              <w:rPr>
                <w:rFonts w:ascii="Calibri" w:cs="Calibri" w:eastAsia="Calibri" w:hAnsi="Calibri"/>
                <w:b/>
                <w:bCs/>
                <w:color w:val="1F1F1F"/>
                <w:sz w:val="17"/>
                <w:szCs w:val="17"/>
              </w:rPr>
              <w:t xml:space="preserve">Median</w:t>
            </w:r>
          </w:p>
        </w:tc>
        <w:tc>
          <w:tcPr>
            <w:tcW w:type="dxa" w:w="847"/>
            <w:tcBorders>
              <w:top w:val="single" w:color="404040" w:sz="8"/>
              <w:left w:val="none" w:color="FFFFFF" w:sz="0"/>
              <w:bottom w:val="single" w:color="404040" w:sz="4"/>
              <w:right w:val="none" w:color="FFFFFF" w:sz="0"/>
            </w:tcBorders>
            <w:shd w:fill="F2F2F2" w:color="auto" w:val="clear"/>
            <w:tcMar>
              <w:top w:type="dxa" w:w="30"/>
              <w:left w:type="dxa" w:w="70"/>
              <w:bottom w:type="dxa" w:w="30"/>
              <w:right w:type="dxa" w:w="70"/>
            </w:tcMar>
            <w:vAlign w:val="top"/>
          </w:tcPr>
          <w:p>
            <w:pPr>
              <w:keepNext w:val="false"/>
              <w:spacing w:after="0" w:before="0" w:line="240"/>
              <w:jc w:val="right"/>
            </w:pPr>
            <w:r>
              <w:rPr>
                <w:rFonts w:ascii="Calibri" w:cs="Calibri" w:eastAsia="Calibri" w:hAnsi="Calibri"/>
                <w:b/>
                <w:bCs/>
                <w:color w:val="1F1F1F"/>
                <w:sz w:val="17"/>
                <w:szCs w:val="17"/>
              </w:rPr>
              <w:t xml:space="preserve">Modeᶜ</w:t>
            </w:r>
          </w:p>
        </w:tc>
        <w:tc>
          <w:tcPr>
            <w:tcW w:type="dxa" w:w="941"/>
            <w:tcBorders>
              <w:top w:val="single" w:color="404040" w:sz="8"/>
              <w:left w:val="none" w:color="FFFFFF" w:sz="0"/>
              <w:bottom w:val="single" w:color="404040" w:sz="4"/>
              <w:right w:val="none" w:color="FFFFFF" w:sz="0"/>
            </w:tcBorders>
            <w:shd w:fill="F2F2F2" w:color="auto" w:val="clear"/>
            <w:tcMar>
              <w:top w:type="dxa" w:w="30"/>
              <w:left w:type="dxa" w:w="70"/>
              <w:bottom w:type="dxa" w:w="30"/>
              <w:right w:type="dxa" w:w="70"/>
            </w:tcMar>
            <w:vAlign w:val="top"/>
          </w:tcPr>
          <w:p>
            <w:pPr>
              <w:keepNext w:val="false"/>
              <w:spacing w:after="0" w:before="0" w:line="240"/>
              <w:jc w:val="right"/>
            </w:pPr>
            <w:r>
              <w:rPr>
                <w:rFonts w:ascii="Calibri" w:cs="Calibri" w:eastAsia="Calibri" w:hAnsi="Calibri"/>
                <w:b/>
                <w:bCs/>
                <w:color w:val="1F1F1F"/>
                <w:sz w:val="17"/>
                <w:szCs w:val="17"/>
              </w:rPr>
              <w:t xml:space="preserve">SD</w:t>
            </w:r>
          </w:p>
        </w:tc>
        <w:tc>
          <w:tcPr>
            <w:tcW w:type="dxa" w:w="753"/>
            <w:tcBorders>
              <w:top w:val="single" w:color="404040" w:sz="8"/>
              <w:left w:val="none" w:color="FFFFFF" w:sz="0"/>
              <w:bottom w:val="single" w:color="404040" w:sz="4"/>
              <w:right w:val="none" w:color="FFFFFF" w:sz="0"/>
            </w:tcBorders>
            <w:shd w:fill="F2F2F2" w:color="auto" w:val="clear"/>
            <w:tcMar>
              <w:top w:type="dxa" w:w="30"/>
              <w:left w:type="dxa" w:w="70"/>
              <w:bottom w:type="dxa" w:w="30"/>
              <w:right w:type="dxa" w:w="70"/>
            </w:tcMar>
            <w:vAlign w:val="top"/>
          </w:tcPr>
          <w:p>
            <w:pPr>
              <w:keepNext w:val="false"/>
              <w:spacing w:after="0" w:before="0" w:line="240"/>
              <w:jc w:val="right"/>
            </w:pPr>
            <w:r>
              <w:rPr>
                <w:rFonts w:ascii="Calibri" w:cs="Calibri" w:eastAsia="Calibri" w:hAnsi="Calibri"/>
                <w:b/>
                <w:bCs/>
                <w:color w:val="1F1F1F"/>
                <w:sz w:val="17"/>
                <w:szCs w:val="17"/>
              </w:rPr>
              <w:t xml:space="preserve">Min</w:t>
            </w:r>
          </w:p>
        </w:tc>
        <w:tc>
          <w:tcPr>
            <w:tcW w:type="dxa" w:w="1035"/>
            <w:tcBorders>
              <w:top w:val="single" w:color="404040" w:sz="8"/>
              <w:left w:val="none" w:color="FFFFFF" w:sz="0"/>
              <w:bottom w:val="single" w:color="404040" w:sz="4"/>
              <w:right w:val="none" w:color="FFFFFF" w:sz="0"/>
            </w:tcBorders>
            <w:shd w:fill="F2F2F2" w:color="auto" w:val="clear"/>
            <w:tcMar>
              <w:top w:type="dxa" w:w="30"/>
              <w:left w:type="dxa" w:w="70"/>
              <w:bottom w:type="dxa" w:w="30"/>
              <w:right w:type="dxa" w:w="70"/>
            </w:tcMar>
            <w:vAlign w:val="top"/>
          </w:tcPr>
          <w:p>
            <w:pPr>
              <w:keepNext w:val="false"/>
              <w:spacing w:after="0" w:before="0" w:line="240"/>
              <w:jc w:val="right"/>
            </w:pPr>
            <w:r>
              <w:rPr>
                <w:rFonts w:ascii="Calibri" w:cs="Calibri" w:eastAsia="Calibri" w:hAnsi="Calibri"/>
                <w:b/>
                <w:bCs/>
                <w:color w:val="1F1F1F"/>
                <w:sz w:val="17"/>
                <w:szCs w:val="17"/>
              </w:rPr>
              <w:t xml:space="preserve">Max</w:t>
            </w:r>
          </w:p>
        </w:tc>
      </w:tr>
      <w:tr>
        <w:trPr>
          <w:cantSplit/>
        </w:trPr>
        <w:tc>
          <w:tcPr>
            <w:tcW w:type="dxa" w:w="2072"/>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bCs/>
                <w:color w:val="1F1F1F"/>
                <w:sz w:val="17"/>
                <w:szCs w:val="17"/>
              </w:rPr>
              <w:t xml:space="preserve">Car_Price (INR)</w:t>
            </w:r>
          </w:p>
        </w:tc>
        <w:tc>
          <w:tcPr>
            <w:tcW w:type="dxa" w:w="9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All</w:t>
            </w:r>
          </w:p>
        </w:tc>
        <w:tc>
          <w:tcPr>
            <w:tcW w:type="dxa" w:w="9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1,005,000</w:t>
            </w:r>
          </w:p>
        </w:tc>
        <w:tc>
          <w:tcPr>
            <w:tcW w:type="dxa" w:w="9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1,015,107</w:t>
            </w:r>
          </w:p>
        </w:tc>
        <w:tc>
          <w:tcPr>
            <w:tcW w:type="dxa" w:w="9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673,522</w:t>
            </w:r>
          </w:p>
        </w:tc>
        <w:tc>
          <w:tcPr>
            <w:tcW w:type="dxa" w:w="847"/>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275,000</w:t>
            </w:r>
          </w:p>
        </w:tc>
        <w:tc>
          <w:tcPr>
            <w:tcW w:type="dxa" w:w="9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1,147,780</w:t>
            </w:r>
          </w:p>
        </w:tc>
        <w:tc>
          <w:tcPr>
            <w:tcW w:type="dxa" w:w="753"/>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8,043</w:t>
            </w:r>
          </w:p>
        </w:tc>
        <w:tc>
          <w:tcPr>
            <w:tcW w:type="dxa" w:w="10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51,993,222</w:t>
            </w:r>
          </w:p>
        </w:tc>
      </w:tr>
      <w:tr>
        <w:trPr>
          <w:cantSplit/>
        </w:trPr>
        <w:tc>
          <w:tcPr>
            <w:tcW w:type="dxa" w:w="2072"/>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
            </w:r>
          </w:p>
        </w:tc>
        <w:tc>
          <w:tcPr>
            <w:tcW w:type="dxa" w:w="9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B34A1E"/>
                <w:sz w:val="17"/>
                <w:szCs w:val="17"/>
              </w:rPr>
              <w:t xml:space="preserve">Luxury</w:t>
            </w:r>
          </w:p>
        </w:tc>
        <w:tc>
          <w:tcPr>
            <w:tcW w:type="dxa" w:w="9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232,172</w:t>
            </w:r>
          </w:p>
        </w:tc>
        <w:tc>
          <w:tcPr>
            <w:tcW w:type="dxa" w:w="9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1,012,738</w:t>
            </w:r>
          </w:p>
        </w:tc>
        <w:tc>
          <w:tcPr>
            <w:tcW w:type="dxa" w:w="9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672,614</w:t>
            </w:r>
          </w:p>
        </w:tc>
        <w:tc>
          <w:tcPr>
            <w:tcW w:type="dxa" w:w="847"/>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325,000</w:t>
            </w:r>
          </w:p>
        </w:tc>
        <w:tc>
          <w:tcPr>
            <w:tcW w:type="dxa" w:w="9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1,130,612</w:t>
            </w:r>
          </w:p>
        </w:tc>
        <w:tc>
          <w:tcPr>
            <w:tcW w:type="dxa" w:w="753"/>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11,017</w:t>
            </w:r>
          </w:p>
        </w:tc>
        <w:tc>
          <w:tcPr>
            <w:tcW w:type="dxa" w:w="10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41,975,979</w:t>
            </w:r>
          </w:p>
        </w:tc>
      </w:tr>
      <w:tr>
        <w:trPr>
          <w:cantSplit/>
        </w:trPr>
        <w:tc>
          <w:tcPr>
            <w:tcW w:type="dxa" w:w="2072"/>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
            </w:r>
          </w:p>
        </w:tc>
        <w:tc>
          <w:tcPr>
            <w:tcW w:type="dxa" w:w="9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5DA8"/>
                <w:sz w:val="17"/>
                <w:szCs w:val="17"/>
              </w:rPr>
              <w:t xml:space="preserve">Non-luxury</w:t>
            </w:r>
          </w:p>
        </w:tc>
        <w:tc>
          <w:tcPr>
            <w:tcW w:type="dxa" w:w="9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772,828</w:t>
            </w:r>
          </w:p>
        </w:tc>
        <w:tc>
          <w:tcPr>
            <w:tcW w:type="dxa" w:w="9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1,015,818</w:t>
            </w:r>
          </w:p>
        </w:tc>
        <w:tc>
          <w:tcPr>
            <w:tcW w:type="dxa" w:w="9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673,731</w:t>
            </w:r>
          </w:p>
        </w:tc>
        <w:tc>
          <w:tcPr>
            <w:tcW w:type="dxa" w:w="847"/>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275,000</w:t>
            </w:r>
          </w:p>
        </w:tc>
        <w:tc>
          <w:tcPr>
            <w:tcW w:type="dxa" w:w="9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1,152,888</w:t>
            </w:r>
          </w:p>
        </w:tc>
        <w:tc>
          <w:tcPr>
            <w:tcW w:type="dxa" w:w="753"/>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8,043</w:t>
            </w:r>
          </w:p>
        </w:tc>
        <w:tc>
          <w:tcPr>
            <w:tcW w:type="dxa" w:w="10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51,993,222</w:t>
            </w:r>
          </w:p>
        </w:tc>
      </w:tr>
      <w:tr>
        <w:trPr>
          <w:cantSplit/>
        </w:trPr>
        <w:tc>
          <w:tcPr>
            <w:tcW w:type="dxa" w:w="2072"/>
            <w:tcBorders>
              <w:top w:val="single" w:color="BFBFBF" w:sz="2"/>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bCs/>
                <w:color w:val="1F1F1F"/>
                <w:sz w:val="17"/>
                <w:szCs w:val="17"/>
              </w:rPr>
              <w:t xml:space="preserve">Registration_Age (years)</w:t>
            </w:r>
          </w:p>
        </w:tc>
        <w:tc>
          <w:tcPr>
            <w:tcW w:type="dxa" w:w="941"/>
            <w:tcBorders>
              <w:top w:val="single" w:color="BFBFBF" w:sz="2"/>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All</w:t>
            </w:r>
          </w:p>
        </w:tc>
        <w:tc>
          <w:tcPr>
            <w:tcW w:type="dxa" w:w="941"/>
            <w:tcBorders>
              <w:top w:val="single" w:color="BFBFBF" w:sz="2"/>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1,005,000</w:t>
            </w:r>
          </w:p>
        </w:tc>
        <w:tc>
          <w:tcPr>
            <w:tcW w:type="dxa" w:w="941"/>
            <w:tcBorders>
              <w:top w:val="single" w:color="BFBFBF" w:sz="2"/>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13.0</w:t>
            </w:r>
          </w:p>
        </w:tc>
        <w:tc>
          <w:tcPr>
            <w:tcW w:type="dxa" w:w="941"/>
            <w:tcBorders>
              <w:top w:val="single" w:color="BFBFBF" w:sz="2"/>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13.0</w:t>
            </w:r>
          </w:p>
        </w:tc>
        <w:tc>
          <w:tcPr>
            <w:tcW w:type="dxa" w:w="847"/>
            <w:tcBorders>
              <w:top w:val="single" w:color="BFBFBF" w:sz="2"/>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6.0</w:t>
            </w:r>
          </w:p>
        </w:tc>
        <w:tc>
          <w:tcPr>
            <w:tcW w:type="dxa" w:w="941"/>
            <w:tcBorders>
              <w:top w:val="single" w:color="BFBFBF" w:sz="2"/>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7.2</w:t>
            </w:r>
          </w:p>
        </w:tc>
        <w:tc>
          <w:tcPr>
            <w:tcW w:type="dxa" w:w="753"/>
            <w:tcBorders>
              <w:top w:val="single" w:color="BFBFBF" w:sz="2"/>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1.0</w:t>
            </w:r>
          </w:p>
        </w:tc>
        <w:tc>
          <w:tcPr>
            <w:tcW w:type="dxa" w:w="1035"/>
            <w:tcBorders>
              <w:top w:val="single" w:color="BFBFBF" w:sz="2"/>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25.0</w:t>
            </w:r>
          </w:p>
        </w:tc>
      </w:tr>
      <w:tr>
        <w:trPr>
          <w:cantSplit/>
        </w:trPr>
        <w:tc>
          <w:tcPr>
            <w:tcW w:type="dxa" w:w="2072"/>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
            </w:r>
          </w:p>
        </w:tc>
        <w:tc>
          <w:tcPr>
            <w:tcW w:type="dxa" w:w="9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B34A1E"/>
                <w:sz w:val="17"/>
                <w:szCs w:val="17"/>
              </w:rPr>
              <w:t xml:space="preserve">Luxury</w:t>
            </w:r>
          </w:p>
        </w:tc>
        <w:tc>
          <w:tcPr>
            <w:tcW w:type="dxa" w:w="9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232,172</w:t>
            </w:r>
          </w:p>
        </w:tc>
        <w:tc>
          <w:tcPr>
            <w:tcW w:type="dxa" w:w="9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13.0</w:t>
            </w:r>
          </w:p>
        </w:tc>
        <w:tc>
          <w:tcPr>
            <w:tcW w:type="dxa" w:w="9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13.0</w:t>
            </w:r>
          </w:p>
        </w:tc>
        <w:tc>
          <w:tcPr>
            <w:tcW w:type="dxa" w:w="847"/>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18.0</w:t>
            </w:r>
          </w:p>
        </w:tc>
        <w:tc>
          <w:tcPr>
            <w:tcW w:type="dxa" w:w="9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7.2</w:t>
            </w:r>
          </w:p>
        </w:tc>
        <w:tc>
          <w:tcPr>
            <w:tcW w:type="dxa" w:w="753"/>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1.0</w:t>
            </w:r>
          </w:p>
        </w:tc>
        <w:tc>
          <w:tcPr>
            <w:tcW w:type="dxa" w:w="10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25.0</w:t>
            </w:r>
          </w:p>
        </w:tc>
      </w:tr>
      <w:tr>
        <w:trPr>
          <w:cantSplit/>
        </w:trPr>
        <w:tc>
          <w:tcPr>
            <w:tcW w:type="dxa" w:w="2072"/>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
            </w:r>
          </w:p>
        </w:tc>
        <w:tc>
          <w:tcPr>
            <w:tcW w:type="dxa" w:w="9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5DA8"/>
                <w:sz w:val="17"/>
                <w:szCs w:val="17"/>
              </w:rPr>
              <w:t xml:space="preserve">Non-luxury</w:t>
            </w:r>
          </w:p>
        </w:tc>
        <w:tc>
          <w:tcPr>
            <w:tcW w:type="dxa" w:w="9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772,828</w:t>
            </w:r>
          </w:p>
        </w:tc>
        <w:tc>
          <w:tcPr>
            <w:tcW w:type="dxa" w:w="9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13.0</w:t>
            </w:r>
          </w:p>
        </w:tc>
        <w:tc>
          <w:tcPr>
            <w:tcW w:type="dxa" w:w="9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13.0</w:t>
            </w:r>
          </w:p>
        </w:tc>
        <w:tc>
          <w:tcPr>
            <w:tcW w:type="dxa" w:w="847"/>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19.0</w:t>
            </w:r>
          </w:p>
        </w:tc>
        <w:tc>
          <w:tcPr>
            <w:tcW w:type="dxa" w:w="9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7.2</w:t>
            </w:r>
          </w:p>
        </w:tc>
        <w:tc>
          <w:tcPr>
            <w:tcW w:type="dxa" w:w="753"/>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1.0</w:t>
            </w:r>
          </w:p>
        </w:tc>
        <w:tc>
          <w:tcPr>
            <w:tcW w:type="dxa" w:w="10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25.0</w:t>
            </w:r>
          </w:p>
        </w:tc>
      </w:tr>
      <w:tr>
        <w:trPr>
          <w:cantSplit/>
        </w:trPr>
        <w:tc>
          <w:tcPr>
            <w:tcW w:type="dxa" w:w="2072"/>
            <w:tcBorders>
              <w:top w:val="single" w:color="BFBFBF" w:sz="2"/>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bCs/>
                <w:color w:val="1F1F1F"/>
                <w:sz w:val="17"/>
                <w:szCs w:val="17"/>
              </w:rPr>
              <w:t xml:space="preserve">Kms_Driven (km)ᵃ</w:t>
            </w:r>
          </w:p>
        </w:tc>
        <w:tc>
          <w:tcPr>
            <w:tcW w:type="dxa" w:w="941"/>
            <w:tcBorders>
              <w:top w:val="single" w:color="BFBFBF" w:sz="2"/>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All</w:t>
            </w:r>
          </w:p>
        </w:tc>
        <w:tc>
          <w:tcPr>
            <w:tcW w:type="dxa" w:w="941"/>
            <w:tcBorders>
              <w:top w:val="single" w:color="BFBFBF" w:sz="2"/>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998,866</w:t>
            </w:r>
          </w:p>
        </w:tc>
        <w:tc>
          <w:tcPr>
            <w:tcW w:type="dxa" w:w="941"/>
            <w:tcBorders>
              <w:top w:val="single" w:color="BFBFBF" w:sz="2"/>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196,142</w:t>
            </w:r>
          </w:p>
        </w:tc>
        <w:tc>
          <w:tcPr>
            <w:tcW w:type="dxa" w:w="941"/>
            <w:tcBorders>
              <w:top w:val="single" w:color="BFBFBF" w:sz="2"/>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152,610</w:t>
            </w:r>
          </w:p>
        </w:tc>
        <w:tc>
          <w:tcPr>
            <w:tcW w:type="dxa" w:w="847"/>
            <w:tcBorders>
              <w:top w:val="single" w:color="BFBFBF" w:sz="2"/>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95,000</w:t>
            </w:r>
          </w:p>
        </w:tc>
        <w:tc>
          <w:tcPr>
            <w:tcW w:type="dxa" w:w="941"/>
            <w:tcBorders>
              <w:top w:val="single" w:color="BFBFBF" w:sz="2"/>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150,624</w:t>
            </w:r>
          </w:p>
        </w:tc>
        <w:tc>
          <w:tcPr>
            <w:tcW w:type="dxa" w:w="753"/>
            <w:tcBorders>
              <w:top w:val="single" w:color="BFBFBF" w:sz="2"/>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3,216</w:t>
            </w:r>
          </w:p>
        </w:tc>
        <w:tc>
          <w:tcPr>
            <w:tcW w:type="dxa" w:w="1035"/>
            <w:tcBorders>
              <w:top w:val="single" w:color="BFBFBF" w:sz="2"/>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999,999</w:t>
            </w:r>
          </w:p>
        </w:tc>
      </w:tr>
      <w:tr>
        <w:trPr>
          <w:cantSplit/>
        </w:trPr>
        <w:tc>
          <w:tcPr>
            <w:tcW w:type="dxa" w:w="2072"/>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
            </w:r>
          </w:p>
        </w:tc>
        <w:tc>
          <w:tcPr>
            <w:tcW w:type="dxa" w:w="9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B34A1E"/>
                <w:sz w:val="17"/>
                <w:szCs w:val="17"/>
              </w:rPr>
              <w:t xml:space="preserve">Luxury</w:t>
            </w:r>
          </w:p>
        </w:tc>
        <w:tc>
          <w:tcPr>
            <w:tcW w:type="dxa" w:w="9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230,726</w:t>
            </w:r>
          </w:p>
        </w:tc>
        <w:tc>
          <w:tcPr>
            <w:tcW w:type="dxa" w:w="9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196,322</w:t>
            </w:r>
          </w:p>
        </w:tc>
        <w:tc>
          <w:tcPr>
            <w:tcW w:type="dxa" w:w="9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153,009</w:t>
            </w:r>
          </w:p>
        </w:tc>
        <w:tc>
          <w:tcPr>
            <w:tcW w:type="dxa" w:w="847"/>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95,000</w:t>
            </w:r>
          </w:p>
        </w:tc>
        <w:tc>
          <w:tcPr>
            <w:tcW w:type="dxa" w:w="9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150,612</w:t>
            </w:r>
          </w:p>
        </w:tc>
        <w:tc>
          <w:tcPr>
            <w:tcW w:type="dxa" w:w="753"/>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3,216</w:t>
            </w:r>
          </w:p>
        </w:tc>
        <w:tc>
          <w:tcPr>
            <w:tcW w:type="dxa" w:w="10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999,919</w:t>
            </w:r>
          </w:p>
        </w:tc>
      </w:tr>
      <w:tr>
        <w:trPr>
          <w:cantSplit/>
        </w:trPr>
        <w:tc>
          <w:tcPr>
            <w:tcW w:type="dxa" w:w="2072"/>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
            </w:r>
          </w:p>
        </w:tc>
        <w:tc>
          <w:tcPr>
            <w:tcW w:type="dxa" w:w="9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5DA8"/>
                <w:sz w:val="17"/>
                <w:szCs w:val="17"/>
              </w:rPr>
              <w:t xml:space="preserve">Non-luxury</w:t>
            </w:r>
          </w:p>
        </w:tc>
        <w:tc>
          <w:tcPr>
            <w:tcW w:type="dxa" w:w="9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768,140</w:t>
            </w:r>
          </w:p>
        </w:tc>
        <w:tc>
          <w:tcPr>
            <w:tcW w:type="dxa" w:w="9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196,089</w:t>
            </w:r>
          </w:p>
        </w:tc>
        <w:tc>
          <w:tcPr>
            <w:tcW w:type="dxa" w:w="9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152,494</w:t>
            </w:r>
          </w:p>
        </w:tc>
        <w:tc>
          <w:tcPr>
            <w:tcW w:type="dxa" w:w="847"/>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85,000</w:t>
            </w:r>
          </w:p>
        </w:tc>
        <w:tc>
          <w:tcPr>
            <w:tcW w:type="dxa" w:w="9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150,628</w:t>
            </w:r>
          </w:p>
        </w:tc>
        <w:tc>
          <w:tcPr>
            <w:tcW w:type="dxa" w:w="753"/>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3,546</w:t>
            </w:r>
          </w:p>
        </w:tc>
        <w:tc>
          <w:tcPr>
            <w:tcW w:type="dxa" w:w="10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999,999</w:t>
            </w:r>
          </w:p>
        </w:tc>
      </w:tr>
      <w:tr>
        <w:trPr>
          <w:cantSplit/>
        </w:trPr>
        <w:tc>
          <w:tcPr>
            <w:tcW w:type="dxa" w:w="2072"/>
            <w:tcBorders>
              <w:top w:val="single" w:color="BFBFBF" w:sz="2"/>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bCs/>
                <w:color w:val="1F1F1F"/>
                <w:sz w:val="17"/>
                <w:szCs w:val="17"/>
              </w:rPr>
              <w:t xml:space="preserve">Engine_CC (cc)ᵇ</w:t>
            </w:r>
          </w:p>
        </w:tc>
        <w:tc>
          <w:tcPr>
            <w:tcW w:type="dxa" w:w="941"/>
            <w:tcBorders>
              <w:top w:val="single" w:color="BFBFBF" w:sz="2"/>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All</w:t>
            </w:r>
          </w:p>
        </w:tc>
        <w:tc>
          <w:tcPr>
            <w:tcW w:type="dxa" w:w="941"/>
            <w:tcBorders>
              <w:top w:val="single" w:color="BFBFBF" w:sz="2"/>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1,004,936</w:t>
            </w:r>
          </w:p>
        </w:tc>
        <w:tc>
          <w:tcPr>
            <w:tcW w:type="dxa" w:w="941"/>
            <w:tcBorders>
              <w:top w:val="single" w:color="BFBFBF" w:sz="2"/>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1,506</w:t>
            </w:r>
          </w:p>
        </w:tc>
        <w:tc>
          <w:tcPr>
            <w:tcW w:type="dxa" w:w="941"/>
            <w:tcBorders>
              <w:top w:val="single" w:color="BFBFBF" w:sz="2"/>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1,494</w:t>
            </w:r>
          </w:p>
        </w:tc>
        <w:tc>
          <w:tcPr>
            <w:tcW w:type="dxa" w:w="847"/>
            <w:tcBorders>
              <w:top w:val="single" w:color="BFBFBF" w:sz="2"/>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875</w:t>
            </w:r>
          </w:p>
        </w:tc>
        <w:tc>
          <w:tcPr>
            <w:tcW w:type="dxa" w:w="941"/>
            <w:tcBorders>
              <w:top w:val="single" w:color="BFBFBF" w:sz="2"/>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408</w:t>
            </w:r>
          </w:p>
        </w:tc>
        <w:tc>
          <w:tcPr>
            <w:tcW w:type="dxa" w:w="753"/>
            <w:tcBorders>
              <w:top w:val="single" w:color="BFBFBF" w:sz="2"/>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304</w:t>
            </w:r>
          </w:p>
        </w:tc>
        <w:tc>
          <w:tcPr>
            <w:tcW w:type="dxa" w:w="1035"/>
            <w:tcBorders>
              <w:top w:val="single" w:color="BFBFBF" w:sz="2"/>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2,720</w:t>
            </w:r>
          </w:p>
        </w:tc>
      </w:tr>
      <w:tr>
        <w:trPr>
          <w:cantSplit/>
        </w:trPr>
        <w:tc>
          <w:tcPr>
            <w:tcW w:type="dxa" w:w="2072"/>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
            </w:r>
          </w:p>
        </w:tc>
        <w:tc>
          <w:tcPr>
            <w:tcW w:type="dxa" w:w="9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B34A1E"/>
                <w:sz w:val="17"/>
                <w:szCs w:val="17"/>
              </w:rPr>
              <w:t xml:space="preserve">Luxury</w:t>
            </w:r>
          </w:p>
        </w:tc>
        <w:tc>
          <w:tcPr>
            <w:tcW w:type="dxa" w:w="9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232,158</w:t>
            </w:r>
          </w:p>
        </w:tc>
        <w:tc>
          <w:tcPr>
            <w:tcW w:type="dxa" w:w="9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1,507</w:t>
            </w:r>
          </w:p>
        </w:tc>
        <w:tc>
          <w:tcPr>
            <w:tcW w:type="dxa" w:w="9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1,495</w:t>
            </w:r>
          </w:p>
        </w:tc>
        <w:tc>
          <w:tcPr>
            <w:tcW w:type="dxa" w:w="847"/>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875</w:t>
            </w:r>
          </w:p>
        </w:tc>
        <w:tc>
          <w:tcPr>
            <w:tcW w:type="dxa" w:w="9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409</w:t>
            </w:r>
          </w:p>
        </w:tc>
        <w:tc>
          <w:tcPr>
            <w:tcW w:type="dxa" w:w="753"/>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304</w:t>
            </w:r>
          </w:p>
        </w:tc>
        <w:tc>
          <w:tcPr>
            <w:tcW w:type="dxa" w:w="10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2,664</w:t>
            </w:r>
          </w:p>
        </w:tc>
      </w:tr>
      <w:tr>
        <w:trPr>
          <w:cantSplit/>
        </w:trPr>
        <w:tc>
          <w:tcPr>
            <w:tcW w:type="dxa" w:w="2072"/>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
            </w:r>
          </w:p>
        </w:tc>
        <w:tc>
          <w:tcPr>
            <w:tcW w:type="dxa" w:w="9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5DA8"/>
                <w:sz w:val="17"/>
                <w:szCs w:val="17"/>
              </w:rPr>
              <w:t xml:space="preserve">Non-luxury</w:t>
            </w:r>
          </w:p>
        </w:tc>
        <w:tc>
          <w:tcPr>
            <w:tcW w:type="dxa" w:w="9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772,778</w:t>
            </w:r>
          </w:p>
        </w:tc>
        <w:tc>
          <w:tcPr>
            <w:tcW w:type="dxa" w:w="9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1,506</w:t>
            </w:r>
          </w:p>
        </w:tc>
        <w:tc>
          <w:tcPr>
            <w:tcW w:type="dxa" w:w="9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1,494</w:t>
            </w:r>
          </w:p>
        </w:tc>
        <w:tc>
          <w:tcPr>
            <w:tcW w:type="dxa" w:w="847"/>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875</w:t>
            </w:r>
          </w:p>
        </w:tc>
        <w:tc>
          <w:tcPr>
            <w:tcW w:type="dxa" w:w="9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408</w:t>
            </w:r>
          </w:p>
        </w:tc>
        <w:tc>
          <w:tcPr>
            <w:tcW w:type="dxa" w:w="753"/>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305</w:t>
            </w:r>
          </w:p>
        </w:tc>
        <w:tc>
          <w:tcPr>
            <w:tcW w:type="dxa" w:w="10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2,720</w:t>
            </w:r>
          </w:p>
        </w:tc>
      </w:tr>
      <w:tr>
        <w:trPr>
          <w:cantSplit/>
        </w:trPr>
        <w:tc>
          <w:tcPr>
            <w:tcW w:type="dxa" w:w="2072"/>
            <w:tcBorders>
              <w:top w:val="single" w:color="BFBFBF" w:sz="2"/>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bCs/>
                <w:color w:val="1F1F1F"/>
                <w:sz w:val="17"/>
                <w:szCs w:val="17"/>
              </w:rPr>
              <w:t xml:space="preserve">Horsepower (hp)ᵇ</w:t>
            </w:r>
          </w:p>
        </w:tc>
        <w:tc>
          <w:tcPr>
            <w:tcW w:type="dxa" w:w="941"/>
            <w:tcBorders>
              <w:top w:val="single" w:color="BFBFBF" w:sz="2"/>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All</w:t>
            </w:r>
          </w:p>
        </w:tc>
        <w:tc>
          <w:tcPr>
            <w:tcW w:type="dxa" w:w="941"/>
            <w:tcBorders>
              <w:top w:val="single" w:color="BFBFBF" w:sz="2"/>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1,004,957</w:t>
            </w:r>
          </w:p>
        </w:tc>
        <w:tc>
          <w:tcPr>
            <w:tcW w:type="dxa" w:w="941"/>
            <w:tcBorders>
              <w:top w:val="single" w:color="BFBFBF" w:sz="2"/>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120.5</w:t>
            </w:r>
          </w:p>
        </w:tc>
        <w:tc>
          <w:tcPr>
            <w:tcW w:type="dxa" w:w="941"/>
            <w:tcBorders>
              <w:top w:val="single" w:color="BFBFBF" w:sz="2"/>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119.8</w:t>
            </w:r>
          </w:p>
        </w:tc>
        <w:tc>
          <w:tcPr>
            <w:tcW w:type="dxa" w:w="847"/>
            <w:tcBorders>
              <w:top w:val="single" w:color="BFBFBF" w:sz="2"/>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62.5</w:t>
            </w:r>
          </w:p>
        </w:tc>
        <w:tc>
          <w:tcPr>
            <w:tcW w:type="dxa" w:w="941"/>
            <w:tcBorders>
              <w:top w:val="single" w:color="BFBFBF" w:sz="2"/>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38.7</w:t>
            </w:r>
          </w:p>
        </w:tc>
        <w:tc>
          <w:tcPr>
            <w:tcW w:type="dxa" w:w="753"/>
            <w:tcBorders>
              <w:top w:val="single" w:color="BFBFBF" w:sz="2"/>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4.6</w:t>
            </w:r>
          </w:p>
        </w:tc>
        <w:tc>
          <w:tcPr>
            <w:tcW w:type="dxa" w:w="1035"/>
            <w:tcBorders>
              <w:top w:val="single" w:color="BFBFBF" w:sz="2"/>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235.2</w:t>
            </w:r>
          </w:p>
        </w:tc>
      </w:tr>
      <w:tr>
        <w:trPr>
          <w:cantSplit/>
        </w:trPr>
        <w:tc>
          <w:tcPr>
            <w:tcW w:type="dxa" w:w="2072"/>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
            </w:r>
          </w:p>
        </w:tc>
        <w:tc>
          <w:tcPr>
            <w:tcW w:type="dxa" w:w="9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B34A1E"/>
                <w:sz w:val="17"/>
                <w:szCs w:val="17"/>
              </w:rPr>
              <w:t xml:space="preserve">Luxury</w:t>
            </w:r>
          </w:p>
        </w:tc>
        <w:tc>
          <w:tcPr>
            <w:tcW w:type="dxa" w:w="9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232,159</w:t>
            </w:r>
          </w:p>
        </w:tc>
        <w:tc>
          <w:tcPr>
            <w:tcW w:type="dxa" w:w="9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120.5</w:t>
            </w:r>
          </w:p>
        </w:tc>
        <w:tc>
          <w:tcPr>
            <w:tcW w:type="dxa" w:w="9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119.8</w:t>
            </w:r>
          </w:p>
        </w:tc>
        <w:tc>
          <w:tcPr>
            <w:tcW w:type="dxa" w:w="847"/>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57.5</w:t>
            </w:r>
          </w:p>
        </w:tc>
        <w:tc>
          <w:tcPr>
            <w:tcW w:type="dxa" w:w="9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38.8</w:t>
            </w:r>
          </w:p>
        </w:tc>
        <w:tc>
          <w:tcPr>
            <w:tcW w:type="dxa" w:w="753"/>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7.6</w:t>
            </w:r>
          </w:p>
        </w:tc>
        <w:tc>
          <w:tcPr>
            <w:tcW w:type="dxa" w:w="10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234.0</w:t>
            </w:r>
          </w:p>
        </w:tc>
      </w:tr>
      <w:tr>
        <w:trPr>
          <w:cantSplit/>
        </w:trPr>
        <w:tc>
          <w:tcPr>
            <w:tcW w:type="dxa" w:w="2072"/>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
            </w:r>
          </w:p>
        </w:tc>
        <w:tc>
          <w:tcPr>
            <w:tcW w:type="dxa" w:w="9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5DA8"/>
                <w:sz w:val="17"/>
                <w:szCs w:val="17"/>
              </w:rPr>
              <w:t xml:space="preserve">Non-luxury</w:t>
            </w:r>
          </w:p>
        </w:tc>
        <w:tc>
          <w:tcPr>
            <w:tcW w:type="dxa" w:w="9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772,798</w:t>
            </w:r>
          </w:p>
        </w:tc>
        <w:tc>
          <w:tcPr>
            <w:tcW w:type="dxa" w:w="9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120.5</w:t>
            </w:r>
          </w:p>
        </w:tc>
        <w:tc>
          <w:tcPr>
            <w:tcW w:type="dxa" w:w="9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119.8</w:t>
            </w:r>
          </w:p>
        </w:tc>
        <w:tc>
          <w:tcPr>
            <w:tcW w:type="dxa" w:w="847"/>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62.5</w:t>
            </w:r>
          </w:p>
        </w:tc>
        <w:tc>
          <w:tcPr>
            <w:tcW w:type="dxa" w:w="9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38.7</w:t>
            </w:r>
          </w:p>
        </w:tc>
        <w:tc>
          <w:tcPr>
            <w:tcW w:type="dxa" w:w="753"/>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4.6</w:t>
            </w:r>
          </w:p>
        </w:tc>
        <w:tc>
          <w:tcPr>
            <w:tcW w:type="dxa" w:w="10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235.2</w:t>
            </w:r>
          </w:p>
        </w:tc>
      </w:tr>
      <w:tr>
        <w:trPr>
          <w:cantSplit/>
        </w:trPr>
        <w:tc>
          <w:tcPr>
            <w:tcW w:type="dxa" w:w="2072"/>
            <w:tcBorders>
              <w:top w:val="single" w:color="BFBFBF" w:sz="2"/>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bCs/>
                <w:color w:val="1F1F1F"/>
                <w:sz w:val="17"/>
                <w:szCs w:val="17"/>
              </w:rPr>
              <w:t xml:space="preserve">Mileage_kmpl (km/l)ᵇ</w:t>
            </w:r>
          </w:p>
        </w:tc>
        <w:tc>
          <w:tcPr>
            <w:tcW w:type="dxa" w:w="941"/>
            <w:tcBorders>
              <w:top w:val="single" w:color="BFBFBF" w:sz="2"/>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All</w:t>
            </w:r>
          </w:p>
        </w:tc>
        <w:tc>
          <w:tcPr>
            <w:tcW w:type="dxa" w:w="941"/>
            <w:tcBorders>
              <w:top w:val="single" w:color="BFBFBF" w:sz="2"/>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1,004,960</w:t>
            </w:r>
          </w:p>
        </w:tc>
        <w:tc>
          <w:tcPr>
            <w:tcW w:type="dxa" w:w="941"/>
            <w:tcBorders>
              <w:top w:val="single" w:color="BFBFBF" w:sz="2"/>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18.00</w:t>
            </w:r>
          </w:p>
        </w:tc>
        <w:tc>
          <w:tcPr>
            <w:tcW w:type="dxa" w:w="941"/>
            <w:tcBorders>
              <w:top w:val="single" w:color="BFBFBF" w:sz="2"/>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18.00</w:t>
            </w:r>
          </w:p>
        </w:tc>
        <w:tc>
          <w:tcPr>
            <w:tcW w:type="dxa" w:w="847"/>
            <w:tcBorders>
              <w:top w:val="single" w:color="BFBFBF" w:sz="2"/>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11.25</w:t>
            </w:r>
          </w:p>
        </w:tc>
        <w:tc>
          <w:tcPr>
            <w:tcW w:type="dxa" w:w="941"/>
            <w:tcBorders>
              <w:top w:val="single" w:color="BFBFBF" w:sz="2"/>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4.18</w:t>
            </w:r>
          </w:p>
        </w:tc>
        <w:tc>
          <w:tcPr>
            <w:tcW w:type="dxa" w:w="753"/>
            <w:tcBorders>
              <w:top w:val="single" w:color="BFBFBF" w:sz="2"/>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5.60</w:t>
            </w:r>
          </w:p>
        </w:tc>
        <w:tc>
          <w:tcPr>
            <w:tcW w:type="dxa" w:w="1035"/>
            <w:tcBorders>
              <w:top w:val="single" w:color="BFBFBF" w:sz="2"/>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30.32</w:t>
            </w:r>
          </w:p>
        </w:tc>
      </w:tr>
      <w:tr>
        <w:trPr>
          <w:cantSplit/>
        </w:trPr>
        <w:tc>
          <w:tcPr>
            <w:tcW w:type="dxa" w:w="2072"/>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
            </w:r>
          </w:p>
        </w:tc>
        <w:tc>
          <w:tcPr>
            <w:tcW w:type="dxa" w:w="9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B34A1E"/>
                <w:sz w:val="17"/>
                <w:szCs w:val="17"/>
              </w:rPr>
              <w:t xml:space="preserve">Luxury</w:t>
            </w:r>
          </w:p>
        </w:tc>
        <w:tc>
          <w:tcPr>
            <w:tcW w:type="dxa" w:w="9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232,164</w:t>
            </w:r>
          </w:p>
        </w:tc>
        <w:tc>
          <w:tcPr>
            <w:tcW w:type="dxa" w:w="9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18.00</w:t>
            </w:r>
          </w:p>
        </w:tc>
        <w:tc>
          <w:tcPr>
            <w:tcW w:type="dxa" w:w="9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17.99</w:t>
            </w:r>
          </w:p>
        </w:tc>
        <w:tc>
          <w:tcPr>
            <w:tcW w:type="dxa" w:w="847"/>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11.25</w:t>
            </w:r>
          </w:p>
        </w:tc>
        <w:tc>
          <w:tcPr>
            <w:tcW w:type="dxa" w:w="9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4.17</w:t>
            </w:r>
          </w:p>
        </w:tc>
        <w:tc>
          <w:tcPr>
            <w:tcW w:type="dxa" w:w="753"/>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5.70</w:t>
            </w:r>
          </w:p>
        </w:tc>
        <w:tc>
          <w:tcPr>
            <w:tcW w:type="dxa" w:w="10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27.11</w:t>
            </w:r>
          </w:p>
        </w:tc>
      </w:tr>
      <w:tr>
        <w:trPr>
          <w:cantSplit/>
        </w:trPr>
        <w:tc>
          <w:tcPr>
            <w:tcW w:type="dxa" w:w="2072"/>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
            </w:r>
          </w:p>
        </w:tc>
        <w:tc>
          <w:tcPr>
            <w:tcW w:type="dxa" w:w="9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5DA8"/>
                <w:sz w:val="17"/>
                <w:szCs w:val="17"/>
              </w:rPr>
              <w:t xml:space="preserve">Non-luxury</w:t>
            </w:r>
          </w:p>
        </w:tc>
        <w:tc>
          <w:tcPr>
            <w:tcW w:type="dxa" w:w="9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772,796</w:t>
            </w:r>
          </w:p>
        </w:tc>
        <w:tc>
          <w:tcPr>
            <w:tcW w:type="dxa" w:w="9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18.01</w:t>
            </w:r>
          </w:p>
        </w:tc>
        <w:tc>
          <w:tcPr>
            <w:tcW w:type="dxa" w:w="9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18.00</w:t>
            </w:r>
          </w:p>
        </w:tc>
        <w:tc>
          <w:tcPr>
            <w:tcW w:type="dxa" w:w="847"/>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11.25</w:t>
            </w:r>
          </w:p>
        </w:tc>
        <w:tc>
          <w:tcPr>
            <w:tcW w:type="dxa" w:w="9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4.18</w:t>
            </w:r>
          </w:p>
        </w:tc>
        <w:tc>
          <w:tcPr>
            <w:tcW w:type="dxa" w:w="753"/>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5.60</w:t>
            </w:r>
          </w:p>
        </w:tc>
        <w:tc>
          <w:tcPr>
            <w:tcW w:type="dxa" w:w="10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30.32</w:t>
            </w:r>
          </w:p>
        </w:tc>
      </w:tr>
      <w:tr>
        <w:trPr>
          <w:cantSplit/>
        </w:trPr>
        <w:tc>
          <w:tcPr>
            <w:tcW w:type="dxa" w:w="2072"/>
            <w:tcBorders>
              <w:top w:val="single" w:color="BFBFBF" w:sz="2"/>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bCs/>
                <w:color w:val="1F1F1F"/>
                <w:sz w:val="17"/>
                <w:szCs w:val="17"/>
              </w:rPr>
              <w:t xml:space="preserve">Accidents (count)</w:t>
            </w:r>
          </w:p>
        </w:tc>
        <w:tc>
          <w:tcPr>
            <w:tcW w:type="dxa" w:w="941"/>
            <w:tcBorders>
              <w:top w:val="single" w:color="BFBFBF" w:sz="2"/>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All</w:t>
            </w:r>
          </w:p>
        </w:tc>
        <w:tc>
          <w:tcPr>
            <w:tcW w:type="dxa" w:w="941"/>
            <w:tcBorders>
              <w:top w:val="single" w:color="BFBFBF" w:sz="2"/>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1,005,000</w:t>
            </w:r>
          </w:p>
        </w:tc>
        <w:tc>
          <w:tcPr>
            <w:tcW w:type="dxa" w:w="941"/>
            <w:tcBorders>
              <w:top w:val="single" w:color="BFBFBF" w:sz="2"/>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0.30</w:t>
            </w:r>
          </w:p>
        </w:tc>
        <w:tc>
          <w:tcPr>
            <w:tcW w:type="dxa" w:w="941"/>
            <w:tcBorders>
              <w:top w:val="single" w:color="BFBFBF" w:sz="2"/>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0.00</w:t>
            </w:r>
          </w:p>
        </w:tc>
        <w:tc>
          <w:tcPr>
            <w:tcW w:type="dxa" w:w="847"/>
            <w:tcBorders>
              <w:top w:val="single" w:color="BFBFBF" w:sz="2"/>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0.00</w:t>
            </w:r>
          </w:p>
        </w:tc>
        <w:tc>
          <w:tcPr>
            <w:tcW w:type="dxa" w:w="941"/>
            <w:tcBorders>
              <w:top w:val="single" w:color="BFBFBF" w:sz="2"/>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0.55</w:t>
            </w:r>
          </w:p>
        </w:tc>
        <w:tc>
          <w:tcPr>
            <w:tcW w:type="dxa" w:w="753"/>
            <w:tcBorders>
              <w:top w:val="single" w:color="BFBFBF" w:sz="2"/>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0.00</w:t>
            </w:r>
          </w:p>
        </w:tc>
        <w:tc>
          <w:tcPr>
            <w:tcW w:type="dxa" w:w="1035"/>
            <w:tcBorders>
              <w:top w:val="single" w:color="BFBFBF" w:sz="2"/>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5.00</w:t>
            </w:r>
          </w:p>
        </w:tc>
      </w:tr>
      <w:tr>
        <w:trPr>
          <w:cantSplit/>
        </w:trPr>
        <w:tc>
          <w:tcPr>
            <w:tcW w:type="dxa" w:w="2072"/>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
            </w:r>
          </w:p>
        </w:tc>
        <w:tc>
          <w:tcPr>
            <w:tcW w:type="dxa" w:w="9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B34A1E"/>
                <w:sz w:val="17"/>
                <w:szCs w:val="17"/>
              </w:rPr>
              <w:t xml:space="preserve">Luxury</w:t>
            </w:r>
          </w:p>
        </w:tc>
        <w:tc>
          <w:tcPr>
            <w:tcW w:type="dxa" w:w="9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232,172</w:t>
            </w:r>
          </w:p>
        </w:tc>
        <w:tc>
          <w:tcPr>
            <w:tcW w:type="dxa" w:w="9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0.30</w:t>
            </w:r>
          </w:p>
        </w:tc>
        <w:tc>
          <w:tcPr>
            <w:tcW w:type="dxa" w:w="9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0.00</w:t>
            </w:r>
          </w:p>
        </w:tc>
        <w:tc>
          <w:tcPr>
            <w:tcW w:type="dxa" w:w="847"/>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0.00</w:t>
            </w:r>
          </w:p>
        </w:tc>
        <w:tc>
          <w:tcPr>
            <w:tcW w:type="dxa" w:w="9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0.55</w:t>
            </w:r>
          </w:p>
        </w:tc>
        <w:tc>
          <w:tcPr>
            <w:tcW w:type="dxa" w:w="753"/>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0.00</w:t>
            </w:r>
          </w:p>
        </w:tc>
        <w:tc>
          <w:tcPr>
            <w:tcW w:type="dxa" w:w="10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5.00</w:t>
            </w:r>
          </w:p>
        </w:tc>
      </w:tr>
      <w:tr>
        <w:trPr>
          <w:cantSplit/>
        </w:trPr>
        <w:tc>
          <w:tcPr>
            <w:tcW w:type="dxa" w:w="2072"/>
            <w:tcBorders>
              <w:top w:val="none" w:color="FFFFFF" w:sz="0"/>
              <w:left w:val="none" w:color="FFFFFF" w:sz="0"/>
              <w:bottom w:val="single" w:color="404040" w:sz="8"/>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
            </w:r>
          </w:p>
        </w:tc>
        <w:tc>
          <w:tcPr>
            <w:tcW w:type="dxa" w:w="941"/>
            <w:tcBorders>
              <w:top w:val="none" w:color="FFFFFF" w:sz="0"/>
              <w:left w:val="none" w:color="FFFFFF" w:sz="0"/>
              <w:bottom w:val="single" w:color="404040" w:sz="8"/>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5DA8"/>
                <w:sz w:val="17"/>
                <w:szCs w:val="17"/>
              </w:rPr>
              <w:t xml:space="preserve">Non-luxury</w:t>
            </w:r>
          </w:p>
        </w:tc>
        <w:tc>
          <w:tcPr>
            <w:tcW w:type="dxa" w:w="941"/>
            <w:tcBorders>
              <w:top w:val="none" w:color="FFFFFF" w:sz="0"/>
              <w:left w:val="none" w:color="FFFFFF" w:sz="0"/>
              <w:bottom w:val="single" w:color="404040" w:sz="8"/>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772,828</w:t>
            </w:r>
          </w:p>
        </w:tc>
        <w:tc>
          <w:tcPr>
            <w:tcW w:type="dxa" w:w="941"/>
            <w:tcBorders>
              <w:top w:val="none" w:color="FFFFFF" w:sz="0"/>
              <w:left w:val="none" w:color="FFFFFF" w:sz="0"/>
              <w:bottom w:val="single" w:color="404040" w:sz="8"/>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0.30</w:t>
            </w:r>
          </w:p>
        </w:tc>
        <w:tc>
          <w:tcPr>
            <w:tcW w:type="dxa" w:w="941"/>
            <w:tcBorders>
              <w:top w:val="none" w:color="FFFFFF" w:sz="0"/>
              <w:left w:val="none" w:color="FFFFFF" w:sz="0"/>
              <w:bottom w:val="single" w:color="404040" w:sz="8"/>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0.00</w:t>
            </w:r>
          </w:p>
        </w:tc>
        <w:tc>
          <w:tcPr>
            <w:tcW w:type="dxa" w:w="847"/>
            <w:tcBorders>
              <w:top w:val="none" w:color="FFFFFF" w:sz="0"/>
              <w:left w:val="none" w:color="FFFFFF" w:sz="0"/>
              <w:bottom w:val="single" w:color="404040" w:sz="8"/>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0.00</w:t>
            </w:r>
          </w:p>
        </w:tc>
        <w:tc>
          <w:tcPr>
            <w:tcW w:type="dxa" w:w="941"/>
            <w:tcBorders>
              <w:top w:val="none" w:color="FFFFFF" w:sz="0"/>
              <w:left w:val="none" w:color="FFFFFF" w:sz="0"/>
              <w:bottom w:val="single" w:color="404040" w:sz="8"/>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0.55</w:t>
            </w:r>
          </w:p>
        </w:tc>
        <w:tc>
          <w:tcPr>
            <w:tcW w:type="dxa" w:w="753"/>
            <w:tcBorders>
              <w:top w:val="none" w:color="FFFFFF" w:sz="0"/>
              <w:left w:val="none" w:color="FFFFFF" w:sz="0"/>
              <w:bottom w:val="single" w:color="404040" w:sz="8"/>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0.00</w:t>
            </w:r>
          </w:p>
        </w:tc>
        <w:tc>
          <w:tcPr>
            <w:tcW w:type="dxa" w:w="1035"/>
            <w:tcBorders>
              <w:top w:val="none" w:color="FFFFFF" w:sz="0"/>
              <w:left w:val="none" w:color="FFFFFF" w:sz="0"/>
              <w:bottom w:val="single" w:color="404040" w:sz="8"/>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5.00</w:t>
            </w:r>
          </w:p>
        </w:tc>
      </w:tr>
    </w:tbl>
    <w:p>
      <w:pPr>
        <w:spacing w:after="120" w:before="40"/>
      </w:pPr>
      <w:r>
        <w:rPr>
          <w:rFonts w:ascii="Calibri" w:cs="Calibri" w:eastAsia="Calibri" w:hAnsi="Calibri"/>
          <w:color w:val="595959"/>
          <w:sz w:val="15"/>
          <w:szCs w:val="15"/>
        </w:rPr>
        <w:t xml:space="preserve">Source: calculated from Stable Space (2026). ᵃ Kms_Driven ≤ 1,000,000. ᵇ Zeros and values beyond mean ± 3 SD excluded; Min and Max are isolated values (Table 1). ᶜ Exact mode for Registration_Age and Accidents; the continuous variables have no repeated value, so the midpoint of the most frequent class is shown (price 50,000; km 10,000; cc 50; hp 5; km/l 0.5). SD: sample standard deviation.</w:t>
      </w:r>
    </w:p>
    <w:p>
      <w:pPr>
        <w:keepNext/>
        <w:spacing w:after="40" w:before="160"/>
        <w:jc w:val="center"/>
      </w:pPr>
      <w:r>
        <w:drawing>
          <wp:inline distT="0" distB="0" distL="0" distR="0">
            <wp:extent cx="5943600" cy="2590800"/>
            <wp:effectExtent t="0" r="0" b="0" l="0"/>
            <wp:docPr id="1" name="Figure 1" descr="Distribution of Car_Price (n = 1,005,000). (a) Raw scale in INR 50,000 classes; darker bars and the box mark the interquartile range (IQR), whiskers the 5th to 95th percentiles and the diamond the mean; the 1.3% of listings above INR 5 million are not shown. (b) Log scale, luxury above and non-luxury mirrored below (dashed outline = the other segment). The inset plots the 1st to 99th percentiles of the two segments against each other; points on the diagonal mean the same distribution. M = million, k = thousand. Source: calculated from Stable Space (2026)."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590800"/>
                    </a:xfrm>
                    <a:prstGeom prst="rect">
                      <a:avLst/>
                    </a:prstGeom>
                  </pic:spPr>
                </pic:pic>
              </a:graphicData>
            </a:graphic>
          </wp:inline>
        </w:drawing>
      </w:r>
    </w:p>
    <w:p>
      <w:pPr>
        <w:spacing w:after="160" w:before="0"/>
      </w:pPr>
      <w:r>
        <w:rPr>
          <w:rFonts w:ascii="Calibri" w:cs="Calibri" w:eastAsia="Calibri" w:hAnsi="Calibri"/>
          <w:b/>
          <w:bCs/>
          <w:sz w:val="17"/>
          <w:szCs w:val="17"/>
        </w:rPr>
        <w:t xml:space="preserve">Figure 1  </w:t>
      </w:r>
      <w:r>
        <w:rPr>
          <w:rFonts w:ascii="Calibri" w:cs="Calibri" w:eastAsia="Calibri" w:hAnsi="Calibri"/>
          <w:color w:val="333333"/>
          <w:sz w:val="17"/>
          <w:szCs w:val="17"/>
        </w:rPr>
        <w:t xml:space="preserve">Distribution of Car_Price (n = 1,005,000). (a) Raw scale in INR 50,000 classes; darker bars and the box mark the interquartile range (IQR), whiskers the 5th to 95th percentiles and the diamond the mean; the 1.3% of listings above INR 5 million are not shown. (b) Log scale, luxury above and non-luxury mirrored below (dashed outline = the other segment). The inset plots the 1st to 99th percentiles of the two segments against each other; points on the diagonal mean the same distribution. M = million, k = thousand. Source: calculated from Stable Space (2026).</w:t>
      </w:r>
    </w:p>
    <w:p>
      <w:pPr>
        <w:pStyle w:val="Heading2"/>
        <w:keepNext/>
        <w:spacing w:after="60" w:before="160"/>
      </w:pPr>
      <w:r>
        <w:rPr>
          <w:rFonts w:ascii="Calibri" w:cs="Calibri" w:eastAsia="Calibri" w:hAnsi="Calibri"/>
          <w:b/>
          <w:bCs/>
          <w:color w:val="1F1F1F"/>
          <w:sz w:val="22"/>
          <w:szCs w:val="22"/>
        </w:rPr>
        <w:t xml:space="preserve">2.4   Price, vehicle age and usage</w:t>
      </w:r>
    </w:p>
    <w:p>
      <w:pPr>
        <w:spacing w:after="120" w:before="0" w:line="264"/>
        <w:jc w:val="both"/>
      </w:pPr>
      <w:r>
        <w:rPr>
          <w:rFonts w:ascii="Calibri" w:cs="Calibri" w:eastAsia="Calibri" w:hAnsi="Calibri"/>
          <w:color w:val="1F1F1F"/>
          <w:sz w:val="21"/>
          <w:szCs w:val="21"/>
        </w:rPr>
        <w:t xml:space="preserve">Price was plotted for 5,000 randomly chosen listings, the largest sample the guide suggests (UNSW Business School 2026, p. 7), beside medians for all listings (Figure 2). Registration_Age shows no clear association with price (r = 0.0001). Its median stays between INR 667,024 and 681,532 across all 25 ages (Figure 2b).</w:t>
      </w:r>
    </w:p>
    <w:p>
      <w:pPr>
        <w:spacing w:after="120" w:before="0" w:line="264"/>
        <w:jc w:val="both"/>
      </w:pPr>
      <w:r>
        <w:rPr>
          <w:rFonts w:ascii="Calibri" w:cs="Calibri" w:eastAsia="Calibri" w:hAnsi="Calibri"/>
          <w:color w:val="1F1F1F"/>
          <w:sz w:val="21"/>
          <w:szCs w:val="21"/>
        </w:rPr>
        <w:t xml:space="preserve">Usage has a weak negative association with price (r = −0.051). The median falls from INR 756,694 in the lowest usage decile to INR 603,779 in the highest, 20% lower. This compares different cars, not one car over time. Prices within each decile vary far more (Figure 2d). The median surface in Figure 3a slopes along usage and stays flat along age. In a 5,000-row sample, chance alone moves r by about ±0.028 (Figure 3b).</w:t>
      </w:r>
    </w:p>
    <w:p>
      <w:pPr>
        <w:keepNext/>
        <w:spacing w:after="40" w:before="160"/>
        <w:jc w:val="center"/>
      </w:pPr>
      <w:r>
        <w:drawing>
          <wp:inline distT="0" distB="0" distL="0" distR="0">
            <wp:extent cx="5943600" cy="3438525"/>
            <wp:effectExtent t="0" r="0" b="0" l="0"/>
            <wp:docPr id="1" name="Figure 2" descr="Car_Price against Registration_Age (a, b) and Kms_Driven (c, d). (a) and (c) Random samples of 5,000 listings (orange = luxury, blue = non-luxury); ages in (a) are spread by up to 0.3 years so that points do not overlap. Black lines use all listings: the median and quartiles by age in (a) and the fitted log–log line in (c). (b) and (d) Shading shows the share of all listings in each price class at each age or usage decile, with segment medians and the quartiles (white dashed). (c) and (d) use listings with Kms_Driven ≤ 1,000,000. Source: calculated from Stable Space (2026)."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438525"/>
                    </a:xfrm>
                    <a:prstGeom prst="rect">
                      <a:avLst/>
                    </a:prstGeom>
                  </pic:spPr>
                </pic:pic>
              </a:graphicData>
            </a:graphic>
          </wp:inline>
        </w:drawing>
      </w:r>
    </w:p>
    <w:p>
      <w:pPr>
        <w:spacing w:after="160" w:before="0"/>
      </w:pPr>
      <w:r>
        <w:rPr>
          <w:rFonts w:ascii="Calibri" w:cs="Calibri" w:eastAsia="Calibri" w:hAnsi="Calibri"/>
          <w:b/>
          <w:bCs/>
          <w:sz w:val="17"/>
          <w:szCs w:val="17"/>
        </w:rPr>
        <w:t xml:space="preserve">Figure 2  </w:t>
      </w:r>
      <w:r>
        <w:rPr>
          <w:rFonts w:ascii="Calibri" w:cs="Calibri" w:eastAsia="Calibri" w:hAnsi="Calibri"/>
          <w:color w:val="333333"/>
          <w:sz w:val="17"/>
          <w:szCs w:val="17"/>
        </w:rPr>
        <w:t xml:space="preserve">Car_Price against Registration_Age (a, b) and Kms_Driven (c, d). (a) and (c) Random samples of 5,000 listings (orange = luxury, blue = non-luxury); ages in (a) are spread by up to 0.3 years so that points do not overlap. Black lines use all listings: the median and quartiles by age in (a) and the fitted log–log line in (c). (b) and (d) Shading shows the share of all listings in each price class at each age or usage decile, with segment medians and the quartiles (white dashed). (c) and (d) use listings with Kms_Driven ≤ 1,000,000. Source: calculated from Stable Space (2026).</w:t>
      </w:r>
    </w:p>
    <w:p>
      <w:pPr>
        <w:keepNext/>
        <w:spacing w:after="40" w:before="160"/>
        <w:jc w:val="center"/>
      </w:pPr>
      <w:r>
        <w:drawing>
          <wp:inline distT="0" distB="0" distL="0" distR="0">
            <wp:extent cx="5943600" cy="3171825"/>
            <wp:effectExtent t="0" r="0" b="0" l="0"/>
            <wp:docPr id="1" name="Figure 3" descr="(a) Median Car_Price by five-year age band and usage decile, about 20,000 listings per cell. The floor repeats the surface as contours, the dark lines on the back walls are the medians by usage decile and by age band, and the vertical axis starts at INR 540,000. (b) Expected spread of the correlation in a random sample of 5,000 rows (normal approximation; darker shading = middle 95%); vertical lines mark the full-data values and triangles the samples used in Figure 2. Source: calculated from Stable Space (2026)."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171825"/>
                    </a:xfrm>
                    <a:prstGeom prst="rect">
                      <a:avLst/>
                    </a:prstGeom>
                  </pic:spPr>
                </pic:pic>
              </a:graphicData>
            </a:graphic>
          </wp:inline>
        </w:drawing>
      </w:r>
    </w:p>
    <w:p>
      <w:pPr>
        <w:spacing w:after="160" w:before="0"/>
      </w:pPr>
      <w:r>
        <w:rPr>
          <w:rFonts w:ascii="Calibri" w:cs="Calibri" w:eastAsia="Calibri" w:hAnsi="Calibri"/>
          <w:b/>
          <w:bCs/>
          <w:sz w:val="17"/>
          <w:szCs w:val="17"/>
        </w:rPr>
        <w:t xml:space="preserve">Figure 3  </w:t>
      </w:r>
      <w:r>
        <w:rPr>
          <w:rFonts w:ascii="Calibri" w:cs="Calibri" w:eastAsia="Calibri" w:hAnsi="Calibri"/>
          <w:color w:val="333333"/>
          <w:sz w:val="17"/>
          <w:szCs w:val="17"/>
        </w:rPr>
        <w:t xml:space="preserve">(a) Median Car_Price by five-year age band and usage decile, about 20,000 listings per cell. The floor repeats the surface as contours, the dark lines on the back walls are the medians by usage decile and by age band, and the vertical axis starts at INR 540,000. (b) Expected spread of the correlation in a random sample of 5,000 rows (normal approximation; darker shading = middle 95%); vertical lines mark the full-data values and triangles the samples used in Figure 2. Source: calculated from Stable Space (2026).</w:t>
      </w:r>
    </w:p>
    <w:p>
      <w:pPr>
        <w:pStyle w:val="Heading2"/>
        <w:keepNext/>
        <w:spacing w:after="60" w:before="160"/>
      </w:pPr>
      <w:r>
        <w:rPr>
          <w:rFonts w:ascii="Calibri" w:cs="Calibri" w:eastAsia="Calibri" w:hAnsi="Calibri"/>
          <w:b/>
          <w:bCs/>
          <w:color w:val="1F1F1F"/>
          <w:sz w:val="22"/>
          <w:szCs w:val="22"/>
        </w:rPr>
        <w:t xml:space="preserve">2.5   Brand segment and other variables</w:t>
      </w:r>
    </w:p>
    <w:p>
      <w:pPr>
        <w:spacing w:after="120" w:before="0" w:line="264"/>
        <w:jc w:val="both"/>
      </w:pPr>
      <w:r>
        <w:rPr>
          <w:rFonts w:ascii="Calibri" w:cs="Calibri" w:eastAsia="Calibri" w:hAnsi="Calibri"/>
          <w:color w:val="1F1F1F"/>
          <w:sz w:val="21"/>
          <w:szCs w:val="21"/>
        </w:rPr>
        <w:t xml:space="preserve">Luxury listings carry no price premium. Their mean price is 0.30% lower than for non-luxury cars and their median 0.17% lower, trivial next to a price SD of INR 1.15 million. The 13 brand medians lie within 1.24% of each other with overlapping intervals (Figure 4a). The two segments’ price distributions almost coincide, with lower and upper quartiles within 0.1% (Figure 1b; Table 4).</w:t>
      </w:r>
    </w:p>
    <w:p>
      <w:pPr>
        <w:keepNext/>
        <w:spacing w:after="60" w:before="160"/>
      </w:pPr>
      <w:r>
        <w:rPr>
          <w:rFonts w:ascii="Calibri" w:cs="Calibri" w:eastAsia="Calibri" w:hAnsi="Calibri"/>
          <w:b/>
          <w:bCs/>
          <w:i w:val="false"/>
          <w:iCs w:val="false"/>
          <w:sz w:val="18"/>
          <w:szCs w:val="18"/>
        </w:rPr>
        <w:t xml:space="preserve">Table 4</w:t>
      </w:r>
      <w:r>
        <w:rPr>
          <w:rFonts w:ascii="Calibri" w:cs="Calibri" w:eastAsia="Calibri" w:hAnsi="Calibri"/>
          <w:sz w:val="18"/>
          <w:szCs w:val="18"/>
        </w:rPr>
        <w:t xml:space="preserve">  Car_Price quartiles by segment (INR)</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0"/>
        <w:gridCol w:w="1318"/>
        <w:gridCol w:w="1506"/>
        <w:gridCol w:w="1506"/>
        <w:gridCol w:w="1506"/>
        <w:gridCol w:w="1506"/>
      </w:tblGrid>
      <w:tr>
        <w:trPr>
          <w:cantSplit/>
          <w:tblHeader/>
        </w:trPr>
        <w:tc>
          <w:tcPr>
            <w:tcW w:type="dxa" w:w="2070"/>
            <w:tcBorders>
              <w:top w:val="single" w:color="404040" w:sz="8"/>
              <w:left w:val="none" w:color="FFFFFF" w:sz="0"/>
              <w:bottom w:val="single" w:color="404040" w:sz="4"/>
              <w:right w:val="none" w:color="FFFFFF" w:sz="0"/>
            </w:tcBorders>
            <w:shd w:fill="F2F2F2" w:color="auto" w:val="clear"/>
            <w:tcMar>
              <w:top w:type="dxa" w:w="30"/>
              <w:left w:type="dxa" w:w="70"/>
              <w:bottom w:type="dxa" w:w="30"/>
              <w:right w:type="dxa" w:w="70"/>
            </w:tcMar>
            <w:vAlign w:val="top"/>
          </w:tcPr>
          <w:p>
            <w:pPr>
              <w:keepNext w:val="false"/>
              <w:spacing w:after="0" w:before="0" w:line="240"/>
              <w:jc w:val="left"/>
            </w:pPr>
            <w:r>
              <w:rPr>
                <w:rFonts w:ascii="Calibri" w:cs="Calibri" w:eastAsia="Calibri" w:hAnsi="Calibri"/>
                <w:b/>
                <w:bCs/>
                <w:color w:val="1F1F1F"/>
                <w:sz w:val="17"/>
                <w:szCs w:val="17"/>
              </w:rPr>
              <w:t xml:space="preserve">Group</w:t>
            </w:r>
          </w:p>
        </w:tc>
        <w:tc>
          <w:tcPr>
            <w:tcW w:type="dxa" w:w="1318"/>
            <w:tcBorders>
              <w:top w:val="single" w:color="404040" w:sz="8"/>
              <w:left w:val="none" w:color="FFFFFF" w:sz="0"/>
              <w:bottom w:val="single" w:color="404040" w:sz="4"/>
              <w:right w:val="none" w:color="FFFFFF" w:sz="0"/>
            </w:tcBorders>
            <w:shd w:fill="F2F2F2" w:color="auto" w:val="clear"/>
            <w:tcMar>
              <w:top w:type="dxa" w:w="30"/>
              <w:left w:type="dxa" w:w="70"/>
              <w:bottom w:type="dxa" w:w="30"/>
              <w:right w:type="dxa" w:w="70"/>
            </w:tcMar>
            <w:vAlign w:val="top"/>
          </w:tcPr>
          <w:p>
            <w:pPr>
              <w:keepNext w:val="false"/>
              <w:spacing w:after="0" w:before="0" w:line="240"/>
              <w:jc w:val="right"/>
            </w:pPr>
            <w:r>
              <w:rPr>
                <w:rFonts w:ascii="Calibri" w:cs="Calibri" w:eastAsia="Calibri" w:hAnsi="Calibri"/>
                <w:b/>
                <w:bCs/>
                <w:color w:val="1F1F1F"/>
                <w:sz w:val="17"/>
                <w:szCs w:val="17"/>
              </w:rPr>
              <w:t xml:space="preserve">n</w:t>
            </w:r>
          </w:p>
        </w:tc>
        <w:tc>
          <w:tcPr>
            <w:tcW w:type="dxa" w:w="1506"/>
            <w:tcBorders>
              <w:top w:val="single" w:color="404040" w:sz="8"/>
              <w:left w:val="none" w:color="FFFFFF" w:sz="0"/>
              <w:bottom w:val="single" w:color="404040" w:sz="4"/>
              <w:right w:val="none" w:color="FFFFFF" w:sz="0"/>
            </w:tcBorders>
            <w:shd w:fill="F2F2F2" w:color="auto" w:val="clear"/>
            <w:tcMar>
              <w:top w:type="dxa" w:w="30"/>
              <w:left w:type="dxa" w:w="70"/>
              <w:bottom w:type="dxa" w:w="30"/>
              <w:right w:type="dxa" w:w="70"/>
            </w:tcMar>
            <w:vAlign w:val="top"/>
          </w:tcPr>
          <w:p>
            <w:pPr>
              <w:keepNext w:val="false"/>
              <w:spacing w:after="0" w:before="0" w:line="240"/>
              <w:jc w:val="right"/>
            </w:pPr>
            <w:r>
              <w:rPr>
                <w:rFonts w:ascii="Calibri" w:cs="Calibri" w:eastAsia="Calibri" w:hAnsi="Calibri"/>
                <w:b/>
                <w:bCs/>
                <w:color w:val="1F1F1F"/>
                <w:sz w:val="17"/>
                <w:szCs w:val="17"/>
              </w:rPr>
              <w:t xml:space="preserve">Q1</w:t>
            </w:r>
          </w:p>
        </w:tc>
        <w:tc>
          <w:tcPr>
            <w:tcW w:type="dxa" w:w="1506"/>
            <w:tcBorders>
              <w:top w:val="single" w:color="404040" w:sz="8"/>
              <w:left w:val="none" w:color="FFFFFF" w:sz="0"/>
              <w:bottom w:val="single" w:color="404040" w:sz="4"/>
              <w:right w:val="none" w:color="FFFFFF" w:sz="0"/>
            </w:tcBorders>
            <w:shd w:fill="F2F2F2" w:color="auto" w:val="clear"/>
            <w:tcMar>
              <w:top w:type="dxa" w:w="30"/>
              <w:left w:type="dxa" w:w="70"/>
              <w:bottom w:type="dxa" w:w="30"/>
              <w:right w:type="dxa" w:w="70"/>
            </w:tcMar>
            <w:vAlign w:val="top"/>
          </w:tcPr>
          <w:p>
            <w:pPr>
              <w:keepNext w:val="false"/>
              <w:spacing w:after="0" w:before="0" w:line="240"/>
              <w:jc w:val="right"/>
            </w:pPr>
            <w:r>
              <w:rPr>
                <w:rFonts w:ascii="Calibri" w:cs="Calibri" w:eastAsia="Calibri" w:hAnsi="Calibri"/>
                <w:b/>
                <w:bCs/>
                <w:color w:val="1F1F1F"/>
                <w:sz w:val="17"/>
                <w:szCs w:val="17"/>
              </w:rPr>
              <w:t xml:space="preserve">Median</w:t>
            </w:r>
          </w:p>
        </w:tc>
        <w:tc>
          <w:tcPr>
            <w:tcW w:type="dxa" w:w="1506"/>
            <w:tcBorders>
              <w:top w:val="single" w:color="404040" w:sz="8"/>
              <w:left w:val="none" w:color="FFFFFF" w:sz="0"/>
              <w:bottom w:val="single" w:color="404040" w:sz="4"/>
              <w:right w:val="none" w:color="FFFFFF" w:sz="0"/>
            </w:tcBorders>
            <w:shd w:fill="F2F2F2" w:color="auto" w:val="clear"/>
            <w:tcMar>
              <w:top w:type="dxa" w:w="30"/>
              <w:left w:type="dxa" w:w="70"/>
              <w:bottom w:type="dxa" w:w="30"/>
              <w:right w:type="dxa" w:w="70"/>
            </w:tcMar>
            <w:vAlign w:val="top"/>
          </w:tcPr>
          <w:p>
            <w:pPr>
              <w:keepNext w:val="false"/>
              <w:spacing w:after="0" w:before="0" w:line="240"/>
              <w:jc w:val="right"/>
            </w:pPr>
            <w:r>
              <w:rPr>
                <w:rFonts w:ascii="Calibri" w:cs="Calibri" w:eastAsia="Calibri" w:hAnsi="Calibri"/>
                <w:b/>
                <w:bCs/>
                <w:color w:val="1F1F1F"/>
                <w:sz w:val="17"/>
                <w:szCs w:val="17"/>
              </w:rPr>
              <w:t xml:space="preserve">Q3</w:t>
            </w:r>
          </w:p>
        </w:tc>
        <w:tc>
          <w:tcPr>
            <w:tcW w:type="dxa" w:w="1506"/>
            <w:tcBorders>
              <w:top w:val="single" w:color="404040" w:sz="8"/>
              <w:left w:val="none" w:color="FFFFFF" w:sz="0"/>
              <w:bottom w:val="single" w:color="404040" w:sz="4"/>
              <w:right w:val="none" w:color="FFFFFF" w:sz="0"/>
            </w:tcBorders>
            <w:shd w:fill="F2F2F2" w:color="auto" w:val="clear"/>
            <w:tcMar>
              <w:top w:type="dxa" w:w="30"/>
              <w:left w:type="dxa" w:w="70"/>
              <w:bottom w:type="dxa" w:w="30"/>
              <w:right w:type="dxa" w:w="70"/>
            </w:tcMar>
            <w:vAlign w:val="top"/>
          </w:tcPr>
          <w:p>
            <w:pPr>
              <w:keepNext w:val="false"/>
              <w:spacing w:after="0" w:before="0" w:line="240"/>
              <w:jc w:val="right"/>
            </w:pPr>
            <w:r>
              <w:rPr>
                <w:rFonts w:ascii="Calibri" w:cs="Calibri" w:eastAsia="Calibri" w:hAnsi="Calibri"/>
                <w:b/>
                <w:bCs/>
                <w:color w:val="1F1F1F"/>
                <w:sz w:val="17"/>
                <w:szCs w:val="17"/>
              </w:rPr>
              <w:t xml:space="preserve">IQR</w:t>
            </w:r>
          </w:p>
        </w:tc>
      </w:tr>
      <w:tr>
        <w:trPr>
          <w:cantSplit/>
        </w:trPr>
        <w:tc>
          <w:tcPr>
            <w:tcW w:type="dxa" w:w="207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All</w:t>
            </w:r>
          </w:p>
        </w:tc>
        <w:tc>
          <w:tcPr>
            <w:tcW w:type="dxa" w:w="1318"/>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1,005,000</w:t>
            </w:r>
          </w:p>
        </w:tc>
        <w:tc>
          <w:tcPr>
            <w:tcW w:type="dxa" w:w="1506"/>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365,843</w:t>
            </w:r>
          </w:p>
        </w:tc>
        <w:tc>
          <w:tcPr>
            <w:tcW w:type="dxa" w:w="1506"/>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673,522</w:t>
            </w:r>
          </w:p>
        </w:tc>
        <w:tc>
          <w:tcPr>
            <w:tcW w:type="dxa" w:w="1506"/>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1,240,714</w:t>
            </w:r>
          </w:p>
        </w:tc>
        <w:tc>
          <w:tcPr>
            <w:tcW w:type="dxa" w:w="1506"/>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874,871</w:t>
            </w:r>
          </w:p>
        </w:tc>
      </w:tr>
      <w:tr>
        <w:trPr>
          <w:cantSplit/>
        </w:trPr>
        <w:tc>
          <w:tcPr>
            <w:tcW w:type="dxa" w:w="207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Luxury</w:t>
            </w:r>
          </w:p>
        </w:tc>
        <w:tc>
          <w:tcPr>
            <w:tcW w:type="dxa" w:w="1318"/>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232,172</w:t>
            </w:r>
          </w:p>
        </w:tc>
        <w:tc>
          <w:tcPr>
            <w:tcW w:type="dxa" w:w="1506"/>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365,600</w:t>
            </w:r>
          </w:p>
        </w:tc>
        <w:tc>
          <w:tcPr>
            <w:tcW w:type="dxa" w:w="1506"/>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672,614</w:t>
            </w:r>
          </w:p>
        </w:tc>
        <w:tc>
          <w:tcPr>
            <w:tcW w:type="dxa" w:w="1506"/>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1,239,750</w:t>
            </w:r>
          </w:p>
        </w:tc>
        <w:tc>
          <w:tcPr>
            <w:tcW w:type="dxa" w:w="1506"/>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874,150</w:t>
            </w:r>
          </w:p>
        </w:tc>
      </w:tr>
      <w:tr>
        <w:trPr>
          <w:cantSplit/>
        </w:trPr>
        <w:tc>
          <w:tcPr>
            <w:tcW w:type="dxa" w:w="2070"/>
            <w:tcBorders>
              <w:top w:val="none" w:color="FFFFFF" w:sz="0"/>
              <w:left w:val="none" w:color="FFFFFF" w:sz="0"/>
              <w:bottom w:val="single" w:color="404040" w:sz="8"/>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Non-luxury</w:t>
            </w:r>
          </w:p>
        </w:tc>
        <w:tc>
          <w:tcPr>
            <w:tcW w:type="dxa" w:w="1318"/>
            <w:tcBorders>
              <w:top w:val="none" w:color="FFFFFF" w:sz="0"/>
              <w:left w:val="none" w:color="FFFFFF" w:sz="0"/>
              <w:bottom w:val="single" w:color="404040" w:sz="8"/>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772,828</w:t>
            </w:r>
          </w:p>
        </w:tc>
        <w:tc>
          <w:tcPr>
            <w:tcW w:type="dxa" w:w="1506"/>
            <w:tcBorders>
              <w:top w:val="none" w:color="FFFFFF" w:sz="0"/>
              <w:left w:val="none" w:color="FFFFFF" w:sz="0"/>
              <w:bottom w:val="single" w:color="404040" w:sz="8"/>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365,894</w:t>
            </w:r>
          </w:p>
        </w:tc>
        <w:tc>
          <w:tcPr>
            <w:tcW w:type="dxa" w:w="1506"/>
            <w:tcBorders>
              <w:top w:val="none" w:color="FFFFFF" w:sz="0"/>
              <w:left w:val="none" w:color="FFFFFF" w:sz="0"/>
              <w:bottom w:val="single" w:color="404040" w:sz="8"/>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673,731</w:t>
            </w:r>
          </w:p>
        </w:tc>
        <w:tc>
          <w:tcPr>
            <w:tcW w:type="dxa" w:w="1506"/>
            <w:tcBorders>
              <w:top w:val="none" w:color="FFFFFF" w:sz="0"/>
              <w:left w:val="none" w:color="FFFFFF" w:sz="0"/>
              <w:bottom w:val="single" w:color="404040" w:sz="8"/>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1,241,027</w:t>
            </w:r>
          </w:p>
        </w:tc>
        <w:tc>
          <w:tcPr>
            <w:tcW w:type="dxa" w:w="1506"/>
            <w:tcBorders>
              <w:top w:val="none" w:color="FFFFFF" w:sz="0"/>
              <w:left w:val="none" w:color="FFFFFF" w:sz="0"/>
              <w:bottom w:val="single" w:color="404040" w:sz="8"/>
              <w:right w:val="none" w:color="FFFFFF" w:sz="0"/>
            </w:tcBorders>
            <w:tcMar>
              <w:top w:type="dxa" w:w="30"/>
              <w:left w:type="dxa" w:w="70"/>
              <w:bottom w:type="dxa" w:w="30"/>
              <w:right w:type="dxa" w:w="70"/>
            </w:tcMar>
            <w:vAlign w:val="top"/>
          </w:tcPr>
          <w:p>
            <w:pPr>
              <w:keepNext w:val="false"/>
              <w:spacing w:after="0" w:before="0" w:line="240"/>
              <w:jc w:val="right"/>
            </w:pPr>
            <w:r>
              <w:rPr>
                <w:rFonts w:ascii="Calibri" w:cs="Calibri" w:eastAsia="Calibri" w:hAnsi="Calibri"/>
                <w:b w:val="false"/>
                <w:bCs w:val="false"/>
                <w:color w:val="1F1F1F"/>
                <w:sz w:val="17"/>
                <w:szCs w:val="17"/>
              </w:rPr>
              <w:t xml:space="preserve">875,133</w:t>
            </w:r>
          </w:p>
        </w:tc>
      </w:tr>
    </w:tbl>
    <w:p>
      <w:pPr>
        <w:spacing w:after="120" w:before="40"/>
      </w:pPr>
      <w:r>
        <w:rPr>
          <w:rFonts w:ascii="Calibri" w:cs="Calibri" w:eastAsia="Calibri" w:hAnsi="Calibri"/>
          <w:color w:val="595959"/>
          <w:sz w:val="15"/>
          <w:szCs w:val="15"/>
        </w:rPr>
        <w:t xml:space="preserve">Source: calculated from Stable Space (2026). Quartiles as Excel PERCENTILE.INC; IQR = Q3 − Q1.</w:t>
      </w:r>
    </w:p>
    <w:p>
      <w:pPr>
        <w:spacing w:after="120" w:before="0" w:line="264"/>
        <w:jc w:val="both"/>
      </w:pPr>
      <w:r>
        <w:rPr>
          <w:rFonts w:ascii="Calibri" w:cs="Calibri" w:eastAsia="Calibri" w:hAnsi="Calibri"/>
          <w:color w:val="1F1F1F"/>
          <w:sz w:val="21"/>
          <w:szCs w:val="21"/>
        </w:rPr>
        <w:t xml:space="preserve">Among the other numeric fields, only Horsepower (+0.033) and Engine_CC (+0.026) exceed ±0.005 in any segment (Figure 4b; Table A2). Other category medians differ by at most 1.53%, and the 3.2% spread across the 39 models is about what chance gives (Table A3). The conclusions hold without Unknown rows, extreme prices or possible duplicates (Table A4).</w:t>
      </w:r>
    </w:p>
    <w:p>
      <w:pPr>
        <w:keepNext/>
        <w:spacing w:after="40" w:before="160"/>
        <w:jc w:val="center"/>
      </w:pPr>
      <w:r>
        <w:drawing>
          <wp:inline distT="0" distB="0" distL="0" distR="0">
            <wp:extent cx="5943600" cy="2733675"/>
            <wp:effectExtent t="0" r="0" b="0" l="0"/>
            <wp:docPr id="1" name="Figure 4" descr="(a) Median Car_Price by brand and segment (orange = luxury, blue = non-luxury; marker size grows with the number of listings) with 95% intervals (ranks n/2 ± 1.96√n/2 of the sorted prices); the axis does not start at zero, and the dashed line and grey band are the overall median and its interval. The 95% confidence interval for the luxury minus non-luxury difference in mean price, as a percentage of the non-luxury mean, is −0.82% to +0.22%. (b) Pearson correlation of each numeric field with Car_Price and its 95% confidence interval (Fisher z; most are narrower than the markers); shading marks |r| &lt; 0.1. Source: calculated from Stable Space (2026)."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733675"/>
                    </a:xfrm>
                    <a:prstGeom prst="rect">
                      <a:avLst/>
                    </a:prstGeom>
                  </pic:spPr>
                </pic:pic>
              </a:graphicData>
            </a:graphic>
          </wp:inline>
        </w:drawing>
      </w:r>
    </w:p>
    <w:p>
      <w:pPr>
        <w:spacing w:after="160" w:before="0"/>
      </w:pPr>
      <w:r>
        <w:rPr>
          <w:rFonts w:ascii="Calibri" w:cs="Calibri" w:eastAsia="Calibri" w:hAnsi="Calibri"/>
          <w:b/>
          <w:bCs/>
          <w:sz w:val="17"/>
          <w:szCs w:val="17"/>
        </w:rPr>
        <w:t xml:space="preserve">Figure 4  </w:t>
      </w:r>
      <w:r>
        <w:rPr>
          <w:rFonts w:ascii="Calibri" w:cs="Calibri" w:eastAsia="Calibri" w:hAnsi="Calibri"/>
          <w:color w:val="333333"/>
          <w:sz w:val="17"/>
          <w:szCs w:val="17"/>
        </w:rPr>
        <w:t xml:space="preserve">(a) Median Car_Price by brand and segment (orange = luxury, blue = non-luxury; marker size grows with the number of listings) with 95% intervals (ranks n/2 ± 1.96√n/2 of the sorted prices); the axis does not start at zero, and the dashed line and grey band are the overall median and its interval. The 95% confidence interval for the luxury minus non-luxury difference in mean price, as a percentage of the non-luxury mean, is −0.82% to +0.22%. (b) Pearson correlation of each numeric field with Car_Price and its 95% confidence interval (Fisher z; most are narrower than the markers); shading marks |r| &lt; 0.1. Source: calculated from Stable Space (2026).</w:t>
      </w:r>
    </w:p>
    <w:p>
      <w:pPr>
        <w:pStyle w:val="Heading1"/>
        <w:keepNext/>
        <w:spacing w:after="80" w:before="240"/>
      </w:pPr>
      <w:r>
        <w:rPr>
          <w:rFonts w:ascii="Calibri" w:cs="Calibri" w:eastAsia="Calibri" w:hAnsi="Calibri"/>
          <w:b/>
          <w:bCs/>
          <w:color w:val="1F1F1F"/>
          <w:sz w:val="26"/>
          <w:szCs w:val="26"/>
        </w:rPr>
        <w:t xml:space="preserve">3   Conclusion and Development Plan</w:t>
      </w:r>
    </w:p>
    <w:p>
      <w:pPr>
        <w:pStyle w:val="Heading2"/>
        <w:keepNext/>
        <w:spacing w:after="60" w:before="160"/>
      </w:pPr>
      <w:r>
        <w:rPr>
          <w:rFonts w:ascii="Calibri" w:cs="Calibri" w:eastAsia="Calibri" w:hAnsi="Calibri"/>
          <w:b/>
          <w:bCs/>
          <w:color w:val="1F1F1F"/>
          <w:sz w:val="22"/>
          <w:szCs w:val="22"/>
        </w:rPr>
        <w:t xml:space="preserve">3.1   Findings</w:t>
      </w:r>
    </w:p>
    <w:p>
      <w:pPr>
        <w:spacing w:after="120" w:before="0" w:line="264"/>
        <w:jc w:val="both"/>
      </w:pPr>
      <w:r>
        <w:rPr>
          <w:rFonts w:ascii="Calibri" w:cs="Calibri" w:eastAsia="Calibri" w:hAnsi="Calibri"/>
          <w:color w:val="1F1F1F"/>
          <w:sz w:val="21"/>
          <w:szCs w:val="21"/>
        </w:rPr>
        <w:t xml:space="preserve">Price should be described by its median and modelled on a log scale. Usage has a weak negative association with price, Horsepower and Engine_CC weaker positive ones, and age, brand segment, model and the other fields none of practical size. The client should therefore add no luxury premium, nor treat age and kilometres alone as a precise valuation. Table 5 sets out recommendations with evidence and risks; Table A5 gives the price bands.</w:t>
      </w:r>
    </w:p>
    <w:p>
      <w:pPr>
        <w:keepNext/>
        <w:spacing w:after="60" w:before="160"/>
      </w:pPr>
      <w:r>
        <w:rPr>
          <w:rFonts w:ascii="Calibri" w:cs="Calibri" w:eastAsia="Calibri" w:hAnsi="Calibri"/>
          <w:b/>
          <w:bCs/>
          <w:i w:val="false"/>
          <w:iCs w:val="false"/>
          <w:sz w:val="18"/>
          <w:szCs w:val="18"/>
        </w:rPr>
        <w:t xml:space="preserve">Table 5</w:t>
      </w:r>
      <w:r>
        <w:rPr>
          <w:rFonts w:ascii="Calibri" w:cs="Calibri" w:eastAsia="Calibri" w:hAnsi="Calibri"/>
          <w:sz w:val="18"/>
          <w:szCs w:val="18"/>
        </w:rPr>
        <w:t xml:space="preserve">  Recommendations for the client</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41"/>
        <w:gridCol w:w="2541"/>
        <w:gridCol w:w="2259"/>
        <w:gridCol w:w="2071"/>
      </w:tblGrid>
      <w:tr>
        <w:trPr>
          <w:cantSplit/>
          <w:tblHeader/>
        </w:trPr>
        <w:tc>
          <w:tcPr>
            <w:tcW w:type="dxa" w:w="2541"/>
            <w:tcBorders>
              <w:top w:val="single" w:color="404040" w:sz="8"/>
              <w:left w:val="none" w:color="FFFFFF" w:sz="0"/>
              <w:bottom w:val="single" w:color="404040" w:sz="4"/>
              <w:right w:val="none" w:color="FFFFFF" w:sz="0"/>
            </w:tcBorders>
            <w:shd w:fill="F2F2F2" w:color="auto" w:val="clear"/>
            <w:tcMar>
              <w:top w:type="dxa" w:w="30"/>
              <w:left w:type="dxa" w:w="70"/>
              <w:bottom w:type="dxa" w:w="30"/>
              <w:right w:type="dxa" w:w="70"/>
            </w:tcMar>
            <w:vAlign w:val="top"/>
          </w:tcPr>
          <w:p>
            <w:pPr>
              <w:keepNext w:val="false"/>
              <w:spacing w:after="0" w:before="0" w:line="240"/>
              <w:jc w:val="left"/>
            </w:pPr>
            <w:r>
              <w:rPr>
                <w:rFonts w:ascii="Calibri" w:cs="Calibri" w:eastAsia="Calibri" w:hAnsi="Calibri"/>
                <w:b/>
                <w:bCs/>
                <w:color w:val="1F1F1F"/>
                <w:sz w:val="17"/>
                <w:szCs w:val="17"/>
              </w:rPr>
              <w:t xml:space="preserve">Recommendation</w:t>
            </w:r>
          </w:p>
        </w:tc>
        <w:tc>
          <w:tcPr>
            <w:tcW w:type="dxa" w:w="2541"/>
            <w:tcBorders>
              <w:top w:val="single" w:color="404040" w:sz="8"/>
              <w:left w:val="none" w:color="FFFFFF" w:sz="0"/>
              <w:bottom w:val="single" w:color="404040" w:sz="4"/>
              <w:right w:val="none" w:color="FFFFFF" w:sz="0"/>
            </w:tcBorders>
            <w:shd w:fill="F2F2F2" w:color="auto" w:val="clear"/>
            <w:tcMar>
              <w:top w:type="dxa" w:w="30"/>
              <w:left w:type="dxa" w:w="70"/>
              <w:bottom w:type="dxa" w:w="30"/>
              <w:right w:type="dxa" w:w="70"/>
            </w:tcMar>
            <w:vAlign w:val="top"/>
          </w:tcPr>
          <w:p>
            <w:pPr>
              <w:keepNext w:val="false"/>
              <w:spacing w:after="0" w:before="0" w:line="240"/>
              <w:jc w:val="left"/>
            </w:pPr>
            <w:r>
              <w:rPr>
                <w:rFonts w:ascii="Calibri" w:cs="Calibri" w:eastAsia="Calibri" w:hAnsi="Calibri"/>
                <w:b/>
                <w:bCs/>
                <w:color w:val="1F1F1F"/>
                <w:sz w:val="17"/>
                <w:szCs w:val="17"/>
              </w:rPr>
              <w:t xml:space="preserve">Evidence</w:t>
            </w:r>
          </w:p>
        </w:tc>
        <w:tc>
          <w:tcPr>
            <w:tcW w:type="dxa" w:w="2259"/>
            <w:tcBorders>
              <w:top w:val="single" w:color="404040" w:sz="8"/>
              <w:left w:val="none" w:color="FFFFFF" w:sz="0"/>
              <w:bottom w:val="single" w:color="404040" w:sz="4"/>
              <w:right w:val="none" w:color="FFFFFF" w:sz="0"/>
            </w:tcBorders>
            <w:shd w:fill="F2F2F2" w:color="auto" w:val="clear"/>
            <w:tcMar>
              <w:top w:type="dxa" w:w="30"/>
              <w:left w:type="dxa" w:w="70"/>
              <w:bottom w:type="dxa" w:w="30"/>
              <w:right w:type="dxa" w:w="70"/>
            </w:tcMar>
            <w:vAlign w:val="top"/>
          </w:tcPr>
          <w:p>
            <w:pPr>
              <w:keepNext w:val="false"/>
              <w:spacing w:after="0" w:before="0" w:line="240"/>
              <w:jc w:val="left"/>
            </w:pPr>
            <w:r>
              <w:rPr>
                <w:rFonts w:ascii="Calibri" w:cs="Calibri" w:eastAsia="Calibri" w:hAnsi="Calibri"/>
                <w:b/>
                <w:bCs/>
                <w:color w:val="1F1F1F"/>
                <w:sz w:val="17"/>
                <w:szCs w:val="17"/>
              </w:rPr>
              <w:t xml:space="preserve">Constraints and risks</w:t>
            </w:r>
          </w:p>
        </w:tc>
        <w:tc>
          <w:tcPr>
            <w:tcW w:type="dxa" w:w="2071"/>
            <w:tcBorders>
              <w:top w:val="single" w:color="404040" w:sz="8"/>
              <w:left w:val="none" w:color="FFFFFF" w:sz="0"/>
              <w:bottom w:val="single" w:color="404040" w:sz="4"/>
              <w:right w:val="none" w:color="FFFFFF" w:sz="0"/>
            </w:tcBorders>
            <w:shd w:fill="F2F2F2" w:color="auto" w:val="clear"/>
            <w:tcMar>
              <w:top w:type="dxa" w:w="30"/>
              <w:left w:type="dxa" w:w="70"/>
              <w:bottom w:type="dxa" w:w="30"/>
              <w:right w:type="dxa" w:w="70"/>
            </w:tcMar>
            <w:vAlign w:val="top"/>
          </w:tcPr>
          <w:p>
            <w:pPr>
              <w:keepNext w:val="false"/>
              <w:spacing w:after="0" w:before="0" w:line="240"/>
              <w:jc w:val="left"/>
            </w:pPr>
            <w:r>
              <w:rPr>
                <w:rFonts w:ascii="Calibri" w:cs="Calibri" w:eastAsia="Calibri" w:hAnsi="Calibri"/>
                <w:b/>
                <w:bCs/>
                <w:color w:val="1F1F1F"/>
                <w:sz w:val="17"/>
                <w:szCs w:val="17"/>
              </w:rPr>
              <w:t xml:space="preserve">Implication</w:t>
            </w:r>
          </w:p>
        </w:tc>
      </w:tr>
      <w:tr>
        <w:trPr>
          <w:cantSplit/>
        </w:trPr>
        <w:tc>
          <w:tcPr>
            <w:tcW w:type="dxa" w:w="25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Quote each offer as a median-based price with a range, not a single figure</w:t>
            </w:r>
          </w:p>
        </w:tc>
        <w:tc>
          <w:tcPr>
            <w:tcW w:type="dxa" w:w="25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Skewness 4.9; typical error 55% for the kilometre line (Sections 2.3 and 3.2)</w:t>
            </w:r>
          </w:p>
        </w:tc>
        <w:tc>
          <w:tcPr>
            <w:tcW w:type="dxa" w:w="225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Ranges may look less precise to sellers</w:t>
            </w:r>
          </w:p>
        </w:tc>
        <w:tc>
          <w:tcPr>
            <w:tcW w:type="dxa" w:w="207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Clearer offers; a wide range signals a car that needs an appraiser</w:t>
            </w:r>
          </w:p>
        </w:tc>
      </w:tr>
      <w:tr>
        <w:trPr>
          <w:cantSplit/>
        </w:trPr>
        <w:tc>
          <w:tcPr>
            <w:tcW w:type="dxa" w:w="25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Use kilometres only as a small adjustment</w:t>
            </w:r>
          </w:p>
        </w:tc>
        <w:tc>
          <w:tcPr>
            <w:tcW w:type="dxa" w:w="25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r = −0.051; about 0.8% lower price per 10% more km; wide spread within each decile (Figure 2d)</w:t>
            </w:r>
          </w:p>
        </w:tc>
        <w:tc>
          <w:tcPr>
            <w:tcW w:type="dxa" w:w="225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The signal is weak and may differ in real sales</w:t>
            </w:r>
          </w:p>
        </w:tc>
        <w:tc>
          <w:tcPr>
            <w:tcW w:type="dxa" w:w="207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Kilometres should not drive an offer on their own</w:t>
            </w:r>
          </w:p>
        </w:tc>
      </w:tr>
      <w:tr>
        <w:trPr>
          <w:cantSplit/>
        </w:trPr>
        <w:tc>
          <w:tcPr>
            <w:tcW w:type="dxa" w:w="25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Apply no luxury premium and no separate segment pricing</w:t>
            </w:r>
          </w:p>
        </w:tc>
        <w:tc>
          <w:tcPr>
            <w:tcW w:type="dxa" w:w="25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Luxury mean −0.30% (95% CI −0.82% to +0.22%); brand medians within 1.24% (Figure 4a)</w:t>
            </w:r>
          </w:p>
        </w:tc>
        <w:tc>
          <w:tcPr>
            <w:tcW w:type="dxa" w:w="225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The data are simulated; a real market may show a premium</w:t>
            </w:r>
          </w:p>
        </w:tc>
        <w:tc>
          <w:tcPr>
            <w:tcW w:type="dxa" w:w="207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Re-test on the client’s own sales before segment pricing or targeted marketing</w:t>
            </w:r>
          </w:p>
        </w:tc>
      </w:tr>
      <w:tr>
        <w:trPr>
          <w:cantSplit/>
        </w:trPr>
        <w:tc>
          <w:tcPr>
            <w:tcW w:type="dxa" w:w="25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Screen listings priced outside the 5th to 95th percentile of their usage decile for an appraiser</w:t>
            </w:r>
          </w:p>
        </w:tc>
        <w:tc>
          <w:tcPr>
            <w:tcW w:type="dxa" w:w="25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Band limits fall with usage (P95 INR 3,339,005 in D1, 2,638,995 in D10); by design 10.0% of listings fall outside (Table A5)</w:t>
            </w:r>
          </w:p>
        </w:tc>
        <w:tc>
          <w:tcPr>
            <w:tcW w:type="dxa" w:w="225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Flags unusual prices, not proven mispricing; bands need refreshing as prices move; listings above 1,000,000 km need their own check</w:t>
            </w:r>
          </w:p>
        </w:tc>
        <w:tc>
          <w:tcPr>
            <w:tcW w:type="dxa" w:w="207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Appraiser time goes to the 10% most unusual prices; other offers keep the standard process until the hold-out test (last row)</w:t>
            </w:r>
          </w:p>
        </w:tc>
      </w:tr>
      <w:tr>
        <w:trPr>
          <w:cantSplit/>
        </w:trPr>
        <w:tc>
          <w:tcPr>
            <w:tcW w:type="dxa" w:w="25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Tighten data entry: fixed lists for brand and fuel, required fields, no zero specifications, checks for repeats and for more than 1,000,000 km</w:t>
            </w:r>
          </w:p>
        </w:tc>
        <w:tc>
          <w:tcPr>
            <w:tcW w:type="dxa" w:w="25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Table 1: 10,040 brand and 20,123 fuel labels fixed; 283,648 rows with Unknown; about 4,750 excess repeat pairs</w:t>
            </w:r>
          </w:p>
        </w:tc>
        <w:tc>
          <w:tcPr>
            <w:tcW w:type="dxa" w:w="225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Form changes take time; stricter checks may slow listing</w:t>
            </w:r>
          </w:p>
        </w:tc>
        <w:tc>
          <w:tcPr>
            <w:tcW w:type="dxa" w:w="207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Cleaner data and fewer Unknown values for later models</w:t>
            </w:r>
          </w:p>
        </w:tc>
      </w:tr>
      <w:tr>
        <w:trPr>
          <w:cantSplit/>
        </w:trPr>
        <w:tc>
          <w:tcPr>
            <w:tcW w:type="dxa" w:w="25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Beyond this project, collect condition, trim and final sale price</w:t>
            </w:r>
          </w:p>
        </w:tc>
        <w:tc>
          <w:tcPr>
            <w:tcW w:type="dxa" w:w="25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The supplied fields explain little of price (Section 3.2)</w:t>
            </w:r>
          </w:p>
        </w:tc>
        <w:tc>
          <w:tcPr>
            <w:tcW w:type="dxa" w:w="225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The project model must use only the supplied variables (Franch 2026, slide 3); collection has a cost</w:t>
            </w:r>
          </w:p>
        </w:tc>
        <w:tc>
          <w:tcPr>
            <w:tcW w:type="dxa" w:w="207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Future models can target sale prices, not asking prices</w:t>
            </w:r>
          </w:p>
        </w:tc>
      </w:tr>
      <w:tr>
        <w:trPr>
          <w:cantSplit/>
        </w:trPr>
        <w:tc>
          <w:tcPr>
            <w:tcW w:type="dxa" w:w="2541"/>
            <w:tcBorders>
              <w:top w:val="none" w:color="FFFFFF" w:sz="0"/>
              <w:left w:val="none" w:color="FFFFFF" w:sz="0"/>
              <w:bottom w:val="single" w:color="404040" w:sz="8"/>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Automate offers only after a hold-out test and a trial on completed sales</w:t>
            </w:r>
          </w:p>
        </w:tc>
        <w:tc>
          <w:tcPr>
            <w:tcW w:type="dxa" w:w="2541"/>
            <w:tcBorders>
              <w:top w:val="none" w:color="FFFFFF" w:sz="0"/>
              <w:left w:val="none" w:color="FFFFFF" w:sz="0"/>
              <w:bottom w:val="single" w:color="404040" w:sz="8"/>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In-sample error 55.2% against 55.3% for the overall median</w:t>
            </w:r>
          </w:p>
        </w:tc>
        <w:tc>
          <w:tcPr>
            <w:tcW w:type="dxa" w:w="2259"/>
            <w:tcBorders>
              <w:top w:val="none" w:color="FFFFFF" w:sz="0"/>
              <w:left w:val="none" w:color="FFFFFF" w:sz="0"/>
              <w:bottom w:val="single" w:color="404040" w:sz="8"/>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Delays automation</w:t>
            </w:r>
          </w:p>
        </w:tc>
        <w:tc>
          <w:tcPr>
            <w:tcW w:type="dxa" w:w="2071"/>
            <w:tcBorders>
              <w:top w:val="none" w:color="FFFFFF" w:sz="0"/>
              <w:left w:val="none" w:color="FFFFFF" w:sz="0"/>
              <w:bottom w:val="single" w:color="404040" w:sz="8"/>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Avoids systematic over- or under-offers</w:t>
            </w:r>
          </w:p>
        </w:tc>
      </w:tr>
    </w:tbl>
    <w:p>
      <w:pPr>
        <w:spacing w:after="80" w:before="0"/>
      </w:pPr>
    </w:p>
    <w:p>
      <w:pPr>
        <w:pStyle w:val="Heading2"/>
        <w:keepNext/>
        <w:spacing w:after="60" w:before="160"/>
      </w:pPr>
      <w:r>
        <w:rPr>
          <w:rFonts w:ascii="Calibri" w:cs="Calibri" w:eastAsia="Calibri" w:hAnsi="Calibri"/>
          <w:b/>
          <w:bCs/>
          <w:color w:val="1F1F1F"/>
          <w:sz w:val="22"/>
          <w:szCs w:val="22"/>
        </w:rPr>
        <w:t xml:space="preserve">3.2   Limitations and a better approach</w:t>
      </w:r>
    </w:p>
    <w:p>
      <w:pPr>
        <w:spacing w:after="120" w:before="0" w:line="264"/>
        <w:jc w:val="both"/>
      </w:pPr>
      <w:r>
        <w:rPr>
          <w:rFonts w:ascii="Calibri" w:cs="Calibri" w:eastAsia="Calibri" w:hAnsi="Calibri"/>
          <w:color w:val="1F1F1F"/>
          <w:sz w:val="21"/>
          <w:szCs w:val="21"/>
        </w:rPr>
        <w:t xml:space="preserve">The data are simulated for assessment (UNSW Business School 2026, p. 4), and the macro’s code regenerates Mileage_kmpl, Engine_CC, Horsepower, Kms_Driven and Car_Price without reference to brand or age. This probably explains the missing associations. Each summary also looks at one variable at a time. A straight line of log price on log kilometres, fitted and checked on the same listings, misses the listed price by a median of 55.2%, barely better than quoting the overall median (55.3%). On that line, 10% more kilometres means a price about 0.8% lower. A better approach would fit a multiple regression on log price, check it on a hold-out sample and quote a price range. Beyond this project, whose model must use only the supplied variables (Franch 2026, slide 3), the client could collect condition, trim and final sale price (Table 5).</w:t>
      </w:r>
    </w:p>
    <w:p>
      <w:pPr>
        <w:pStyle w:val="Heading2"/>
        <w:keepNext/>
        <w:spacing w:after="60" w:before="160"/>
      </w:pPr>
      <w:r>
        <w:rPr>
          <w:rFonts w:ascii="Calibri" w:cs="Calibri" w:eastAsia="Calibri" w:hAnsi="Calibri"/>
          <w:b/>
          <w:bCs/>
          <w:color w:val="1F1F1F"/>
          <w:sz w:val="22"/>
          <w:szCs w:val="22"/>
        </w:rPr>
        <w:t xml:space="preserve">3.3   Development plan</w:t>
      </w:r>
    </w:p>
    <w:p>
      <w:pPr>
        <w:spacing w:after="120" w:before="0" w:line="264"/>
        <w:jc w:val="both"/>
      </w:pPr>
      <w:r>
        <w:rPr>
          <w:rFonts w:ascii="Calibri" w:cs="Calibri" w:eastAsia="Calibri" w:hAnsi="Calibri"/>
          <w:color w:val="1F1F1F"/>
          <w:sz w:val="21"/>
          <w:szCs w:val="21"/>
        </w:rPr>
        <w:t xml:space="preserve">Milestone 2 will test the hypotheses in Table 6. The final report will then fit and validate the regression, allowing for the strong Engine_CC–Horsepower correlation (r = 0.81).</w:t>
      </w:r>
    </w:p>
    <w:p>
      <w:pPr>
        <w:keepNext/>
        <w:spacing w:after="60" w:before="160"/>
      </w:pPr>
      <w:r>
        <w:rPr>
          <w:rFonts w:ascii="Calibri" w:cs="Calibri" w:eastAsia="Calibri" w:hAnsi="Calibri"/>
          <w:b/>
          <w:bCs/>
          <w:i w:val="false"/>
          <w:iCs w:val="false"/>
          <w:sz w:val="18"/>
          <w:szCs w:val="18"/>
        </w:rPr>
        <w:t xml:space="preserve">Table 6</w:t>
      </w:r>
      <w:r>
        <w:rPr>
          <w:rFonts w:ascii="Calibri" w:cs="Calibri" w:eastAsia="Calibri" w:hAnsi="Calibri"/>
          <w:sz w:val="18"/>
          <w:szCs w:val="18"/>
        </w:rPr>
        <w:t xml:space="preserve">  Development plan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9"/>
        <w:gridCol w:w="1035"/>
        <w:gridCol w:w="3577"/>
        <w:gridCol w:w="2541"/>
      </w:tblGrid>
      <w:tr>
        <w:trPr>
          <w:cantSplit/>
          <w:tblHeader/>
        </w:trPr>
        <w:tc>
          <w:tcPr>
            <w:tcW w:type="dxa" w:w="2259"/>
            <w:tcBorders>
              <w:top w:val="single" w:color="404040" w:sz="8"/>
              <w:left w:val="none" w:color="FFFFFF" w:sz="0"/>
              <w:bottom w:val="single" w:color="404040" w:sz="4"/>
              <w:right w:val="none" w:color="FFFFFF" w:sz="0"/>
            </w:tcBorders>
            <w:shd w:fill="F2F2F2" w:color="auto" w:val="clear"/>
            <w:tcMar>
              <w:top w:type="dxa" w:w="30"/>
              <w:left w:type="dxa" w:w="70"/>
              <w:bottom w:type="dxa" w:w="30"/>
              <w:right w:type="dxa" w:w="70"/>
            </w:tcMar>
            <w:vAlign w:val="top"/>
          </w:tcPr>
          <w:p>
            <w:pPr>
              <w:keepNext w:val="false"/>
              <w:spacing w:after="0" w:before="0" w:line="240"/>
              <w:jc w:val="left"/>
            </w:pPr>
            <w:r>
              <w:rPr>
                <w:rFonts w:ascii="Calibri" w:cs="Calibri" w:eastAsia="Calibri" w:hAnsi="Calibri"/>
                <w:b/>
                <w:bCs/>
                <w:color w:val="1F1F1F"/>
                <w:sz w:val="17"/>
                <w:szCs w:val="17"/>
              </w:rPr>
              <w:t xml:space="preserve">Question</w:t>
            </w:r>
          </w:p>
        </w:tc>
        <w:tc>
          <w:tcPr>
            <w:tcW w:type="dxa" w:w="1035"/>
            <w:tcBorders>
              <w:top w:val="single" w:color="404040" w:sz="8"/>
              <w:left w:val="none" w:color="FFFFFF" w:sz="0"/>
              <w:bottom w:val="single" w:color="404040" w:sz="4"/>
              <w:right w:val="none" w:color="FFFFFF" w:sz="0"/>
            </w:tcBorders>
            <w:shd w:fill="F2F2F2" w:color="auto" w:val="clear"/>
            <w:tcMar>
              <w:top w:type="dxa" w:w="30"/>
              <w:left w:type="dxa" w:w="70"/>
              <w:bottom w:type="dxa" w:w="30"/>
              <w:right w:type="dxa" w:w="70"/>
            </w:tcMar>
            <w:vAlign w:val="top"/>
          </w:tcPr>
          <w:p>
            <w:pPr>
              <w:keepNext w:val="false"/>
              <w:spacing w:after="0" w:before="0" w:line="240"/>
              <w:jc w:val="left"/>
            </w:pPr>
            <w:r>
              <w:rPr>
                <w:rFonts w:ascii="Calibri" w:cs="Calibri" w:eastAsia="Calibri" w:hAnsi="Calibri"/>
                <w:b/>
                <w:bCs/>
                <w:color w:val="1F1F1F"/>
                <w:sz w:val="17"/>
                <w:szCs w:val="17"/>
              </w:rPr>
              <w:t xml:space="preserve">Stage</w:t>
            </w:r>
          </w:p>
        </w:tc>
        <w:tc>
          <w:tcPr>
            <w:tcW w:type="dxa" w:w="3577"/>
            <w:tcBorders>
              <w:top w:val="single" w:color="404040" w:sz="8"/>
              <w:left w:val="none" w:color="FFFFFF" w:sz="0"/>
              <w:bottom w:val="single" w:color="404040" w:sz="4"/>
              <w:right w:val="none" w:color="FFFFFF" w:sz="0"/>
            </w:tcBorders>
            <w:shd w:fill="F2F2F2" w:color="auto" w:val="clear"/>
            <w:tcMar>
              <w:top w:type="dxa" w:w="30"/>
              <w:left w:type="dxa" w:w="70"/>
              <w:bottom w:type="dxa" w:w="30"/>
              <w:right w:type="dxa" w:w="70"/>
            </w:tcMar>
            <w:vAlign w:val="top"/>
          </w:tcPr>
          <w:p>
            <w:pPr>
              <w:keepNext w:val="false"/>
              <w:spacing w:after="0" w:before="0" w:line="240"/>
              <w:jc w:val="left"/>
            </w:pPr>
            <w:r>
              <w:rPr>
                <w:rFonts w:ascii="Calibri" w:cs="Calibri" w:eastAsia="Calibri" w:hAnsi="Calibri"/>
                <w:b/>
                <w:bCs/>
                <w:color w:val="1F1F1F"/>
                <w:sz w:val="17"/>
                <w:szCs w:val="17"/>
              </w:rPr>
              <w:t xml:space="preserve">Method</w:t>
            </w:r>
          </w:p>
        </w:tc>
        <w:tc>
          <w:tcPr>
            <w:tcW w:type="dxa" w:w="2541"/>
            <w:tcBorders>
              <w:top w:val="single" w:color="404040" w:sz="8"/>
              <w:left w:val="none" w:color="FFFFFF" w:sz="0"/>
              <w:bottom w:val="single" w:color="404040" w:sz="4"/>
              <w:right w:val="none" w:color="FFFFFF" w:sz="0"/>
            </w:tcBorders>
            <w:shd w:fill="F2F2F2" w:color="auto" w:val="clear"/>
            <w:tcMar>
              <w:top w:type="dxa" w:w="30"/>
              <w:left w:type="dxa" w:w="70"/>
              <w:bottom w:type="dxa" w:w="30"/>
              <w:right w:type="dxa" w:w="70"/>
            </w:tcMar>
            <w:vAlign w:val="top"/>
          </w:tcPr>
          <w:p>
            <w:pPr>
              <w:keepNext w:val="false"/>
              <w:spacing w:after="0" w:before="0" w:line="240"/>
              <w:jc w:val="left"/>
            </w:pPr>
            <w:r>
              <w:rPr>
                <w:rFonts w:ascii="Calibri" w:cs="Calibri" w:eastAsia="Calibri" w:hAnsi="Calibri"/>
                <w:b/>
                <w:bCs/>
                <w:color w:val="1F1F1F"/>
                <w:sz w:val="17"/>
                <w:szCs w:val="17"/>
              </w:rPr>
              <w:t xml:space="preserve">Output</w:t>
            </w:r>
          </w:p>
        </w:tc>
      </w:tr>
      <w:tr>
        <w:trPr>
          <w:cantSplit/>
        </w:trPr>
        <w:tc>
          <w:tcPr>
            <w:tcW w:type="dxa" w:w="225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Is vehicle age associated with price?</w:t>
            </w:r>
          </w:p>
        </w:tc>
        <w:tc>
          <w:tcPr>
            <w:tcW w:type="dxa" w:w="10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Milestone 2</w:t>
            </w:r>
          </w:p>
        </w:tc>
        <w:tc>
          <w:tcPr>
            <w:tcW w:type="dxa" w:w="3577"/>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H0: the correlation of age and log price is zero; H1: it is not. Compare age bands</w:t>
            </w:r>
          </w:p>
        </w:tc>
        <w:tc>
          <w:tcPr>
            <w:tcW w:type="dxa" w:w="25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Test result and 95% confidence interval</w:t>
            </w:r>
          </w:p>
        </w:tc>
      </w:tr>
      <w:tr>
        <w:trPr>
          <w:cantSplit/>
        </w:trPr>
        <w:tc>
          <w:tcPr>
            <w:tcW w:type="dxa" w:w="225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How strongly is usage associated with price?</w:t>
            </w:r>
          </w:p>
        </w:tc>
        <w:tc>
          <w:tcPr>
            <w:tcW w:type="dxa" w:w="10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Milestone 2</w:t>
            </w:r>
          </w:p>
        </w:tc>
        <w:tc>
          <w:tcPr>
            <w:tcW w:type="dxa" w:w="3577"/>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H0: the slope of log price on log kilometres is zero; H1: it is not. Compare the two segments</w:t>
            </w:r>
          </w:p>
        </w:tc>
        <w:tc>
          <w:tcPr>
            <w:tcW w:type="dxa" w:w="25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Estimated slope with confidence interval</w:t>
            </w:r>
          </w:p>
        </w:tc>
      </w:tr>
      <w:tr>
        <w:trPr>
          <w:cantSplit/>
        </w:trPr>
        <w:tc>
          <w:tcPr>
            <w:tcW w:type="dxa" w:w="225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Is brand segment associated with price?</w:t>
            </w:r>
          </w:p>
        </w:tc>
        <w:tc>
          <w:tcPr>
            <w:tcW w:type="dxa" w:w="10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Milestone 2</w:t>
            </w:r>
          </w:p>
        </w:tc>
        <w:tc>
          <w:tcPr>
            <w:tcW w:type="dxa" w:w="3577"/>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H0: mean log price is equal for the two segments; H1: it differs. Two-sample t-test</w:t>
            </w:r>
          </w:p>
        </w:tc>
        <w:tc>
          <w:tcPr>
            <w:tcW w:type="dxa" w:w="25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Test result and 95% confidence interval</w:t>
            </w:r>
          </w:p>
        </w:tc>
      </w:tr>
      <w:tr>
        <w:trPr>
          <w:cantSplit/>
        </w:trPr>
        <w:tc>
          <w:tcPr>
            <w:tcW w:type="dxa" w:w="225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Can the fields predict price?</w:t>
            </w:r>
          </w:p>
        </w:tc>
        <w:tc>
          <w:tcPr>
            <w:tcW w:type="dxa" w:w="10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Final report</w:t>
            </w:r>
          </w:p>
        </w:tc>
        <w:tc>
          <w:tcPr>
            <w:tcW w:type="dxa" w:w="3577"/>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Multiple regression on log price; fit on 80% of rows, check on the other 20%</w:t>
            </w:r>
          </w:p>
        </w:tc>
        <w:tc>
          <w:tcPr>
            <w:tcW w:type="dxa" w:w="254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Typical error against the median benchmark; price ranges</w:t>
            </w:r>
          </w:p>
        </w:tc>
      </w:tr>
      <w:tr>
        <w:trPr>
          <w:cantSplit/>
        </w:trPr>
        <w:tc>
          <w:tcPr>
            <w:tcW w:type="dxa" w:w="2259"/>
            <w:tcBorders>
              <w:top w:val="none" w:color="FFFFFF" w:sz="0"/>
              <w:left w:val="none" w:color="FFFFFF" w:sz="0"/>
              <w:bottom w:val="single" w:color="404040" w:sz="8"/>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Do the choices in Table 1 matter?</w:t>
            </w:r>
          </w:p>
        </w:tc>
        <w:tc>
          <w:tcPr>
            <w:tcW w:type="dxa" w:w="1035"/>
            <w:tcBorders>
              <w:top w:val="none" w:color="FFFFFF" w:sz="0"/>
              <w:left w:val="none" w:color="FFFFFF" w:sz="0"/>
              <w:bottom w:val="single" w:color="404040" w:sz="8"/>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Both</w:t>
            </w:r>
          </w:p>
        </w:tc>
        <w:tc>
          <w:tcPr>
            <w:tcW w:type="dxa" w:w="3577"/>
            <w:tcBorders>
              <w:top w:val="none" w:color="FFFFFF" w:sz="0"/>
              <w:left w:val="none" w:color="FFFFFF" w:sz="0"/>
              <w:bottom w:val="single" w:color="404040" w:sz="8"/>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Repeat key results without Unknown rows, extreme values or possible duplicates</w:t>
            </w:r>
          </w:p>
        </w:tc>
        <w:tc>
          <w:tcPr>
            <w:tcW w:type="dxa" w:w="2541"/>
            <w:tcBorders>
              <w:top w:val="none" w:color="FFFFFF" w:sz="0"/>
              <w:left w:val="none" w:color="FFFFFF" w:sz="0"/>
              <w:bottom w:val="single" w:color="404040" w:sz="8"/>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Conclusions kept only if unchanged</w:t>
            </w:r>
          </w:p>
        </w:tc>
      </w:tr>
    </w:tbl>
    <w:p>
      <w:pPr>
        <w:spacing w:after="80" w:before="0"/>
      </w:pPr>
    </w:p>
    <w:p>
      <w:pPr>
        <w:pStyle w:val="Heading1"/>
        <w:keepNext/>
        <w:spacing w:after="80" w:before="240"/>
      </w:pPr>
      <w:r>
        <w:rPr>
          <w:rFonts w:ascii="Calibri" w:cs="Calibri" w:eastAsia="Calibri" w:hAnsi="Calibri"/>
          <w:b/>
          <w:bCs/>
          <w:color w:val="1F1F1F"/>
          <w:sz w:val="26"/>
          <w:szCs w:val="26"/>
        </w:rPr>
        <w:t xml:space="preserve">References</w:t>
      </w:r>
    </w:p>
    <w:p>
      <w:pPr>
        <w:spacing w:after="80" w:line="252"/>
        <w:ind w:left="400" w:hanging="400"/>
      </w:pPr>
      <w:r>
        <w:rPr>
          <w:rFonts w:ascii="Calibri" w:cs="Calibri" w:eastAsia="Calibri" w:hAnsi="Calibri"/>
          <w:i w:val="false"/>
          <w:iCs w:val="false"/>
          <w:color w:val="1F1F1F"/>
          <w:sz w:val="20"/>
          <w:szCs w:val="20"/>
        </w:rPr>
        <w:t xml:space="preserve">Franch, F 2026, ‘Used cars: course and Milestone 1 project’, lecture slides, COMM5000 Data Literacy, University of New South Wales, Sydney, viewed 26 September 2026, &lt;https://moodle.telt.unsw.edu.au&gt;.</w:t>
      </w:r>
    </w:p>
    <w:p>
      <w:pPr>
        <w:spacing w:after="80" w:line="252"/>
        <w:ind w:left="400" w:hanging="400"/>
      </w:pPr>
      <w:r>
        <w:rPr>
          <w:rFonts w:ascii="Calibri" w:cs="Calibri" w:eastAsia="Calibri" w:hAnsi="Calibri"/>
          <w:i w:val="false"/>
          <w:iCs w:val="false"/>
          <w:color w:val="1F1F1F"/>
          <w:sz w:val="20"/>
          <w:szCs w:val="20"/>
        </w:rPr>
        <w:t xml:space="preserve">Stable Space 2026, </w:t>
      </w:r>
      <w:r>
        <w:rPr>
          <w:rFonts w:ascii="Calibri" w:cs="Calibri" w:eastAsia="Calibri" w:hAnsi="Calibri"/>
          <w:i/>
          <w:iCs/>
          <w:color w:val="1F1F1F"/>
          <w:sz w:val="20"/>
          <w:szCs w:val="20"/>
        </w:rPr>
        <w:t xml:space="preserve">Used car price prediction dataset</w:t>
      </w:r>
      <w:r>
        <w:rPr>
          <w:rFonts w:ascii="Calibri" w:cs="Calibri" w:eastAsia="Calibri" w:hAnsi="Calibri"/>
          <w:i w:val="false"/>
          <w:iCs w:val="false"/>
          <w:color w:val="1F1F1F"/>
          <w:sz w:val="20"/>
          <w:szCs w:val="20"/>
        </w:rPr>
        <w:t xml:space="preserve">, data set, Kaggle, &lt;https://www.kaggle.com/datasets/sharmajicoder/used-car-price-prediction-dataset&gt; (page since removed); randomised copy COMM5000-Used_Car_Price_Prediction.xlsm, UNSW Moodle, viewed 26 September 2026, &lt;https://moodle.telt.unsw.edu.au&gt;.</w:t>
      </w:r>
    </w:p>
    <w:p>
      <w:pPr>
        <w:spacing w:after="80" w:line="252"/>
        <w:ind w:left="400" w:hanging="400"/>
      </w:pPr>
      <w:r>
        <w:rPr>
          <w:rFonts w:ascii="Calibri" w:cs="Calibri" w:eastAsia="Calibri" w:hAnsi="Calibri"/>
          <w:i w:val="false"/>
          <w:iCs w:val="false"/>
          <w:color w:val="1F1F1F"/>
          <w:sz w:val="20"/>
          <w:szCs w:val="20"/>
        </w:rPr>
        <w:t xml:space="preserve">UNSW Business School 2026, </w:t>
      </w:r>
      <w:r>
        <w:rPr>
          <w:rFonts w:ascii="Calibri" w:cs="Calibri" w:eastAsia="Calibri" w:hAnsi="Calibri"/>
          <w:i/>
          <w:iCs/>
          <w:color w:val="1F1F1F"/>
          <w:sz w:val="20"/>
          <w:szCs w:val="20"/>
        </w:rPr>
        <w:t xml:space="preserve">Assessment guide COMM5000 Data Literacy: case study project, Milestone 1 information</w:t>
      </w:r>
      <w:r>
        <w:rPr>
          <w:rFonts w:ascii="Calibri" w:cs="Calibri" w:eastAsia="Calibri" w:hAnsi="Calibri"/>
          <w:i w:val="false"/>
          <w:iCs w:val="false"/>
          <w:color w:val="1F1F1F"/>
          <w:sz w:val="20"/>
          <w:szCs w:val="20"/>
        </w:rPr>
        <w:t xml:space="preserve">, University of New South Wales, Sydney, viewed 26 September 2026, &lt;https://moodle.telt.unsw.edu.au&gt;.</w:t>
      </w:r>
    </w:p>
    <w:p>
      <w:pPr>
        <w:pStyle w:val="Heading1"/>
        <w:keepNext/>
        <w:spacing w:after="40" w:before="240"/>
      </w:pPr>
      <w:r>
        <w:rPr>
          <w:rFonts w:ascii="Calibri" w:cs="Calibri" w:eastAsia="Calibri" w:hAnsi="Calibri"/>
          <w:b/>
          <w:bCs/>
          <w:color w:val="1F1F1F"/>
          <w:sz w:val="26"/>
          <w:szCs w:val="26"/>
        </w:rPr>
        <w:t xml:space="preserve">Appendix</w:t>
      </w:r>
    </w:p>
    <w:p>
      <w:pPr>
        <w:keepNext/>
        <w:spacing w:after="60" w:before="160"/>
      </w:pPr>
      <w:r>
        <w:rPr>
          <w:rFonts w:ascii="Calibri" w:cs="Calibri" w:eastAsia="Calibri" w:hAnsi="Calibri"/>
          <w:b/>
          <w:bCs/>
          <w:i w:val="false"/>
          <w:iCs w:val="false"/>
          <w:sz w:val="18"/>
          <w:szCs w:val="18"/>
        </w:rPr>
        <w:t xml:space="preserve">Table A1</w:t>
      </w:r>
      <w:r>
        <w:rPr>
          <w:rFonts w:ascii="Calibri" w:cs="Calibri" w:eastAsia="Calibri" w:hAnsi="Calibri"/>
          <w:sz w:val="18"/>
          <w:szCs w:val="18"/>
        </w:rPr>
        <w:t xml:space="preserve">  The 20 fields in the dataset, with the share of listings in each category</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1"/>
        <w:gridCol w:w="847"/>
        <w:gridCol w:w="2729"/>
        <w:gridCol w:w="4235"/>
      </w:tblGrid>
      <w:tr>
        <w:trPr>
          <w:cantSplit/>
          <w:tblHeader/>
        </w:trPr>
        <w:tc>
          <w:tcPr>
            <w:tcW w:type="dxa" w:w="1601"/>
            <w:tcBorders>
              <w:top w:val="single" w:color="404040" w:sz="8"/>
              <w:left w:val="none" w:color="FFFFFF" w:sz="0"/>
              <w:bottom w:val="single" w:color="404040" w:sz="4"/>
              <w:right w:val="none" w:color="FFFFFF" w:sz="0"/>
            </w:tcBorders>
            <w:shd w:fill="F2F2F2" w:color="auto" w:val="clear"/>
            <w:tcMar>
              <w:top w:type="dxa" w:w="30"/>
              <w:left w:type="dxa" w:w="70"/>
              <w:bottom w:type="dxa" w:w="30"/>
              <w:right w:type="dxa" w:w="70"/>
            </w:tcMar>
            <w:vAlign w:val="top"/>
          </w:tcPr>
          <w:p>
            <w:pPr>
              <w:keepNext w:val="false"/>
              <w:spacing w:after="0" w:before="0" w:line="240"/>
              <w:jc w:val="left"/>
            </w:pPr>
            <w:r>
              <w:rPr>
                <w:rFonts w:ascii="Calibri" w:cs="Calibri" w:eastAsia="Calibri" w:hAnsi="Calibri"/>
                <w:b/>
                <w:bCs/>
                <w:color w:val="1F1F1F"/>
                <w:sz w:val="17"/>
                <w:szCs w:val="17"/>
              </w:rPr>
              <w:t xml:space="preserve">Field</w:t>
            </w:r>
          </w:p>
        </w:tc>
        <w:tc>
          <w:tcPr>
            <w:tcW w:type="dxa" w:w="847"/>
            <w:tcBorders>
              <w:top w:val="single" w:color="404040" w:sz="8"/>
              <w:left w:val="none" w:color="FFFFFF" w:sz="0"/>
              <w:bottom w:val="single" w:color="404040" w:sz="4"/>
              <w:right w:val="none" w:color="FFFFFF" w:sz="0"/>
            </w:tcBorders>
            <w:shd w:fill="F2F2F2" w:color="auto" w:val="clear"/>
            <w:tcMar>
              <w:top w:type="dxa" w:w="30"/>
              <w:left w:type="dxa" w:w="70"/>
              <w:bottom w:type="dxa" w:w="30"/>
              <w:right w:type="dxa" w:w="70"/>
            </w:tcMar>
            <w:vAlign w:val="top"/>
          </w:tcPr>
          <w:p>
            <w:pPr>
              <w:keepNext w:val="false"/>
              <w:spacing w:after="0" w:before="0" w:line="240"/>
              <w:jc w:val="left"/>
            </w:pPr>
            <w:r>
              <w:rPr>
                <w:rFonts w:ascii="Calibri" w:cs="Calibri" w:eastAsia="Calibri" w:hAnsi="Calibri"/>
                <w:b/>
                <w:bCs/>
                <w:color w:val="1F1F1F"/>
                <w:sz w:val="17"/>
                <w:szCs w:val="17"/>
              </w:rPr>
              <w:t xml:space="preserve">Type</w:t>
            </w:r>
          </w:p>
        </w:tc>
        <w:tc>
          <w:tcPr>
            <w:tcW w:type="dxa" w:w="2729"/>
            <w:tcBorders>
              <w:top w:val="single" w:color="404040" w:sz="8"/>
              <w:left w:val="none" w:color="FFFFFF" w:sz="0"/>
              <w:bottom w:val="single" w:color="404040" w:sz="4"/>
              <w:right w:val="none" w:color="FFFFFF" w:sz="0"/>
            </w:tcBorders>
            <w:shd w:fill="F2F2F2" w:color="auto" w:val="clear"/>
            <w:tcMar>
              <w:top w:type="dxa" w:w="30"/>
              <w:left w:type="dxa" w:w="70"/>
              <w:bottom w:type="dxa" w:w="30"/>
              <w:right w:type="dxa" w:w="70"/>
            </w:tcMar>
            <w:vAlign w:val="top"/>
          </w:tcPr>
          <w:p>
            <w:pPr>
              <w:keepNext w:val="false"/>
              <w:spacing w:after="0" w:before="0" w:line="240"/>
              <w:jc w:val="left"/>
            </w:pPr>
            <w:r>
              <w:rPr>
                <w:rFonts w:ascii="Calibri" w:cs="Calibri" w:eastAsia="Calibri" w:hAnsi="Calibri"/>
                <w:b/>
                <w:bCs/>
                <w:color w:val="1F1F1F"/>
                <w:sz w:val="17"/>
                <w:szCs w:val="17"/>
              </w:rPr>
              <w:t xml:space="preserve">Unit or values</w:t>
            </w:r>
          </w:p>
        </w:tc>
        <w:tc>
          <w:tcPr>
            <w:tcW w:type="dxa" w:w="4235"/>
            <w:tcBorders>
              <w:top w:val="single" w:color="404040" w:sz="8"/>
              <w:left w:val="none" w:color="FFFFFF" w:sz="0"/>
              <w:bottom w:val="single" w:color="404040" w:sz="4"/>
              <w:right w:val="none" w:color="FFFFFF" w:sz="0"/>
            </w:tcBorders>
            <w:shd w:fill="F2F2F2" w:color="auto" w:val="clear"/>
            <w:tcMar>
              <w:top w:type="dxa" w:w="30"/>
              <w:left w:type="dxa" w:w="70"/>
              <w:bottom w:type="dxa" w:w="30"/>
              <w:right w:type="dxa" w:w="70"/>
            </w:tcMar>
            <w:vAlign w:val="top"/>
          </w:tcPr>
          <w:p>
            <w:pPr>
              <w:keepNext w:val="false"/>
              <w:spacing w:after="0" w:before="0" w:line="240"/>
              <w:jc w:val="left"/>
            </w:pPr>
            <w:r>
              <w:rPr>
                <w:rFonts w:ascii="Calibri" w:cs="Calibri" w:eastAsia="Calibri" w:hAnsi="Calibri"/>
                <w:b/>
                <w:bCs/>
                <w:color w:val="1F1F1F"/>
                <w:sz w:val="17"/>
                <w:szCs w:val="17"/>
              </w:rPr>
              <w:t xml:space="preserve">Note</w:t>
            </w:r>
          </w:p>
        </w:tc>
      </w:tr>
      <w:tr>
        <w:trPr>
          <w:cantSplit/>
        </w:trPr>
        <w:tc>
          <w:tcPr>
            <w:tcW w:type="dxa" w:w="160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Brand</w:t>
            </w:r>
          </w:p>
        </w:tc>
        <w:tc>
          <w:tcPr>
            <w:tcW w:type="dxa" w:w="847"/>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Text</w:t>
            </w:r>
          </w:p>
        </w:tc>
        <w:tc>
          <w:tcPr>
            <w:tcW w:type="dxa" w:w="272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13 brands after trimming</w:t>
            </w:r>
          </w:p>
        </w:tc>
        <w:tc>
          <w:tcPr>
            <w:tcW w:type="dxa" w:w="42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Luxury = Audi, BMW, Mercedes; about 7.7% each</w:t>
            </w:r>
          </w:p>
        </w:tc>
      </w:tr>
      <w:tr>
        <w:trPr>
          <w:cantSplit/>
        </w:trPr>
        <w:tc>
          <w:tcPr>
            <w:tcW w:type="dxa" w:w="160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Model</w:t>
            </w:r>
          </w:p>
        </w:tc>
        <w:tc>
          <w:tcPr>
            <w:tcW w:type="dxa" w:w="847"/>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Text</w:t>
            </w:r>
          </w:p>
        </w:tc>
        <w:tc>
          <w:tcPr>
            <w:tcW w:type="dxa" w:w="272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39 models, each with one brand</w:t>
            </w:r>
          </w:p>
        </w:tc>
        <w:tc>
          <w:tcPr>
            <w:tcW w:type="dxa" w:w="42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About 2.6% each</w:t>
            </w:r>
          </w:p>
        </w:tc>
      </w:tr>
      <w:tr>
        <w:trPr>
          <w:cantSplit/>
        </w:trPr>
        <w:tc>
          <w:tcPr>
            <w:tcW w:type="dxa" w:w="160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Year</w:t>
            </w:r>
          </w:p>
        </w:tc>
        <w:tc>
          <w:tcPr>
            <w:tcW w:type="dxa" w:w="847"/>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Numeric</w:t>
            </w:r>
          </w:p>
        </w:tc>
        <w:tc>
          <w:tcPr>
            <w:tcW w:type="dxa" w:w="272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2000 to 2024</w:t>
            </w:r>
          </w:p>
        </w:tc>
        <w:tc>
          <w:tcPr>
            <w:tcW w:type="dxa" w:w="42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Year + Registration_Age = 2025</w:t>
            </w:r>
          </w:p>
        </w:tc>
      </w:tr>
      <w:tr>
        <w:trPr>
          <w:cantSplit/>
        </w:trPr>
        <w:tc>
          <w:tcPr>
            <w:tcW w:type="dxa" w:w="160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Mileage_kmpl</w:t>
            </w:r>
          </w:p>
        </w:tc>
        <w:tc>
          <w:tcPr>
            <w:tcW w:type="dxa" w:w="847"/>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Numeric</w:t>
            </w:r>
          </w:p>
        </w:tc>
        <w:tc>
          <w:tcPr>
            <w:tcW w:type="dxa" w:w="272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km per litre</w:t>
            </w:r>
          </w:p>
        </w:tc>
        <w:tc>
          <w:tcPr>
            <w:tcW w:type="dxa" w:w="42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Fuel efficiency, not distance</w:t>
            </w:r>
          </w:p>
        </w:tc>
      </w:tr>
      <w:tr>
        <w:trPr>
          <w:cantSplit/>
        </w:trPr>
        <w:tc>
          <w:tcPr>
            <w:tcW w:type="dxa" w:w="160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Engine_CC</w:t>
            </w:r>
          </w:p>
        </w:tc>
        <w:tc>
          <w:tcPr>
            <w:tcW w:type="dxa" w:w="847"/>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Numeric</w:t>
            </w:r>
          </w:p>
        </w:tc>
        <w:tc>
          <w:tcPr>
            <w:tcW w:type="dxa" w:w="272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cc</w:t>
            </w:r>
          </w:p>
        </w:tc>
        <w:tc>
          <w:tcPr>
            <w:tcW w:type="dxa" w:w="42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
            </w:r>
          </w:p>
        </w:tc>
      </w:tr>
      <w:tr>
        <w:trPr>
          <w:cantSplit/>
        </w:trPr>
        <w:tc>
          <w:tcPr>
            <w:tcW w:type="dxa" w:w="160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Horsepower</w:t>
            </w:r>
          </w:p>
        </w:tc>
        <w:tc>
          <w:tcPr>
            <w:tcW w:type="dxa" w:w="847"/>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Numeric</w:t>
            </w:r>
          </w:p>
        </w:tc>
        <w:tc>
          <w:tcPr>
            <w:tcW w:type="dxa" w:w="272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hp</w:t>
            </w:r>
          </w:p>
        </w:tc>
        <w:tc>
          <w:tcPr>
            <w:tcW w:type="dxa" w:w="42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
            </w:r>
          </w:p>
        </w:tc>
      </w:tr>
      <w:tr>
        <w:trPr>
          <w:cantSplit/>
        </w:trPr>
        <w:tc>
          <w:tcPr>
            <w:tcW w:type="dxa" w:w="160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Fuel_Type</w:t>
            </w:r>
          </w:p>
        </w:tc>
        <w:tc>
          <w:tcPr>
            <w:tcW w:type="dxa" w:w="847"/>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Text</w:t>
            </w:r>
          </w:p>
        </w:tc>
        <w:tc>
          <w:tcPr>
            <w:tcW w:type="dxa" w:w="272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CNG, Diesel, Electric, Hybrid, Petrol, Unknown</w:t>
            </w:r>
          </w:p>
        </w:tc>
        <w:tc>
          <w:tcPr>
            <w:tcW w:type="dxa" w:w="42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Petrol 41.2%, Diesel 27.7%, CNG 9.0%, Electric 7.5%, Hybrid 6.6%, Unknown 7.8%</w:t>
            </w:r>
          </w:p>
        </w:tc>
      </w:tr>
      <w:tr>
        <w:trPr>
          <w:cantSplit/>
        </w:trPr>
        <w:tc>
          <w:tcPr>
            <w:tcW w:type="dxa" w:w="160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Transmission</w:t>
            </w:r>
          </w:p>
        </w:tc>
        <w:tc>
          <w:tcPr>
            <w:tcW w:type="dxa" w:w="847"/>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Text</w:t>
            </w:r>
          </w:p>
        </w:tc>
        <w:tc>
          <w:tcPr>
            <w:tcW w:type="dxa" w:w="272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Automatic, Manual, Unknown</w:t>
            </w:r>
          </w:p>
        </w:tc>
        <w:tc>
          <w:tcPr>
            <w:tcW w:type="dxa" w:w="42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Manual 59.8%, Automatic 32.2%, Unknown 8.0%</w:t>
            </w:r>
          </w:p>
        </w:tc>
      </w:tr>
      <w:tr>
        <w:trPr>
          <w:cantSplit/>
        </w:trPr>
        <w:tc>
          <w:tcPr>
            <w:tcW w:type="dxa" w:w="160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Owner_Type</w:t>
            </w:r>
          </w:p>
        </w:tc>
        <w:tc>
          <w:tcPr>
            <w:tcW w:type="dxa" w:w="847"/>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Text</w:t>
            </w:r>
          </w:p>
        </w:tc>
        <w:tc>
          <w:tcPr>
            <w:tcW w:type="dxa" w:w="272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First, Second, Third, Fourth+</w:t>
            </w:r>
          </w:p>
        </w:tc>
        <w:tc>
          <w:tcPr>
            <w:tcW w:type="dxa" w:w="42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First 59.9%, Second 25.0%, Third 10.0%, Fourth+ 5.0%</w:t>
            </w:r>
          </w:p>
        </w:tc>
      </w:tr>
      <w:tr>
        <w:trPr>
          <w:cantSplit/>
        </w:trPr>
        <w:tc>
          <w:tcPr>
            <w:tcW w:type="dxa" w:w="160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Color</w:t>
            </w:r>
          </w:p>
        </w:tc>
        <w:tc>
          <w:tcPr>
            <w:tcW w:type="dxa" w:w="847"/>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Text</w:t>
            </w:r>
          </w:p>
        </w:tc>
        <w:tc>
          <w:tcPr>
            <w:tcW w:type="dxa" w:w="272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7 colours, Unknown</w:t>
            </w:r>
          </w:p>
        </w:tc>
        <w:tc>
          <w:tcPr>
            <w:tcW w:type="dxa" w:w="42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13.1% to 13.2% each; Unknown 8.0%</w:t>
            </w:r>
          </w:p>
        </w:tc>
      </w:tr>
      <w:tr>
        <w:trPr>
          <w:cantSplit/>
        </w:trPr>
        <w:tc>
          <w:tcPr>
            <w:tcW w:type="dxa" w:w="160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City</w:t>
            </w:r>
          </w:p>
        </w:tc>
        <w:tc>
          <w:tcPr>
            <w:tcW w:type="dxa" w:w="847"/>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Text</w:t>
            </w:r>
          </w:p>
        </w:tc>
        <w:tc>
          <w:tcPr>
            <w:tcW w:type="dxa" w:w="272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8 cities, Unknown</w:t>
            </w:r>
          </w:p>
        </w:tc>
        <w:tc>
          <w:tcPr>
            <w:tcW w:type="dxa" w:w="42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11.4% to 11.5% each; Unknown 8.0%</w:t>
            </w:r>
          </w:p>
        </w:tc>
      </w:tr>
      <w:tr>
        <w:trPr>
          <w:cantSplit/>
        </w:trPr>
        <w:tc>
          <w:tcPr>
            <w:tcW w:type="dxa" w:w="160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Kms_Driven</w:t>
            </w:r>
          </w:p>
        </w:tc>
        <w:tc>
          <w:tcPr>
            <w:tcW w:type="dxa" w:w="847"/>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Numeric</w:t>
            </w:r>
          </w:p>
        </w:tc>
        <w:tc>
          <w:tcPr>
            <w:tcW w:type="dxa" w:w="272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km</w:t>
            </w:r>
          </w:p>
        </w:tc>
        <w:tc>
          <w:tcPr>
            <w:tcW w:type="dxa" w:w="42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Usage; cap 1,000,000 for analysis</w:t>
            </w:r>
          </w:p>
        </w:tc>
      </w:tr>
      <w:tr>
        <w:trPr>
          <w:cantSplit/>
        </w:trPr>
        <w:tc>
          <w:tcPr>
            <w:tcW w:type="dxa" w:w="160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Insurance_Valid</w:t>
            </w:r>
          </w:p>
        </w:tc>
        <w:tc>
          <w:tcPr>
            <w:tcW w:type="dxa" w:w="847"/>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Binary</w:t>
            </w:r>
          </w:p>
        </w:tc>
        <w:tc>
          <w:tcPr>
            <w:tcW w:type="dxa" w:w="272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1 = valid</w:t>
            </w:r>
          </w:p>
        </w:tc>
        <w:tc>
          <w:tcPr>
            <w:tcW w:type="dxa" w:w="42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84.9% valid</w:t>
            </w:r>
          </w:p>
        </w:tc>
      </w:tr>
      <w:tr>
        <w:trPr>
          <w:cantSplit/>
        </w:trPr>
        <w:tc>
          <w:tcPr>
            <w:tcW w:type="dxa" w:w="160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Service_History</w:t>
            </w:r>
          </w:p>
        </w:tc>
        <w:tc>
          <w:tcPr>
            <w:tcW w:type="dxa" w:w="847"/>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Binary</w:t>
            </w:r>
          </w:p>
        </w:tc>
        <w:tc>
          <w:tcPr>
            <w:tcW w:type="dxa" w:w="272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1 = records available</w:t>
            </w:r>
          </w:p>
        </w:tc>
        <w:tc>
          <w:tcPr>
            <w:tcW w:type="dxa" w:w="42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75.1% available</w:t>
            </w:r>
          </w:p>
        </w:tc>
      </w:tr>
      <w:tr>
        <w:trPr>
          <w:cantSplit/>
        </w:trPr>
        <w:tc>
          <w:tcPr>
            <w:tcW w:type="dxa" w:w="160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Accidents</w:t>
            </w:r>
          </w:p>
        </w:tc>
        <w:tc>
          <w:tcPr>
            <w:tcW w:type="dxa" w:w="847"/>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Numeric</w:t>
            </w:r>
          </w:p>
        </w:tc>
        <w:tc>
          <w:tcPr>
            <w:tcW w:type="dxa" w:w="272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count, 0 to 5</w:t>
            </w:r>
          </w:p>
        </w:tc>
        <w:tc>
          <w:tcPr>
            <w:tcW w:type="dxa" w:w="42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0: 74.1%, 1: 22.2%, 2 or more: 3.7%</w:t>
            </w:r>
          </w:p>
        </w:tc>
      </w:tr>
      <w:tr>
        <w:trPr>
          <w:cantSplit/>
        </w:trPr>
        <w:tc>
          <w:tcPr>
            <w:tcW w:type="dxa" w:w="160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Tax_Paid</w:t>
            </w:r>
          </w:p>
        </w:tc>
        <w:tc>
          <w:tcPr>
            <w:tcW w:type="dxa" w:w="847"/>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Binary</w:t>
            </w:r>
          </w:p>
        </w:tc>
        <w:tc>
          <w:tcPr>
            <w:tcW w:type="dxa" w:w="272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1 = paid</w:t>
            </w:r>
          </w:p>
        </w:tc>
        <w:tc>
          <w:tcPr>
            <w:tcW w:type="dxa" w:w="42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90.0% paid</w:t>
            </w:r>
          </w:p>
        </w:tc>
      </w:tr>
      <w:tr>
        <w:trPr>
          <w:cantSplit/>
        </w:trPr>
        <w:tc>
          <w:tcPr>
            <w:tcW w:type="dxa" w:w="160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Number_of_Doors</w:t>
            </w:r>
          </w:p>
        </w:tc>
        <w:tc>
          <w:tcPr>
            <w:tcW w:type="dxa" w:w="847"/>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Numeric</w:t>
            </w:r>
          </w:p>
        </w:tc>
        <w:tc>
          <w:tcPr>
            <w:tcW w:type="dxa" w:w="272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2, 4 or 5</w:t>
            </w:r>
          </w:p>
        </w:tc>
        <w:tc>
          <w:tcPr>
            <w:tcW w:type="dxa" w:w="42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val="false"/>
              <w:spacing w:after="0" w:before="0" w:line="240"/>
              <w:jc w:val="left"/>
            </w:pPr>
            <w:r>
              <w:rPr>
                <w:rFonts w:ascii="Calibri" w:cs="Calibri" w:eastAsia="Calibri" w:hAnsi="Calibri"/>
                <w:b w:val="false"/>
                <w:bCs w:val="false"/>
                <w:color w:val="1F1F1F"/>
                <w:sz w:val="17"/>
                <w:szCs w:val="17"/>
              </w:rPr>
              <w:t xml:space="preserve">4: 60.1%, 5: 34.9%, 2: 5.0%</w:t>
            </w:r>
          </w:p>
        </w:tc>
      </w:tr>
      <w:tr>
        <w:trPr>
          <w:cantSplit/>
        </w:trPr>
        <w:tc>
          <w:tcPr>
            <w:tcW w:type="dxa" w:w="160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Seats</w:t>
            </w:r>
          </w:p>
        </w:tc>
        <w:tc>
          <w:tcPr>
            <w:tcW w:type="dxa" w:w="847"/>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Numeric</w:t>
            </w:r>
          </w:p>
        </w:tc>
        <w:tc>
          <w:tcPr>
            <w:tcW w:type="dxa" w:w="272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2, 4, 5 or 7</w:t>
            </w:r>
          </w:p>
        </w:tc>
        <w:tc>
          <w:tcPr>
            <w:tcW w:type="dxa" w:w="42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5: 75.0%, 7: 15.0%, 4: 8.0%, 2: 2.0%</w:t>
            </w:r>
          </w:p>
        </w:tc>
      </w:tr>
      <w:tr>
        <w:trPr>
          <w:cantSplit/>
        </w:trPr>
        <w:tc>
          <w:tcPr>
            <w:tcW w:type="dxa" w:w="160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Registration_Age</w:t>
            </w:r>
          </w:p>
        </w:tc>
        <w:tc>
          <w:tcPr>
            <w:tcW w:type="dxa" w:w="847"/>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Numeric</w:t>
            </w:r>
          </w:p>
        </w:tc>
        <w:tc>
          <w:tcPr>
            <w:tcW w:type="dxa" w:w="272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years, 1 to 25</w:t>
            </w:r>
          </w:p>
        </w:tc>
        <w:tc>
          <w:tcPr>
            <w:tcW w:type="dxa" w:w="42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About 40,000 cars at each age</w:t>
            </w:r>
          </w:p>
        </w:tc>
      </w:tr>
      <w:tr>
        <w:trPr>
          <w:cantSplit/>
        </w:trPr>
        <w:tc>
          <w:tcPr>
            <w:tcW w:type="dxa" w:w="1601"/>
            <w:tcBorders>
              <w:top w:val="none" w:color="FFFFFF" w:sz="0"/>
              <w:left w:val="none" w:color="FFFFFF" w:sz="0"/>
              <w:bottom w:val="single" w:color="404040" w:sz="8"/>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Car_Price</w:t>
            </w:r>
          </w:p>
        </w:tc>
        <w:tc>
          <w:tcPr>
            <w:tcW w:type="dxa" w:w="847"/>
            <w:tcBorders>
              <w:top w:val="none" w:color="FFFFFF" w:sz="0"/>
              <w:left w:val="none" w:color="FFFFFF" w:sz="0"/>
              <w:bottom w:val="single" w:color="404040" w:sz="8"/>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Numeric</w:t>
            </w:r>
          </w:p>
        </w:tc>
        <w:tc>
          <w:tcPr>
            <w:tcW w:type="dxa" w:w="2729"/>
            <w:tcBorders>
              <w:top w:val="none" w:color="FFFFFF" w:sz="0"/>
              <w:left w:val="none" w:color="FFFFFF" w:sz="0"/>
              <w:bottom w:val="single" w:color="404040" w:sz="8"/>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INR</w:t>
            </w:r>
          </w:p>
        </w:tc>
        <w:tc>
          <w:tcPr>
            <w:tcW w:type="dxa" w:w="4235"/>
            <w:tcBorders>
              <w:top w:val="none" w:color="FFFFFF" w:sz="0"/>
              <w:left w:val="none" w:color="FFFFFF" w:sz="0"/>
              <w:bottom w:val="single" w:color="404040" w:sz="8"/>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Target variable</w:t>
            </w:r>
          </w:p>
        </w:tc>
      </w:tr>
    </w:tbl>
    <w:p>
      <w:pPr>
        <w:spacing w:after="120" w:before="40"/>
      </w:pPr>
      <w:r>
        <w:rPr>
          <w:rFonts w:ascii="Calibri" w:cs="Calibri" w:eastAsia="Calibri" w:hAnsi="Calibri"/>
          <w:color w:val="595959"/>
          <w:sz w:val="15"/>
          <w:szCs w:val="15"/>
        </w:rPr>
        <w:t xml:space="preserve">Source: calculated from Stable Space (2026). Shares are of all 1,005,000 listings; no share differs by more than 0.2 percentage points between the luxury and non-luxury segments.</w:t>
      </w:r>
    </w:p>
    <w:p>
      <w:pPr>
        <w:keepNext/>
        <w:spacing w:after="60" w:before="160"/>
      </w:pPr>
      <w:r>
        <w:rPr>
          <w:rFonts w:ascii="Calibri" w:cs="Calibri" w:eastAsia="Calibri" w:hAnsi="Calibri"/>
          <w:b/>
          <w:bCs/>
          <w:i w:val="false"/>
          <w:iCs w:val="false"/>
          <w:sz w:val="18"/>
          <w:szCs w:val="18"/>
        </w:rPr>
        <w:t xml:space="preserve">Table A2</w:t>
      </w:r>
      <w:r>
        <w:rPr>
          <w:rFonts w:ascii="Calibri" w:cs="Calibri" w:eastAsia="Calibri" w:hAnsi="Calibri"/>
          <w:sz w:val="18"/>
          <w:szCs w:val="18"/>
        </w:rPr>
        <w:t xml:space="preserve">  Pearson correlation between Car_Price and each numeric field</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99"/>
        <w:gridCol w:w="2071"/>
        <w:gridCol w:w="2071"/>
        <w:gridCol w:w="2071"/>
      </w:tblGrid>
      <w:tr>
        <w:trPr>
          <w:cantSplit/>
          <w:tblHeader/>
        </w:trPr>
        <w:tc>
          <w:tcPr>
            <w:tcW w:type="dxa" w:w="3199"/>
            <w:tcBorders>
              <w:top w:val="single" w:color="404040" w:sz="8"/>
              <w:left w:val="none" w:color="FFFFFF" w:sz="0"/>
              <w:bottom w:val="single" w:color="404040" w:sz="4"/>
              <w:right w:val="none" w:color="FFFFFF" w:sz="0"/>
            </w:tcBorders>
            <w:shd w:fill="F2F2F2" w:color="auto" w:val="clear"/>
            <w:tcMar>
              <w:top w:type="dxa" w:w="30"/>
              <w:left w:type="dxa" w:w="70"/>
              <w:bottom w:type="dxa" w:w="30"/>
              <w:right w:type="dxa" w:w="70"/>
            </w:tcMar>
            <w:vAlign w:val="top"/>
          </w:tcPr>
          <w:p>
            <w:pPr>
              <w:keepNext/>
              <w:spacing w:after="0" w:before="0" w:line="240"/>
              <w:jc w:val="left"/>
            </w:pPr>
            <w:r>
              <w:rPr>
                <w:rFonts w:ascii="Calibri" w:cs="Calibri" w:eastAsia="Calibri" w:hAnsi="Calibri"/>
                <w:b/>
                <w:bCs/>
                <w:color w:val="1F1F1F"/>
                <w:sz w:val="17"/>
                <w:szCs w:val="17"/>
              </w:rPr>
              <w:t xml:space="preserve">Field</w:t>
            </w:r>
          </w:p>
        </w:tc>
        <w:tc>
          <w:tcPr>
            <w:tcW w:type="dxa" w:w="2071"/>
            <w:tcBorders>
              <w:top w:val="single" w:color="404040" w:sz="8"/>
              <w:left w:val="none" w:color="FFFFFF" w:sz="0"/>
              <w:bottom w:val="single" w:color="404040" w:sz="4"/>
              <w:right w:val="none" w:color="FFFFFF" w:sz="0"/>
            </w:tcBorders>
            <w:shd w:fill="F2F2F2" w:color="auto" w:val="clear"/>
            <w:tcMar>
              <w:top w:type="dxa" w:w="30"/>
              <w:left w:type="dxa" w:w="70"/>
              <w:bottom w:type="dxa" w:w="30"/>
              <w:right w:type="dxa" w:w="70"/>
            </w:tcMar>
            <w:vAlign w:val="top"/>
          </w:tcPr>
          <w:p>
            <w:pPr>
              <w:keepNext/>
              <w:spacing w:after="0" w:before="0" w:line="240"/>
              <w:jc w:val="right"/>
            </w:pPr>
            <w:r>
              <w:rPr>
                <w:rFonts w:ascii="Calibri" w:cs="Calibri" w:eastAsia="Calibri" w:hAnsi="Calibri"/>
                <w:b/>
                <w:bCs/>
                <w:color w:val="1F1F1F"/>
                <w:sz w:val="17"/>
                <w:szCs w:val="17"/>
              </w:rPr>
              <w:t xml:space="preserve">All</w:t>
            </w:r>
          </w:p>
        </w:tc>
        <w:tc>
          <w:tcPr>
            <w:tcW w:type="dxa" w:w="2071"/>
            <w:tcBorders>
              <w:top w:val="single" w:color="404040" w:sz="8"/>
              <w:left w:val="none" w:color="FFFFFF" w:sz="0"/>
              <w:bottom w:val="single" w:color="404040" w:sz="4"/>
              <w:right w:val="none" w:color="FFFFFF" w:sz="0"/>
            </w:tcBorders>
            <w:shd w:fill="F2F2F2" w:color="auto" w:val="clear"/>
            <w:tcMar>
              <w:top w:type="dxa" w:w="30"/>
              <w:left w:type="dxa" w:w="70"/>
              <w:bottom w:type="dxa" w:w="30"/>
              <w:right w:type="dxa" w:w="70"/>
            </w:tcMar>
            <w:vAlign w:val="top"/>
          </w:tcPr>
          <w:p>
            <w:pPr>
              <w:keepNext/>
              <w:spacing w:after="0" w:before="0" w:line="240"/>
              <w:jc w:val="right"/>
            </w:pPr>
            <w:r>
              <w:rPr>
                <w:rFonts w:ascii="Calibri" w:cs="Calibri" w:eastAsia="Calibri" w:hAnsi="Calibri"/>
                <w:b/>
                <w:bCs/>
                <w:color w:val="1F1F1F"/>
                <w:sz w:val="17"/>
                <w:szCs w:val="17"/>
              </w:rPr>
              <w:t xml:space="preserve">Luxury</w:t>
            </w:r>
          </w:p>
        </w:tc>
        <w:tc>
          <w:tcPr>
            <w:tcW w:type="dxa" w:w="2071"/>
            <w:tcBorders>
              <w:top w:val="single" w:color="404040" w:sz="8"/>
              <w:left w:val="none" w:color="FFFFFF" w:sz="0"/>
              <w:bottom w:val="single" w:color="404040" w:sz="4"/>
              <w:right w:val="none" w:color="FFFFFF" w:sz="0"/>
            </w:tcBorders>
            <w:shd w:fill="F2F2F2" w:color="auto" w:val="clear"/>
            <w:tcMar>
              <w:top w:type="dxa" w:w="30"/>
              <w:left w:type="dxa" w:w="70"/>
              <w:bottom w:type="dxa" w:w="30"/>
              <w:right w:type="dxa" w:w="70"/>
            </w:tcMar>
            <w:vAlign w:val="top"/>
          </w:tcPr>
          <w:p>
            <w:pPr>
              <w:keepNext/>
              <w:spacing w:after="0" w:before="0" w:line="240"/>
              <w:jc w:val="right"/>
            </w:pPr>
            <w:r>
              <w:rPr>
                <w:rFonts w:ascii="Calibri" w:cs="Calibri" w:eastAsia="Calibri" w:hAnsi="Calibri"/>
                <w:b/>
                <w:bCs/>
                <w:color w:val="1F1F1F"/>
                <w:sz w:val="17"/>
                <w:szCs w:val="17"/>
              </w:rPr>
              <w:t xml:space="preserve">Non-luxury</w:t>
            </w:r>
          </w:p>
        </w:tc>
      </w:tr>
      <w:tr>
        <w:trPr>
          <w:cantSplit/>
        </w:trPr>
        <w:tc>
          <w:tcPr>
            <w:tcW w:type="dxa" w:w="319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Kms_Driven (≤ 1,000,000 km)</w:t>
            </w:r>
          </w:p>
        </w:tc>
        <w:tc>
          <w:tcPr>
            <w:tcW w:type="dxa" w:w="207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−0.0510</w:t>
            </w:r>
          </w:p>
        </w:tc>
        <w:tc>
          <w:tcPr>
            <w:tcW w:type="dxa" w:w="207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−0.0520</w:t>
            </w:r>
          </w:p>
        </w:tc>
        <w:tc>
          <w:tcPr>
            <w:tcW w:type="dxa" w:w="207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−0.0507</w:t>
            </w:r>
          </w:p>
        </w:tc>
      </w:tr>
      <w:tr>
        <w:trPr>
          <w:cantSplit/>
        </w:trPr>
        <w:tc>
          <w:tcPr>
            <w:tcW w:type="dxa" w:w="319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Horsepower</w:t>
            </w:r>
          </w:p>
        </w:tc>
        <w:tc>
          <w:tcPr>
            <w:tcW w:type="dxa" w:w="207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+0.0328</w:t>
            </w:r>
          </w:p>
        </w:tc>
        <w:tc>
          <w:tcPr>
            <w:tcW w:type="dxa" w:w="207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+0.0362</w:t>
            </w:r>
          </w:p>
        </w:tc>
        <w:tc>
          <w:tcPr>
            <w:tcW w:type="dxa" w:w="207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+0.0318</w:t>
            </w:r>
          </w:p>
        </w:tc>
      </w:tr>
      <w:tr>
        <w:trPr>
          <w:cantSplit/>
        </w:trPr>
        <w:tc>
          <w:tcPr>
            <w:tcW w:type="dxa" w:w="319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Engine_CC</w:t>
            </w:r>
          </w:p>
        </w:tc>
        <w:tc>
          <w:tcPr>
            <w:tcW w:type="dxa" w:w="207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+0.0264</w:t>
            </w:r>
          </w:p>
        </w:tc>
        <w:tc>
          <w:tcPr>
            <w:tcW w:type="dxa" w:w="207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+0.0285</w:t>
            </w:r>
          </w:p>
        </w:tc>
        <w:tc>
          <w:tcPr>
            <w:tcW w:type="dxa" w:w="207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+0.0258</w:t>
            </w:r>
          </w:p>
        </w:tc>
      </w:tr>
      <w:tr>
        <w:trPr>
          <w:cantSplit/>
        </w:trPr>
        <w:tc>
          <w:tcPr>
            <w:tcW w:type="dxa" w:w="319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Tax_Paid</w:t>
            </w:r>
          </w:p>
        </w:tc>
        <w:tc>
          <w:tcPr>
            <w:tcW w:type="dxa" w:w="207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+0.0017</w:t>
            </w:r>
          </w:p>
        </w:tc>
        <w:tc>
          <w:tcPr>
            <w:tcW w:type="dxa" w:w="207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+0.0013</w:t>
            </w:r>
          </w:p>
        </w:tc>
        <w:tc>
          <w:tcPr>
            <w:tcW w:type="dxa" w:w="207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+0.0018</w:t>
            </w:r>
          </w:p>
        </w:tc>
      </w:tr>
      <w:tr>
        <w:trPr>
          <w:cantSplit/>
        </w:trPr>
        <w:tc>
          <w:tcPr>
            <w:tcW w:type="dxa" w:w="319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Number_of_Doors</w:t>
            </w:r>
          </w:p>
        </w:tc>
        <w:tc>
          <w:tcPr>
            <w:tcW w:type="dxa" w:w="207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+0.0007</w:t>
            </w:r>
          </w:p>
        </w:tc>
        <w:tc>
          <w:tcPr>
            <w:tcW w:type="dxa" w:w="207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+0.0018</w:t>
            </w:r>
          </w:p>
        </w:tc>
        <w:tc>
          <w:tcPr>
            <w:tcW w:type="dxa" w:w="207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+0.0003</w:t>
            </w:r>
          </w:p>
        </w:tc>
      </w:tr>
      <w:tr>
        <w:trPr>
          <w:cantSplit/>
        </w:trPr>
        <w:tc>
          <w:tcPr>
            <w:tcW w:type="dxa" w:w="319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Mileage_kmpl</w:t>
            </w:r>
          </w:p>
        </w:tc>
        <w:tc>
          <w:tcPr>
            <w:tcW w:type="dxa" w:w="207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+0.0002</w:t>
            </w:r>
          </w:p>
        </w:tc>
        <w:tc>
          <w:tcPr>
            <w:tcW w:type="dxa" w:w="207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−0.0008</w:t>
            </w:r>
          </w:p>
        </w:tc>
        <w:tc>
          <w:tcPr>
            <w:tcW w:type="dxa" w:w="207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+0.0005</w:t>
            </w:r>
          </w:p>
        </w:tc>
      </w:tr>
      <w:tr>
        <w:trPr>
          <w:cantSplit/>
        </w:trPr>
        <w:tc>
          <w:tcPr>
            <w:tcW w:type="dxa" w:w="319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Registration_Age</w:t>
            </w:r>
          </w:p>
        </w:tc>
        <w:tc>
          <w:tcPr>
            <w:tcW w:type="dxa" w:w="207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+0.0001</w:t>
            </w:r>
          </w:p>
        </w:tc>
        <w:tc>
          <w:tcPr>
            <w:tcW w:type="dxa" w:w="207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−0.0001</w:t>
            </w:r>
          </w:p>
        </w:tc>
        <w:tc>
          <w:tcPr>
            <w:tcW w:type="dxa" w:w="207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+0.0001</w:t>
            </w:r>
          </w:p>
        </w:tc>
      </w:tr>
      <w:tr>
        <w:trPr>
          <w:cantSplit/>
        </w:trPr>
        <w:tc>
          <w:tcPr>
            <w:tcW w:type="dxa" w:w="319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Year</w:t>
            </w:r>
          </w:p>
        </w:tc>
        <w:tc>
          <w:tcPr>
            <w:tcW w:type="dxa" w:w="207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−0.0001</w:t>
            </w:r>
          </w:p>
        </w:tc>
        <w:tc>
          <w:tcPr>
            <w:tcW w:type="dxa" w:w="207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+0.0001</w:t>
            </w:r>
          </w:p>
        </w:tc>
        <w:tc>
          <w:tcPr>
            <w:tcW w:type="dxa" w:w="207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−0.0001</w:t>
            </w:r>
          </w:p>
        </w:tc>
      </w:tr>
      <w:tr>
        <w:trPr>
          <w:cantSplit/>
        </w:trPr>
        <w:tc>
          <w:tcPr>
            <w:tcW w:type="dxa" w:w="319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Insurance_Valid</w:t>
            </w:r>
          </w:p>
        </w:tc>
        <w:tc>
          <w:tcPr>
            <w:tcW w:type="dxa" w:w="207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−0.0002</w:t>
            </w:r>
          </w:p>
        </w:tc>
        <w:tc>
          <w:tcPr>
            <w:tcW w:type="dxa" w:w="207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+0.0044</w:t>
            </w:r>
          </w:p>
        </w:tc>
        <w:tc>
          <w:tcPr>
            <w:tcW w:type="dxa" w:w="207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−0.0016</w:t>
            </w:r>
          </w:p>
        </w:tc>
      </w:tr>
      <w:tr>
        <w:trPr>
          <w:cantSplit/>
        </w:trPr>
        <w:tc>
          <w:tcPr>
            <w:tcW w:type="dxa" w:w="319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Service_History</w:t>
            </w:r>
          </w:p>
        </w:tc>
        <w:tc>
          <w:tcPr>
            <w:tcW w:type="dxa" w:w="207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−0.0003</w:t>
            </w:r>
          </w:p>
        </w:tc>
        <w:tc>
          <w:tcPr>
            <w:tcW w:type="dxa" w:w="207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+0.0002</w:t>
            </w:r>
          </w:p>
        </w:tc>
        <w:tc>
          <w:tcPr>
            <w:tcW w:type="dxa" w:w="207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−0.0004</w:t>
            </w:r>
          </w:p>
        </w:tc>
      </w:tr>
      <w:tr>
        <w:trPr>
          <w:cantSplit/>
        </w:trPr>
        <w:tc>
          <w:tcPr>
            <w:tcW w:type="dxa" w:w="319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Accidents</w:t>
            </w:r>
          </w:p>
        </w:tc>
        <w:tc>
          <w:tcPr>
            <w:tcW w:type="dxa" w:w="207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−0.0003</w:t>
            </w:r>
          </w:p>
        </w:tc>
        <w:tc>
          <w:tcPr>
            <w:tcW w:type="dxa" w:w="207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−0.0007</w:t>
            </w:r>
          </w:p>
        </w:tc>
        <w:tc>
          <w:tcPr>
            <w:tcW w:type="dxa" w:w="207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−0.0002</w:t>
            </w:r>
          </w:p>
        </w:tc>
      </w:tr>
      <w:tr>
        <w:trPr>
          <w:cantSplit/>
        </w:trPr>
        <w:tc>
          <w:tcPr>
            <w:tcW w:type="dxa" w:w="3199"/>
            <w:tcBorders>
              <w:top w:val="none" w:color="FFFFFF" w:sz="0"/>
              <w:left w:val="none" w:color="FFFFFF" w:sz="0"/>
              <w:bottom w:val="single" w:color="404040" w:sz="8"/>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Seats</w:t>
            </w:r>
          </w:p>
        </w:tc>
        <w:tc>
          <w:tcPr>
            <w:tcW w:type="dxa" w:w="2071"/>
            <w:tcBorders>
              <w:top w:val="none" w:color="FFFFFF" w:sz="0"/>
              <w:left w:val="none" w:color="FFFFFF" w:sz="0"/>
              <w:bottom w:val="single" w:color="404040" w:sz="8"/>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−0.0007</w:t>
            </w:r>
          </w:p>
        </w:tc>
        <w:tc>
          <w:tcPr>
            <w:tcW w:type="dxa" w:w="2071"/>
            <w:tcBorders>
              <w:top w:val="none" w:color="FFFFFF" w:sz="0"/>
              <w:left w:val="none" w:color="FFFFFF" w:sz="0"/>
              <w:bottom w:val="single" w:color="404040" w:sz="8"/>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−0.0011</w:t>
            </w:r>
          </w:p>
        </w:tc>
        <w:tc>
          <w:tcPr>
            <w:tcW w:type="dxa" w:w="2071"/>
            <w:tcBorders>
              <w:top w:val="none" w:color="FFFFFF" w:sz="0"/>
              <w:left w:val="none" w:color="FFFFFF" w:sz="0"/>
              <w:bottom w:val="single" w:color="404040" w:sz="8"/>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−0.0006</w:t>
            </w:r>
          </w:p>
        </w:tc>
      </w:tr>
    </w:tbl>
    <w:p>
      <w:pPr>
        <w:spacing w:after="120" w:before="40"/>
      </w:pPr>
      <w:r>
        <w:rPr>
          <w:rFonts w:ascii="Calibri" w:cs="Calibri" w:eastAsia="Calibri" w:hAnsi="Calibri"/>
          <w:color w:val="595959"/>
          <w:sz w:val="15"/>
          <w:szCs w:val="15"/>
        </w:rPr>
        <w:t xml:space="preserve">Source: calculated from Stable Space (2026). Engine_CC and Horsepower are strongly correlated with each other (r = 0.81).</w:t>
      </w:r>
    </w:p>
    <w:p>
      <w:pPr>
        <w:keepNext/>
        <w:spacing w:after="60" w:before="160"/>
      </w:pPr>
      <w:r>
        <w:rPr>
          <w:rFonts w:ascii="Calibri" w:cs="Calibri" w:eastAsia="Calibri" w:hAnsi="Calibri"/>
          <w:b/>
          <w:bCs/>
          <w:i w:val="false"/>
          <w:iCs w:val="false"/>
          <w:sz w:val="18"/>
          <w:szCs w:val="18"/>
        </w:rPr>
        <w:t xml:space="preserve">Table A3</w:t>
      </w:r>
      <w:r>
        <w:rPr>
          <w:rFonts w:ascii="Calibri" w:cs="Calibri" w:eastAsia="Calibri" w:hAnsi="Calibri"/>
          <w:sz w:val="18"/>
          <w:szCs w:val="18"/>
        </w:rPr>
        <w:t xml:space="preserve">  Median Car_Price across categories (INR)</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12"/>
        <w:gridCol w:w="1035"/>
        <w:gridCol w:w="1788"/>
        <w:gridCol w:w="2071"/>
        <w:gridCol w:w="2071"/>
        <w:gridCol w:w="1035"/>
      </w:tblGrid>
      <w:tr>
        <w:trPr>
          <w:cantSplit/>
          <w:tblHeader/>
        </w:trPr>
        <w:tc>
          <w:tcPr>
            <w:tcW w:type="dxa" w:w="1412"/>
            <w:tcBorders>
              <w:top w:val="single" w:color="404040" w:sz="8"/>
              <w:left w:val="none" w:color="FFFFFF" w:sz="0"/>
              <w:bottom w:val="single" w:color="404040" w:sz="4"/>
              <w:right w:val="none" w:color="FFFFFF" w:sz="0"/>
            </w:tcBorders>
            <w:shd w:fill="F2F2F2" w:color="auto" w:val="clear"/>
            <w:tcMar>
              <w:top w:type="dxa" w:w="30"/>
              <w:left w:type="dxa" w:w="70"/>
              <w:bottom w:type="dxa" w:w="30"/>
              <w:right w:type="dxa" w:w="70"/>
            </w:tcMar>
            <w:vAlign w:val="top"/>
          </w:tcPr>
          <w:p>
            <w:pPr>
              <w:keepNext/>
              <w:spacing w:after="0" w:before="0" w:line="240"/>
              <w:jc w:val="left"/>
            </w:pPr>
            <w:r>
              <w:rPr>
                <w:rFonts w:ascii="Calibri" w:cs="Calibri" w:eastAsia="Calibri" w:hAnsi="Calibri"/>
                <w:b/>
                <w:bCs/>
                <w:color w:val="1F1F1F"/>
                <w:sz w:val="17"/>
                <w:szCs w:val="17"/>
              </w:rPr>
              <w:t xml:space="preserve">Field</w:t>
            </w:r>
          </w:p>
        </w:tc>
        <w:tc>
          <w:tcPr>
            <w:tcW w:type="dxa" w:w="1035"/>
            <w:tcBorders>
              <w:top w:val="single" w:color="404040" w:sz="8"/>
              <w:left w:val="none" w:color="FFFFFF" w:sz="0"/>
              <w:bottom w:val="single" w:color="404040" w:sz="4"/>
              <w:right w:val="none" w:color="FFFFFF" w:sz="0"/>
            </w:tcBorders>
            <w:shd w:fill="F2F2F2" w:color="auto" w:val="clear"/>
            <w:tcMar>
              <w:top w:type="dxa" w:w="30"/>
              <w:left w:type="dxa" w:w="70"/>
              <w:bottom w:type="dxa" w:w="30"/>
              <w:right w:type="dxa" w:w="70"/>
            </w:tcMar>
            <w:vAlign w:val="top"/>
          </w:tcPr>
          <w:p>
            <w:pPr>
              <w:keepNext/>
              <w:spacing w:after="0" w:before="0" w:line="240"/>
              <w:jc w:val="left"/>
            </w:pPr>
            <w:r>
              <w:rPr>
                <w:rFonts w:ascii="Calibri" w:cs="Calibri" w:eastAsia="Calibri" w:hAnsi="Calibri"/>
                <w:b/>
                <w:bCs/>
                <w:color w:val="1F1F1F"/>
                <w:sz w:val="17"/>
                <w:szCs w:val="17"/>
              </w:rPr>
              <w:t xml:space="preserve">Categories</w:t>
            </w:r>
          </w:p>
        </w:tc>
        <w:tc>
          <w:tcPr>
            <w:tcW w:type="dxa" w:w="1788"/>
            <w:tcBorders>
              <w:top w:val="single" w:color="404040" w:sz="8"/>
              <w:left w:val="none" w:color="FFFFFF" w:sz="0"/>
              <w:bottom w:val="single" w:color="404040" w:sz="4"/>
              <w:right w:val="none" w:color="FFFFFF" w:sz="0"/>
            </w:tcBorders>
            <w:shd w:fill="F2F2F2" w:color="auto" w:val="clear"/>
            <w:tcMar>
              <w:top w:type="dxa" w:w="30"/>
              <w:left w:type="dxa" w:w="70"/>
              <w:bottom w:type="dxa" w:w="30"/>
              <w:right w:type="dxa" w:w="70"/>
            </w:tcMar>
            <w:vAlign w:val="top"/>
          </w:tcPr>
          <w:p>
            <w:pPr>
              <w:keepNext/>
              <w:spacing w:after="0" w:before="0" w:line="240"/>
              <w:jc w:val="left"/>
            </w:pPr>
            <w:r>
              <w:rPr>
                <w:rFonts w:ascii="Calibri" w:cs="Calibri" w:eastAsia="Calibri" w:hAnsi="Calibri"/>
                <w:b/>
                <w:bCs/>
                <w:color w:val="1F1F1F"/>
                <w:sz w:val="17"/>
                <w:szCs w:val="17"/>
              </w:rPr>
              <w:t xml:space="preserve">Rows per category</w:t>
            </w:r>
          </w:p>
        </w:tc>
        <w:tc>
          <w:tcPr>
            <w:tcW w:type="dxa" w:w="2071"/>
            <w:tcBorders>
              <w:top w:val="single" w:color="404040" w:sz="8"/>
              <w:left w:val="none" w:color="FFFFFF" w:sz="0"/>
              <w:bottom w:val="single" w:color="404040" w:sz="4"/>
              <w:right w:val="none" w:color="FFFFFF" w:sz="0"/>
            </w:tcBorders>
            <w:shd w:fill="F2F2F2" w:color="auto" w:val="clear"/>
            <w:tcMar>
              <w:top w:type="dxa" w:w="30"/>
              <w:left w:type="dxa" w:w="70"/>
              <w:bottom w:type="dxa" w:w="30"/>
              <w:right w:type="dxa" w:w="70"/>
            </w:tcMar>
            <w:vAlign w:val="top"/>
          </w:tcPr>
          <w:p>
            <w:pPr>
              <w:keepNext/>
              <w:spacing w:after="0" w:before="0" w:line="240"/>
              <w:jc w:val="left"/>
            </w:pPr>
            <w:r>
              <w:rPr>
                <w:rFonts w:ascii="Calibri" w:cs="Calibri" w:eastAsia="Calibri" w:hAnsi="Calibri"/>
                <w:b/>
                <w:bCs/>
                <w:color w:val="1F1F1F"/>
                <w:sz w:val="17"/>
                <w:szCs w:val="17"/>
              </w:rPr>
              <w:t xml:space="preserve">Lowest median</w:t>
            </w:r>
          </w:p>
        </w:tc>
        <w:tc>
          <w:tcPr>
            <w:tcW w:type="dxa" w:w="2071"/>
            <w:tcBorders>
              <w:top w:val="single" w:color="404040" w:sz="8"/>
              <w:left w:val="none" w:color="FFFFFF" w:sz="0"/>
              <w:bottom w:val="single" w:color="404040" w:sz="4"/>
              <w:right w:val="none" w:color="FFFFFF" w:sz="0"/>
            </w:tcBorders>
            <w:shd w:fill="F2F2F2" w:color="auto" w:val="clear"/>
            <w:tcMar>
              <w:top w:type="dxa" w:w="30"/>
              <w:left w:type="dxa" w:w="70"/>
              <w:bottom w:type="dxa" w:w="30"/>
              <w:right w:type="dxa" w:w="70"/>
            </w:tcMar>
            <w:vAlign w:val="top"/>
          </w:tcPr>
          <w:p>
            <w:pPr>
              <w:keepNext/>
              <w:spacing w:after="0" w:before="0" w:line="240"/>
              <w:jc w:val="left"/>
            </w:pPr>
            <w:r>
              <w:rPr>
                <w:rFonts w:ascii="Calibri" w:cs="Calibri" w:eastAsia="Calibri" w:hAnsi="Calibri"/>
                <w:b/>
                <w:bCs/>
                <w:color w:val="1F1F1F"/>
                <w:sz w:val="17"/>
                <w:szCs w:val="17"/>
              </w:rPr>
              <w:t xml:space="preserve">Highest median</w:t>
            </w:r>
          </w:p>
        </w:tc>
        <w:tc>
          <w:tcPr>
            <w:tcW w:type="dxa" w:w="1035"/>
            <w:tcBorders>
              <w:top w:val="single" w:color="404040" w:sz="8"/>
              <w:left w:val="none" w:color="FFFFFF" w:sz="0"/>
              <w:bottom w:val="single" w:color="404040" w:sz="4"/>
              <w:right w:val="none" w:color="FFFFFF" w:sz="0"/>
            </w:tcBorders>
            <w:shd w:fill="F2F2F2" w:color="auto" w:val="clear"/>
            <w:tcMar>
              <w:top w:type="dxa" w:w="30"/>
              <w:left w:type="dxa" w:w="70"/>
              <w:bottom w:type="dxa" w:w="30"/>
              <w:right w:type="dxa" w:w="70"/>
            </w:tcMar>
            <w:vAlign w:val="top"/>
          </w:tcPr>
          <w:p>
            <w:pPr>
              <w:keepNext/>
              <w:spacing w:after="0" w:before="0" w:line="240"/>
              <w:jc w:val="right"/>
            </w:pPr>
            <w:r>
              <w:rPr>
                <w:rFonts w:ascii="Calibri" w:cs="Calibri" w:eastAsia="Calibri" w:hAnsi="Calibri"/>
                <w:b/>
                <w:bCs/>
                <w:color w:val="1F1F1F"/>
                <w:sz w:val="17"/>
                <w:szCs w:val="17"/>
              </w:rPr>
              <w:t xml:space="preserve">Spread</w:t>
            </w:r>
          </w:p>
        </w:tc>
      </w:tr>
      <w:tr>
        <w:trPr>
          <w:cantSplit/>
        </w:trPr>
        <w:tc>
          <w:tcPr>
            <w:tcW w:type="dxa" w:w="1412"/>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Fuel_Type</w:t>
            </w:r>
          </w:p>
        </w:tc>
        <w:tc>
          <w:tcPr>
            <w:tcW w:type="dxa" w:w="10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6</w:t>
            </w:r>
          </w:p>
        </w:tc>
        <w:tc>
          <w:tcPr>
            <w:tcW w:type="dxa" w:w="1788"/>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66,793 to 414,245</w:t>
            </w:r>
          </w:p>
        </w:tc>
        <w:tc>
          <w:tcPr>
            <w:tcW w:type="dxa" w:w="207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Hybrid (671,803)</w:t>
            </w:r>
          </w:p>
        </w:tc>
        <w:tc>
          <w:tcPr>
            <w:tcW w:type="dxa" w:w="207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Electric (676,520)</w:t>
            </w:r>
          </w:p>
        </w:tc>
        <w:tc>
          <w:tcPr>
            <w:tcW w:type="dxa" w:w="10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0.70%</w:t>
            </w:r>
          </w:p>
        </w:tc>
      </w:tr>
      <w:tr>
        <w:trPr>
          <w:cantSplit/>
        </w:trPr>
        <w:tc>
          <w:tcPr>
            <w:tcW w:type="dxa" w:w="1412"/>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Transmission</w:t>
            </w:r>
          </w:p>
        </w:tc>
        <w:tc>
          <w:tcPr>
            <w:tcW w:type="dxa" w:w="10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3</w:t>
            </w:r>
          </w:p>
        </w:tc>
        <w:tc>
          <w:tcPr>
            <w:tcW w:type="dxa" w:w="1788"/>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80,385 to 600,630</w:t>
            </w:r>
          </w:p>
        </w:tc>
        <w:tc>
          <w:tcPr>
            <w:tcW w:type="dxa" w:w="207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Manual (672,277)</w:t>
            </w:r>
          </w:p>
        </w:tc>
        <w:tc>
          <w:tcPr>
            <w:tcW w:type="dxa" w:w="207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Unknown (676,611)</w:t>
            </w:r>
          </w:p>
        </w:tc>
        <w:tc>
          <w:tcPr>
            <w:tcW w:type="dxa" w:w="10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0.64%</w:t>
            </w:r>
          </w:p>
        </w:tc>
      </w:tr>
      <w:tr>
        <w:trPr>
          <w:cantSplit/>
        </w:trPr>
        <w:tc>
          <w:tcPr>
            <w:tcW w:type="dxa" w:w="1412"/>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Owner_Type</w:t>
            </w:r>
          </w:p>
        </w:tc>
        <w:tc>
          <w:tcPr>
            <w:tcW w:type="dxa" w:w="10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4</w:t>
            </w:r>
          </w:p>
        </w:tc>
        <w:tc>
          <w:tcPr>
            <w:tcW w:type="dxa" w:w="1788"/>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50,267 to 602,365</w:t>
            </w:r>
          </w:p>
        </w:tc>
        <w:tc>
          <w:tcPr>
            <w:tcW w:type="dxa" w:w="207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Fourth+ (672,954)</w:t>
            </w:r>
          </w:p>
        </w:tc>
        <w:tc>
          <w:tcPr>
            <w:tcW w:type="dxa" w:w="207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First (673,811)</w:t>
            </w:r>
          </w:p>
        </w:tc>
        <w:tc>
          <w:tcPr>
            <w:tcW w:type="dxa" w:w="10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0.13%</w:t>
            </w:r>
          </w:p>
        </w:tc>
      </w:tr>
      <w:tr>
        <w:trPr>
          <w:cantSplit/>
        </w:trPr>
        <w:tc>
          <w:tcPr>
            <w:tcW w:type="dxa" w:w="1412"/>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Color</w:t>
            </w:r>
          </w:p>
        </w:tc>
        <w:tc>
          <w:tcPr>
            <w:tcW w:type="dxa" w:w="10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8</w:t>
            </w:r>
          </w:p>
        </w:tc>
        <w:tc>
          <w:tcPr>
            <w:tcW w:type="dxa" w:w="1788"/>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80,419 to 132,535</w:t>
            </w:r>
          </w:p>
        </w:tc>
        <w:tc>
          <w:tcPr>
            <w:tcW w:type="dxa" w:w="207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Red (671,579)</w:t>
            </w:r>
          </w:p>
        </w:tc>
        <w:tc>
          <w:tcPr>
            <w:tcW w:type="dxa" w:w="207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Unknown (675,846)</w:t>
            </w:r>
          </w:p>
        </w:tc>
        <w:tc>
          <w:tcPr>
            <w:tcW w:type="dxa" w:w="10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0.64%</w:t>
            </w:r>
          </w:p>
        </w:tc>
      </w:tr>
      <w:tr>
        <w:trPr>
          <w:cantSplit/>
        </w:trPr>
        <w:tc>
          <w:tcPr>
            <w:tcW w:type="dxa" w:w="1412"/>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City</w:t>
            </w:r>
          </w:p>
        </w:tc>
        <w:tc>
          <w:tcPr>
            <w:tcW w:type="dxa" w:w="10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9</w:t>
            </w:r>
          </w:p>
        </w:tc>
        <w:tc>
          <w:tcPr>
            <w:tcW w:type="dxa" w:w="1788"/>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80,430 to 115,999</w:t>
            </w:r>
          </w:p>
        </w:tc>
        <w:tc>
          <w:tcPr>
            <w:tcW w:type="dxa" w:w="207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Hyderabad (668,837)</w:t>
            </w:r>
          </w:p>
        </w:tc>
        <w:tc>
          <w:tcPr>
            <w:tcW w:type="dxa" w:w="2071"/>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Unknown (679,097)</w:t>
            </w:r>
          </w:p>
        </w:tc>
        <w:tc>
          <w:tcPr>
            <w:tcW w:type="dxa" w:w="10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1.53%</w:t>
            </w:r>
          </w:p>
        </w:tc>
      </w:tr>
      <w:tr>
        <w:trPr>
          <w:cantSplit/>
        </w:trPr>
        <w:tc>
          <w:tcPr>
            <w:tcW w:type="dxa" w:w="1412"/>
            <w:tcBorders>
              <w:top w:val="none" w:color="FFFFFF" w:sz="0"/>
              <w:left w:val="none" w:color="FFFFFF" w:sz="0"/>
              <w:bottom w:val="single" w:color="404040" w:sz="8"/>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Model</w:t>
            </w:r>
          </w:p>
        </w:tc>
        <w:tc>
          <w:tcPr>
            <w:tcW w:type="dxa" w:w="1035"/>
            <w:tcBorders>
              <w:top w:val="none" w:color="FFFFFF" w:sz="0"/>
              <w:left w:val="none" w:color="FFFFFF" w:sz="0"/>
              <w:bottom w:val="single" w:color="404040" w:sz="8"/>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39</w:t>
            </w:r>
          </w:p>
        </w:tc>
        <w:tc>
          <w:tcPr>
            <w:tcW w:type="dxa" w:w="1788"/>
            <w:tcBorders>
              <w:top w:val="none" w:color="FFFFFF" w:sz="0"/>
              <w:left w:val="none" w:color="FFFFFF" w:sz="0"/>
              <w:bottom w:val="single" w:color="404040" w:sz="8"/>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25,524 to 26,046</w:t>
            </w:r>
          </w:p>
        </w:tc>
        <w:tc>
          <w:tcPr>
            <w:tcW w:type="dxa" w:w="2071"/>
            <w:tcBorders>
              <w:top w:val="none" w:color="FFFFFF" w:sz="0"/>
              <w:left w:val="none" w:color="FFFFFF" w:sz="0"/>
              <w:bottom w:val="single" w:color="404040" w:sz="8"/>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Civic (660,261)</w:t>
            </w:r>
          </w:p>
        </w:tc>
        <w:tc>
          <w:tcPr>
            <w:tcW w:type="dxa" w:w="2071"/>
            <w:tcBorders>
              <w:top w:val="none" w:color="FFFFFF" w:sz="0"/>
              <w:left w:val="none" w:color="FFFFFF" w:sz="0"/>
              <w:bottom w:val="single" w:color="404040" w:sz="8"/>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Seltos (681,372)</w:t>
            </w:r>
          </w:p>
        </w:tc>
        <w:tc>
          <w:tcPr>
            <w:tcW w:type="dxa" w:w="1035"/>
            <w:tcBorders>
              <w:top w:val="none" w:color="FFFFFF" w:sz="0"/>
              <w:left w:val="none" w:color="FFFFFF" w:sz="0"/>
              <w:bottom w:val="single" w:color="404040" w:sz="8"/>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3.20%</w:t>
            </w:r>
          </w:p>
        </w:tc>
      </w:tr>
    </w:tbl>
    <w:p>
      <w:pPr>
        <w:spacing w:after="120" w:before="40"/>
      </w:pPr>
      <w:r>
        <w:rPr>
          <w:rFonts w:ascii="Calibri" w:cs="Calibri" w:eastAsia="Calibri" w:hAnsi="Calibri"/>
          <w:color w:val="595959"/>
          <w:sz w:val="15"/>
          <w:szCs w:val="15"/>
        </w:rPr>
        <w:t xml:space="preserve">Source: calculated from Stable Space (2026). Spread = highest median / lowest median − 1. For 38 of the 39 models, the 95% interval of the median contains the overall median.</w:t>
      </w:r>
    </w:p>
    <w:p>
      <w:pPr>
        <w:keepNext/>
        <w:spacing w:after="60" w:before="160"/>
      </w:pPr>
      <w:r>
        <w:rPr>
          <w:rFonts w:ascii="Calibri" w:cs="Calibri" w:eastAsia="Calibri" w:hAnsi="Calibri"/>
          <w:b/>
          <w:bCs/>
          <w:i w:val="false"/>
          <w:iCs w:val="false"/>
          <w:sz w:val="18"/>
          <w:szCs w:val="18"/>
        </w:rPr>
        <w:t xml:space="preserve">Table A4</w:t>
      </w:r>
      <w:r>
        <w:rPr>
          <w:rFonts w:ascii="Calibri" w:cs="Calibri" w:eastAsia="Calibri" w:hAnsi="Calibri"/>
          <w:sz w:val="18"/>
          <w:szCs w:val="18"/>
        </w:rPr>
        <w:t xml:space="preserve">  Sensitivity of the main results to the cleaning choices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19"/>
        <w:gridCol w:w="1129"/>
        <w:gridCol w:w="1318"/>
        <w:gridCol w:w="1129"/>
        <w:gridCol w:w="1129"/>
        <w:gridCol w:w="1788"/>
      </w:tblGrid>
      <w:tr>
        <w:trPr>
          <w:cantSplit/>
          <w:tblHeader/>
        </w:trPr>
        <w:tc>
          <w:tcPr>
            <w:tcW w:type="dxa" w:w="2919"/>
            <w:tcBorders>
              <w:top w:val="single" w:color="404040" w:sz="8"/>
              <w:left w:val="none" w:color="FFFFFF" w:sz="0"/>
              <w:bottom w:val="single" w:color="404040" w:sz="4"/>
              <w:right w:val="none" w:color="FFFFFF" w:sz="0"/>
            </w:tcBorders>
            <w:shd w:fill="F2F2F2" w:color="auto" w:val="clear"/>
            <w:tcMar>
              <w:top w:type="dxa" w:w="30"/>
              <w:left w:type="dxa" w:w="70"/>
              <w:bottom w:type="dxa" w:w="30"/>
              <w:right w:type="dxa" w:w="70"/>
            </w:tcMar>
            <w:vAlign w:val="top"/>
          </w:tcPr>
          <w:p>
            <w:pPr>
              <w:keepNext/>
              <w:spacing w:after="0" w:before="0" w:line="240"/>
              <w:jc w:val="left"/>
            </w:pPr>
            <w:r>
              <w:rPr>
                <w:rFonts w:ascii="Calibri" w:cs="Calibri" w:eastAsia="Calibri" w:hAnsi="Calibri"/>
                <w:b/>
                <w:bCs/>
                <w:color w:val="1F1F1F"/>
                <w:sz w:val="17"/>
                <w:szCs w:val="17"/>
              </w:rPr>
              <w:t xml:space="preserve">Scenario</w:t>
            </w:r>
          </w:p>
        </w:tc>
        <w:tc>
          <w:tcPr>
            <w:tcW w:type="dxa" w:w="1129"/>
            <w:tcBorders>
              <w:top w:val="single" w:color="404040" w:sz="8"/>
              <w:left w:val="none" w:color="FFFFFF" w:sz="0"/>
              <w:bottom w:val="single" w:color="404040" w:sz="4"/>
              <w:right w:val="none" w:color="FFFFFF" w:sz="0"/>
            </w:tcBorders>
            <w:shd w:fill="F2F2F2" w:color="auto" w:val="clear"/>
            <w:tcMar>
              <w:top w:type="dxa" w:w="30"/>
              <w:left w:type="dxa" w:w="70"/>
              <w:bottom w:type="dxa" w:w="30"/>
              <w:right w:type="dxa" w:w="70"/>
            </w:tcMar>
            <w:vAlign w:val="top"/>
          </w:tcPr>
          <w:p>
            <w:pPr>
              <w:keepNext/>
              <w:spacing w:after="0" w:before="0" w:line="240"/>
              <w:jc w:val="right"/>
            </w:pPr>
            <w:r>
              <w:rPr>
                <w:rFonts w:ascii="Calibri" w:cs="Calibri" w:eastAsia="Calibri" w:hAnsi="Calibri"/>
                <w:b/>
                <w:bCs/>
                <w:color w:val="1F1F1F"/>
                <w:sz w:val="17"/>
                <w:szCs w:val="17"/>
              </w:rPr>
              <w:t xml:space="preserve">Rows</w:t>
            </w:r>
          </w:p>
        </w:tc>
        <w:tc>
          <w:tcPr>
            <w:tcW w:type="dxa" w:w="1318"/>
            <w:tcBorders>
              <w:top w:val="single" w:color="404040" w:sz="8"/>
              <w:left w:val="none" w:color="FFFFFF" w:sz="0"/>
              <w:bottom w:val="single" w:color="404040" w:sz="4"/>
              <w:right w:val="none" w:color="FFFFFF" w:sz="0"/>
            </w:tcBorders>
            <w:shd w:fill="F2F2F2" w:color="auto" w:val="clear"/>
            <w:tcMar>
              <w:top w:type="dxa" w:w="30"/>
              <w:left w:type="dxa" w:w="70"/>
              <w:bottom w:type="dxa" w:w="30"/>
              <w:right w:type="dxa" w:w="70"/>
            </w:tcMar>
            <w:vAlign w:val="top"/>
          </w:tcPr>
          <w:p>
            <w:pPr>
              <w:keepNext/>
              <w:spacing w:after="0" w:before="0" w:line="240"/>
              <w:jc w:val="right"/>
            </w:pPr>
            <w:r>
              <w:rPr>
                <w:rFonts w:ascii="Calibri" w:cs="Calibri" w:eastAsia="Calibri" w:hAnsi="Calibri"/>
                <w:b/>
                <w:bCs/>
                <w:color w:val="1F1F1F"/>
                <w:sz w:val="17"/>
                <w:szCs w:val="17"/>
              </w:rPr>
              <w:t xml:space="preserve">Median price (INR)</w:t>
            </w:r>
          </w:p>
        </w:tc>
        <w:tc>
          <w:tcPr>
            <w:tcW w:type="dxa" w:w="1129"/>
            <w:tcBorders>
              <w:top w:val="single" w:color="404040" w:sz="8"/>
              <w:left w:val="none" w:color="FFFFFF" w:sz="0"/>
              <w:bottom w:val="single" w:color="404040" w:sz="4"/>
              <w:right w:val="none" w:color="FFFFFF" w:sz="0"/>
            </w:tcBorders>
            <w:shd w:fill="F2F2F2" w:color="auto" w:val="clear"/>
            <w:tcMar>
              <w:top w:type="dxa" w:w="30"/>
              <w:left w:type="dxa" w:w="70"/>
              <w:bottom w:type="dxa" w:w="30"/>
              <w:right w:type="dxa" w:w="70"/>
            </w:tcMar>
            <w:vAlign w:val="top"/>
          </w:tcPr>
          <w:p>
            <w:pPr>
              <w:keepNext/>
              <w:spacing w:after="0" w:before="0" w:line="240"/>
              <w:jc w:val="right"/>
            </w:pPr>
            <w:r>
              <w:rPr>
                <w:rFonts w:ascii="Calibri" w:cs="Calibri" w:eastAsia="Calibri" w:hAnsi="Calibri"/>
                <w:b/>
                <w:bCs/>
                <w:color w:val="1F1F1F"/>
                <w:sz w:val="17"/>
                <w:szCs w:val="17"/>
              </w:rPr>
              <w:t xml:space="preserve">r (age)</w:t>
            </w:r>
          </w:p>
        </w:tc>
        <w:tc>
          <w:tcPr>
            <w:tcW w:type="dxa" w:w="1129"/>
            <w:tcBorders>
              <w:top w:val="single" w:color="404040" w:sz="8"/>
              <w:left w:val="none" w:color="FFFFFF" w:sz="0"/>
              <w:bottom w:val="single" w:color="404040" w:sz="4"/>
              <w:right w:val="none" w:color="FFFFFF" w:sz="0"/>
            </w:tcBorders>
            <w:shd w:fill="F2F2F2" w:color="auto" w:val="clear"/>
            <w:tcMar>
              <w:top w:type="dxa" w:w="30"/>
              <w:left w:type="dxa" w:w="70"/>
              <w:bottom w:type="dxa" w:w="30"/>
              <w:right w:type="dxa" w:w="70"/>
            </w:tcMar>
            <w:vAlign w:val="top"/>
          </w:tcPr>
          <w:p>
            <w:pPr>
              <w:keepNext/>
              <w:spacing w:after="0" w:before="0" w:line="240"/>
              <w:jc w:val="right"/>
            </w:pPr>
            <w:r>
              <w:rPr>
                <w:rFonts w:ascii="Calibri" w:cs="Calibri" w:eastAsia="Calibri" w:hAnsi="Calibri"/>
                <w:b/>
                <w:bCs/>
                <w:color w:val="1F1F1F"/>
                <w:sz w:val="17"/>
                <w:szCs w:val="17"/>
              </w:rPr>
              <w:t xml:space="preserve">r (km)</w:t>
            </w:r>
          </w:p>
        </w:tc>
        <w:tc>
          <w:tcPr>
            <w:tcW w:type="dxa" w:w="1788"/>
            <w:tcBorders>
              <w:top w:val="single" w:color="404040" w:sz="8"/>
              <w:left w:val="none" w:color="FFFFFF" w:sz="0"/>
              <w:bottom w:val="single" w:color="404040" w:sz="4"/>
              <w:right w:val="none" w:color="FFFFFF" w:sz="0"/>
            </w:tcBorders>
            <w:shd w:fill="F2F2F2" w:color="auto" w:val="clear"/>
            <w:tcMar>
              <w:top w:type="dxa" w:w="30"/>
              <w:left w:type="dxa" w:w="70"/>
              <w:bottom w:type="dxa" w:w="30"/>
              <w:right w:type="dxa" w:w="70"/>
            </w:tcMar>
            <w:vAlign w:val="top"/>
          </w:tcPr>
          <w:p>
            <w:pPr>
              <w:keepNext/>
              <w:spacing w:after="0" w:before="0" w:line="240"/>
              <w:jc w:val="right"/>
            </w:pPr>
            <w:r>
              <w:rPr>
                <w:rFonts w:ascii="Calibri" w:cs="Calibri" w:eastAsia="Calibri" w:hAnsi="Calibri"/>
                <w:b/>
                <w:bCs/>
                <w:color w:val="1F1F1F"/>
                <w:sz w:val="17"/>
                <w:szCs w:val="17"/>
              </w:rPr>
              <w:t xml:space="preserve">Luxury median gap</w:t>
            </w:r>
          </w:p>
        </w:tc>
      </w:tr>
      <w:tr>
        <w:trPr>
          <w:cantSplit/>
        </w:trPr>
        <w:tc>
          <w:tcPr>
            <w:tcW w:type="dxa" w:w="291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All rows</w:t>
            </w:r>
          </w:p>
        </w:tc>
        <w:tc>
          <w:tcPr>
            <w:tcW w:type="dxa" w:w="112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1,005,000</w:t>
            </w:r>
          </w:p>
        </w:tc>
        <w:tc>
          <w:tcPr>
            <w:tcW w:type="dxa" w:w="1318"/>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673,522</w:t>
            </w:r>
          </w:p>
        </w:tc>
        <w:tc>
          <w:tcPr>
            <w:tcW w:type="dxa" w:w="112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+0.00007</w:t>
            </w:r>
          </w:p>
        </w:tc>
        <w:tc>
          <w:tcPr>
            <w:tcW w:type="dxa" w:w="112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−0.0510</w:t>
            </w:r>
          </w:p>
        </w:tc>
        <w:tc>
          <w:tcPr>
            <w:tcW w:type="dxa" w:w="1788"/>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−0.17%</w:t>
            </w:r>
          </w:p>
        </w:tc>
      </w:tr>
      <w:tr>
        <w:trPr>
          <w:cantSplit/>
        </w:trPr>
        <w:tc>
          <w:tcPr>
            <w:tcW w:type="dxa" w:w="291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Without rows containing Unknown</w:t>
            </w:r>
          </w:p>
        </w:tc>
        <w:tc>
          <w:tcPr>
            <w:tcW w:type="dxa" w:w="112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721,352</w:t>
            </w:r>
          </w:p>
        </w:tc>
        <w:tc>
          <w:tcPr>
            <w:tcW w:type="dxa" w:w="1318"/>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672,595</w:t>
            </w:r>
          </w:p>
        </w:tc>
        <w:tc>
          <w:tcPr>
            <w:tcW w:type="dxa" w:w="112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+0.00057</w:t>
            </w:r>
          </w:p>
        </w:tc>
        <w:tc>
          <w:tcPr>
            <w:tcW w:type="dxa" w:w="112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−0.0516</w:t>
            </w:r>
          </w:p>
        </w:tc>
        <w:tc>
          <w:tcPr>
            <w:tcW w:type="dxa" w:w="1788"/>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+0.14%</w:t>
            </w:r>
          </w:p>
        </w:tc>
      </w:tr>
      <w:tr>
        <w:trPr>
          <w:cantSplit/>
        </w:trPr>
        <w:tc>
          <w:tcPr>
            <w:tcW w:type="dxa" w:w="291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Without the 3 extreme prices</w:t>
            </w:r>
          </w:p>
        </w:tc>
        <w:tc>
          <w:tcPr>
            <w:tcW w:type="dxa" w:w="112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1,004,997</w:t>
            </w:r>
          </w:p>
        </w:tc>
        <w:tc>
          <w:tcPr>
            <w:tcW w:type="dxa" w:w="1318"/>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673,521</w:t>
            </w:r>
          </w:p>
        </w:tc>
        <w:tc>
          <w:tcPr>
            <w:tcW w:type="dxa" w:w="112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−0.00002</w:t>
            </w:r>
          </w:p>
        </w:tc>
        <w:tc>
          <w:tcPr>
            <w:tcW w:type="dxa" w:w="112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−0.0513</w:t>
            </w:r>
          </w:p>
        </w:tc>
        <w:tc>
          <w:tcPr>
            <w:tcW w:type="dxa" w:w="1788"/>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−0.17%</w:t>
            </w:r>
          </w:p>
        </w:tc>
      </w:tr>
      <w:tr>
        <w:trPr>
          <w:cantSplit/>
        </w:trPr>
        <w:tc>
          <w:tcPr>
            <w:tcW w:type="dxa" w:w="291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First row of each 15-field match only</w:t>
            </w:r>
          </w:p>
        </w:tc>
        <w:tc>
          <w:tcPr>
            <w:tcW w:type="dxa" w:w="112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975,360</w:t>
            </w:r>
          </w:p>
        </w:tc>
        <w:tc>
          <w:tcPr>
            <w:tcW w:type="dxa" w:w="1318"/>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673,436</w:t>
            </w:r>
          </w:p>
        </w:tc>
        <w:tc>
          <w:tcPr>
            <w:tcW w:type="dxa" w:w="112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
            </w:r>
          </w:p>
        </w:tc>
        <w:tc>
          <w:tcPr>
            <w:tcW w:type="dxa" w:w="112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
            </w:r>
          </w:p>
        </w:tc>
        <w:tc>
          <w:tcPr>
            <w:tcW w:type="dxa" w:w="1788"/>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−0.19%</w:t>
            </w:r>
          </w:p>
        </w:tc>
      </w:tr>
      <w:tr>
        <w:trPr>
          <w:cantSplit/>
        </w:trPr>
        <w:tc>
          <w:tcPr>
            <w:tcW w:type="dxa" w:w="291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Kms cap 500,000</w:t>
            </w:r>
          </w:p>
        </w:tc>
        <w:tc>
          <w:tcPr>
            <w:tcW w:type="dxa" w:w="112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947,751</w:t>
            </w:r>
          </w:p>
        </w:tc>
        <w:tc>
          <w:tcPr>
            <w:tcW w:type="dxa" w:w="1318"/>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
            </w:r>
          </w:p>
        </w:tc>
        <w:tc>
          <w:tcPr>
            <w:tcW w:type="dxa" w:w="112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
            </w:r>
          </w:p>
        </w:tc>
        <w:tc>
          <w:tcPr>
            <w:tcW w:type="dxa" w:w="112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−0.0487</w:t>
            </w:r>
          </w:p>
        </w:tc>
        <w:tc>
          <w:tcPr>
            <w:tcW w:type="dxa" w:w="1788"/>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
            </w:r>
          </w:p>
        </w:tc>
      </w:tr>
      <w:tr>
        <w:trPr>
          <w:cantSplit/>
        </w:trPr>
        <w:tc>
          <w:tcPr>
            <w:tcW w:type="dxa" w:w="291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Kms cap 750,000</w:t>
            </w:r>
          </w:p>
        </w:tc>
        <w:tc>
          <w:tcPr>
            <w:tcW w:type="dxa" w:w="112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987,792</w:t>
            </w:r>
          </w:p>
        </w:tc>
        <w:tc>
          <w:tcPr>
            <w:tcW w:type="dxa" w:w="1318"/>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
            </w:r>
          </w:p>
        </w:tc>
        <w:tc>
          <w:tcPr>
            <w:tcW w:type="dxa" w:w="112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
            </w:r>
          </w:p>
        </w:tc>
        <w:tc>
          <w:tcPr>
            <w:tcW w:type="dxa" w:w="112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−0.0503</w:t>
            </w:r>
          </w:p>
        </w:tc>
        <w:tc>
          <w:tcPr>
            <w:tcW w:type="dxa" w:w="1788"/>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
            </w:r>
          </w:p>
        </w:tc>
      </w:tr>
      <w:tr>
        <w:trPr>
          <w:cantSplit/>
        </w:trPr>
        <w:tc>
          <w:tcPr>
            <w:tcW w:type="dxa" w:w="291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Kms cap 1,500,000</w:t>
            </w:r>
          </w:p>
        </w:tc>
        <w:tc>
          <w:tcPr>
            <w:tcW w:type="dxa" w:w="112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1,003,790</w:t>
            </w:r>
          </w:p>
        </w:tc>
        <w:tc>
          <w:tcPr>
            <w:tcW w:type="dxa" w:w="1318"/>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
            </w:r>
          </w:p>
        </w:tc>
        <w:tc>
          <w:tcPr>
            <w:tcW w:type="dxa" w:w="112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
            </w:r>
          </w:p>
        </w:tc>
        <w:tc>
          <w:tcPr>
            <w:tcW w:type="dxa" w:w="112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−0.0507</w:t>
            </w:r>
          </w:p>
        </w:tc>
        <w:tc>
          <w:tcPr>
            <w:tcW w:type="dxa" w:w="1788"/>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
            </w:r>
          </w:p>
        </w:tc>
      </w:tr>
      <w:tr>
        <w:trPr>
          <w:cantSplit/>
        </w:trPr>
        <w:tc>
          <w:tcPr>
            <w:tcW w:type="dxa" w:w="2919"/>
            <w:tcBorders>
              <w:top w:val="none" w:color="FFFFFF" w:sz="0"/>
              <w:left w:val="none" w:color="FFFFFF" w:sz="0"/>
              <w:bottom w:val="single" w:color="404040" w:sz="8"/>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No kms cap</w:t>
            </w:r>
          </w:p>
        </w:tc>
        <w:tc>
          <w:tcPr>
            <w:tcW w:type="dxa" w:w="1129"/>
            <w:tcBorders>
              <w:top w:val="none" w:color="FFFFFF" w:sz="0"/>
              <w:left w:val="none" w:color="FFFFFF" w:sz="0"/>
              <w:bottom w:val="single" w:color="404040" w:sz="8"/>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1,005,000</w:t>
            </w:r>
          </w:p>
        </w:tc>
        <w:tc>
          <w:tcPr>
            <w:tcW w:type="dxa" w:w="1318"/>
            <w:tcBorders>
              <w:top w:val="none" w:color="FFFFFF" w:sz="0"/>
              <w:left w:val="none" w:color="FFFFFF" w:sz="0"/>
              <w:bottom w:val="single" w:color="404040" w:sz="8"/>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
            </w:r>
          </w:p>
        </w:tc>
        <w:tc>
          <w:tcPr>
            <w:tcW w:type="dxa" w:w="1129"/>
            <w:tcBorders>
              <w:top w:val="none" w:color="FFFFFF" w:sz="0"/>
              <w:left w:val="none" w:color="FFFFFF" w:sz="0"/>
              <w:bottom w:val="single" w:color="404040" w:sz="8"/>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
            </w:r>
          </w:p>
        </w:tc>
        <w:tc>
          <w:tcPr>
            <w:tcW w:type="dxa" w:w="1129"/>
            <w:tcBorders>
              <w:top w:val="none" w:color="FFFFFF" w:sz="0"/>
              <w:left w:val="none" w:color="FFFFFF" w:sz="0"/>
              <w:bottom w:val="single" w:color="404040" w:sz="8"/>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−0.0493</w:t>
            </w:r>
          </w:p>
        </w:tc>
        <w:tc>
          <w:tcPr>
            <w:tcW w:type="dxa" w:w="1788"/>
            <w:tcBorders>
              <w:top w:val="none" w:color="FFFFFF" w:sz="0"/>
              <w:left w:val="none" w:color="FFFFFF" w:sz="0"/>
              <w:bottom w:val="single" w:color="404040" w:sz="8"/>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
            </w:r>
          </w:p>
        </w:tc>
      </w:tr>
    </w:tbl>
    <w:p>
      <w:pPr>
        <w:spacing w:after="120" w:before="40"/>
      </w:pPr>
      <w:r>
        <w:rPr>
          <w:rFonts w:ascii="Calibri" w:cs="Calibri" w:eastAsia="Calibri" w:hAnsi="Calibri"/>
          <w:color w:val="595959"/>
          <w:sz w:val="15"/>
          <w:szCs w:val="15"/>
        </w:rPr>
        <w:t xml:space="preserve">Source: calculated from Stable Space (2026). The duplicate scenario uses a sorted copy holding only price and segment.</w:t>
      </w:r>
    </w:p>
    <w:p>
      <w:pPr>
        <w:keepNext/>
        <w:spacing w:after="60" w:before="160"/>
      </w:pPr>
      <w:r>
        <w:rPr>
          <w:rFonts w:ascii="Calibri" w:cs="Calibri" w:eastAsia="Calibri" w:hAnsi="Calibri"/>
          <w:b/>
          <w:bCs/>
          <w:i w:val="false"/>
          <w:iCs w:val="false"/>
          <w:sz w:val="18"/>
          <w:szCs w:val="18"/>
        </w:rPr>
        <w:t xml:space="preserve">Table A5</w:t>
      </w:r>
      <w:r>
        <w:rPr>
          <w:rFonts w:ascii="Calibri" w:cs="Calibri" w:eastAsia="Calibri" w:hAnsi="Calibri"/>
          <w:sz w:val="18"/>
          <w:szCs w:val="18"/>
        </w:rPr>
        <w:t xml:space="preserve">  Car_Price bands by Kms_Driven decile (INR; listings with Kms_Driven ≤ 1,000,000)</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49"/>
        <w:gridCol w:w="2259"/>
        <w:gridCol w:w="1035"/>
        <w:gridCol w:w="1035"/>
        <w:gridCol w:w="1035"/>
        <w:gridCol w:w="1129"/>
        <w:gridCol w:w="1035"/>
        <w:gridCol w:w="1035"/>
      </w:tblGrid>
      <w:tr>
        <w:trPr>
          <w:cantSplit/>
          <w:tblHeader/>
        </w:trPr>
        <w:tc>
          <w:tcPr>
            <w:tcW w:type="dxa" w:w="849"/>
            <w:tcBorders>
              <w:top w:val="single" w:color="404040" w:sz="8"/>
              <w:left w:val="none" w:color="FFFFFF" w:sz="0"/>
              <w:bottom w:val="single" w:color="404040" w:sz="4"/>
              <w:right w:val="none" w:color="FFFFFF" w:sz="0"/>
            </w:tcBorders>
            <w:shd w:fill="F2F2F2" w:color="auto" w:val="clear"/>
            <w:tcMar>
              <w:top w:type="dxa" w:w="30"/>
              <w:left w:type="dxa" w:w="70"/>
              <w:bottom w:type="dxa" w:w="30"/>
              <w:right w:type="dxa" w:w="70"/>
            </w:tcMar>
            <w:vAlign w:val="top"/>
          </w:tcPr>
          <w:p>
            <w:pPr>
              <w:keepNext/>
              <w:spacing w:after="0" w:before="0" w:line="240"/>
              <w:jc w:val="left"/>
            </w:pPr>
            <w:r>
              <w:rPr>
                <w:rFonts w:ascii="Calibri" w:cs="Calibri" w:eastAsia="Calibri" w:hAnsi="Calibri"/>
                <w:b/>
                <w:bCs/>
                <w:color w:val="1F1F1F"/>
                <w:sz w:val="17"/>
                <w:szCs w:val="17"/>
              </w:rPr>
              <w:t xml:space="preserve">Decile</w:t>
            </w:r>
          </w:p>
        </w:tc>
        <w:tc>
          <w:tcPr>
            <w:tcW w:type="dxa" w:w="2259"/>
            <w:tcBorders>
              <w:top w:val="single" w:color="404040" w:sz="8"/>
              <w:left w:val="none" w:color="FFFFFF" w:sz="0"/>
              <w:bottom w:val="single" w:color="404040" w:sz="4"/>
              <w:right w:val="none" w:color="FFFFFF" w:sz="0"/>
            </w:tcBorders>
            <w:shd w:fill="F2F2F2" w:color="auto" w:val="clear"/>
            <w:tcMar>
              <w:top w:type="dxa" w:w="30"/>
              <w:left w:type="dxa" w:w="70"/>
              <w:bottom w:type="dxa" w:w="30"/>
              <w:right w:type="dxa" w:w="70"/>
            </w:tcMar>
            <w:vAlign w:val="top"/>
          </w:tcPr>
          <w:p>
            <w:pPr>
              <w:keepNext/>
              <w:spacing w:after="0" w:before="0" w:line="240"/>
              <w:jc w:val="left"/>
            </w:pPr>
            <w:r>
              <w:rPr>
                <w:rFonts w:ascii="Calibri" w:cs="Calibri" w:eastAsia="Calibri" w:hAnsi="Calibri"/>
                <w:b/>
                <w:bCs/>
                <w:color w:val="1F1F1F"/>
                <w:sz w:val="17"/>
                <w:szCs w:val="17"/>
              </w:rPr>
              <w:t xml:space="preserve">Kms_Driven (km)</w:t>
            </w:r>
          </w:p>
        </w:tc>
        <w:tc>
          <w:tcPr>
            <w:tcW w:type="dxa" w:w="1035"/>
            <w:tcBorders>
              <w:top w:val="single" w:color="404040" w:sz="8"/>
              <w:left w:val="none" w:color="FFFFFF" w:sz="0"/>
              <w:bottom w:val="single" w:color="404040" w:sz="4"/>
              <w:right w:val="none" w:color="FFFFFF" w:sz="0"/>
            </w:tcBorders>
            <w:shd w:fill="F2F2F2" w:color="auto" w:val="clear"/>
            <w:tcMar>
              <w:top w:type="dxa" w:w="30"/>
              <w:left w:type="dxa" w:w="70"/>
              <w:bottom w:type="dxa" w:w="30"/>
              <w:right w:type="dxa" w:w="70"/>
            </w:tcMar>
            <w:vAlign w:val="top"/>
          </w:tcPr>
          <w:p>
            <w:pPr>
              <w:keepNext/>
              <w:spacing w:after="0" w:before="0" w:line="240"/>
              <w:jc w:val="right"/>
            </w:pPr>
            <w:r>
              <w:rPr>
                <w:rFonts w:ascii="Calibri" w:cs="Calibri" w:eastAsia="Calibri" w:hAnsi="Calibri"/>
                <w:b/>
                <w:bCs/>
                <w:color w:val="1F1F1F"/>
                <w:sz w:val="17"/>
                <w:szCs w:val="17"/>
              </w:rPr>
              <w:t xml:space="preserve">n</w:t>
            </w:r>
          </w:p>
        </w:tc>
        <w:tc>
          <w:tcPr>
            <w:tcW w:type="dxa" w:w="1035"/>
            <w:tcBorders>
              <w:top w:val="single" w:color="404040" w:sz="8"/>
              <w:left w:val="none" w:color="FFFFFF" w:sz="0"/>
              <w:bottom w:val="single" w:color="404040" w:sz="4"/>
              <w:right w:val="none" w:color="FFFFFF" w:sz="0"/>
            </w:tcBorders>
            <w:shd w:fill="F2F2F2" w:color="auto" w:val="clear"/>
            <w:tcMar>
              <w:top w:type="dxa" w:w="30"/>
              <w:left w:type="dxa" w:w="70"/>
              <w:bottom w:type="dxa" w:w="30"/>
              <w:right w:type="dxa" w:w="70"/>
            </w:tcMar>
            <w:vAlign w:val="top"/>
          </w:tcPr>
          <w:p>
            <w:pPr>
              <w:keepNext/>
              <w:spacing w:after="0" w:before="0" w:line="240"/>
              <w:jc w:val="right"/>
            </w:pPr>
            <w:r>
              <w:rPr>
                <w:rFonts w:ascii="Calibri" w:cs="Calibri" w:eastAsia="Calibri" w:hAnsi="Calibri"/>
                <w:b/>
                <w:bCs/>
                <w:color w:val="1F1F1F"/>
                <w:sz w:val="17"/>
                <w:szCs w:val="17"/>
              </w:rPr>
              <w:t xml:space="preserve">P5</w:t>
            </w:r>
          </w:p>
        </w:tc>
        <w:tc>
          <w:tcPr>
            <w:tcW w:type="dxa" w:w="1035"/>
            <w:tcBorders>
              <w:top w:val="single" w:color="404040" w:sz="8"/>
              <w:left w:val="none" w:color="FFFFFF" w:sz="0"/>
              <w:bottom w:val="single" w:color="404040" w:sz="4"/>
              <w:right w:val="none" w:color="FFFFFF" w:sz="0"/>
            </w:tcBorders>
            <w:shd w:fill="F2F2F2" w:color="auto" w:val="clear"/>
            <w:tcMar>
              <w:top w:type="dxa" w:w="30"/>
              <w:left w:type="dxa" w:w="70"/>
              <w:bottom w:type="dxa" w:w="30"/>
              <w:right w:type="dxa" w:w="70"/>
            </w:tcMar>
            <w:vAlign w:val="top"/>
          </w:tcPr>
          <w:p>
            <w:pPr>
              <w:keepNext/>
              <w:spacing w:after="0" w:before="0" w:line="240"/>
              <w:jc w:val="right"/>
            </w:pPr>
            <w:r>
              <w:rPr>
                <w:rFonts w:ascii="Calibri" w:cs="Calibri" w:eastAsia="Calibri" w:hAnsi="Calibri"/>
                <w:b/>
                <w:bCs/>
                <w:color w:val="1F1F1F"/>
                <w:sz w:val="17"/>
                <w:szCs w:val="17"/>
              </w:rPr>
              <w:t xml:space="preserve">Q1</w:t>
            </w:r>
          </w:p>
        </w:tc>
        <w:tc>
          <w:tcPr>
            <w:tcW w:type="dxa" w:w="1129"/>
            <w:tcBorders>
              <w:top w:val="single" w:color="404040" w:sz="8"/>
              <w:left w:val="none" w:color="FFFFFF" w:sz="0"/>
              <w:bottom w:val="single" w:color="404040" w:sz="4"/>
              <w:right w:val="none" w:color="FFFFFF" w:sz="0"/>
            </w:tcBorders>
            <w:shd w:fill="F2F2F2" w:color="auto" w:val="clear"/>
            <w:tcMar>
              <w:top w:type="dxa" w:w="30"/>
              <w:left w:type="dxa" w:w="70"/>
              <w:bottom w:type="dxa" w:w="30"/>
              <w:right w:type="dxa" w:w="70"/>
            </w:tcMar>
            <w:vAlign w:val="top"/>
          </w:tcPr>
          <w:p>
            <w:pPr>
              <w:keepNext/>
              <w:spacing w:after="0" w:before="0" w:line="240"/>
              <w:jc w:val="right"/>
            </w:pPr>
            <w:r>
              <w:rPr>
                <w:rFonts w:ascii="Calibri" w:cs="Calibri" w:eastAsia="Calibri" w:hAnsi="Calibri"/>
                <w:b/>
                <w:bCs/>
                <w:color w:val="1F1F1F"/>
                <w:sz w:val="17"/>
                <w:szCs w:val="17"/>
              </w:rPr>
              <w:t xml:space="preserve">Median</w:t>
            </w:r>
          </w:p>
        </w:tc>
        <w:tc>
          <w:tcPr>
            <w:tcW w:type="dxa" w:w="1035"/>
            <w:tcBorders>
              <w:top w:val="single" w:color="404040" w:sz="8"/>
              <w:left w:val="none" w:color="FFFFFF" w:sz="0"/>
              <w:bottom w:val="single" w:color="404040" w:sz="4"/>
              <w:right w:val="none" w:color="FFFFFF" w:sz="0"/>
            </w:tcBorders>
            <w:shd w:fill="F2F2F2" w:color="auto" w:val="clear"/>
            <w:tcMar>
              <w:top w:type="dxa" w:w="30"/>
              <w:left w:type="dxa" w:w="70"/>
              <w:bottom w:type="dxa" w:w="30"/>
              <w:right w:type="dxa" w:w="70"/>
            </w:tcMar>
            <w:vAlign w:val="top"/>
          </w:tcPr>
          <w:p>
            <w:pPr>
              <w:keepNext/>
              <w:spacing w:after="0" w:before="0" w:line="240"/>
              <w:jc w:val="right"/>
            </w:pPr>
            <w:r>
              <w:rPr>
                <w:rFonts w:ascii="Calibri" w:cs="Calibri" w:eastAsia="Calibri" w:hAnsi="Calibri"/>
                <w:b/>
                <w:bCs/>
                <w:color w:val="1F1F1F"/>
                <w:sz w:val="17"/>
                <w:szCs w:val="17"/>
              </w:rPr>
              <w:t xml:space="preserve">Q3</w:t>
            </w:r>
          </w:p>
        </w:tc>
        <w:tc>
          <w:tcPr>
            <w:tcW w:type="dxa" w:w="1035"/>
            <w:tcBorders>
              <w:top w:val="single" w:color="404040" w:sz="8"/>
              <w:left w:val="none" w:color="FFFFFF" w:sz="0"/>
              <w:bottom w:val="single" w:color="404040" w:sz="4"/>
              <w:right w:val="none" w:color="FFFFFF" w:sz="0"/>
            </w:tcBorders>
            <w:shd w:fill="F2F2F2" w:color="auto" w:val="clear"/>
            <w:tcMar>
              <w:top w:type="dxa" w:w="30"/>
              <w:left w:type="dxa" w:w="70"/>
              <w:bottom w:type="dxa" w:w="30"/>
              <w:right w:type="dxa" w:w="70"/>
            </w:tcMar>
            <w:vAlign w:val="top"/>
          </w:tcPr>
          <w:p>
            <w:pPr>
              <w:keepNext/>
              <w:spacing w:after="0" w:before="0" w:line="240"/>
              <w:jc w:val="right"/>
            </w:pPr>
            <w:r>
              <w:rPr>
                <w:rFonts w:ascii="Calibri" w:cs="Calibri" w:eastAsia="Calibri" w:hAnsi="Calibri"/>
                <w:b/>
                <w:bCs/>
                <w:color w:val="1F1F1F"/>
                <w:sz w:val="17"/>
                <w:szCs w:val="17"/>
              </w:rPr>
              <w:t xml:space="preserve">P95</w:t>
            </w:r>
          </w:p>
        </w:tc>
      </w:tr>
      <w:tr>
        <w:trPr>
          <w:cantSplit/>
        </w:trPr>
        <w:tc>
          <w:tcPr>
            <w:tcW w:type="dxa" w:w="84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D1</w:t>
            </w:r>
          </w:p>
        </w:tc>
        <w:tc>
          <w:tcPr>
            <w:tcW w:type="dxa" w:w="225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3,216 to 58,680</w:t>
            </w:r>
          </w:p>
        </w:tc>
        <w:tc>
          <w:tcPr>
            <w:tcW w:type="dxa" w:w="10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99,887</w:t>
            </w:r>
          </w:p>
        </w:tc>
        <w:tc>
          <w:tcPr>
            <w:tcW w:type="dxa" w:w="10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169,069</w:t>
            </w:r>
          </w:p>
        </w:tc>
        <w:tc>
          <w:tcPr>
            <w:tcW w:type="dxa" w:w="10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412,498</w:t>
            </w:r>
          </w:p>
        </w:tc>
        <w:tc>
          <w:tcPr>
            <w:tcW w:type="dxa" w:w="112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756,694</w:t>
            </w:r>
          </w:p>
        </w:tc>
        <w:tc>
          <w:tcPr>
            <w:tcW w:type="dxa" w:w="10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1,387,144</w:t>
            </w:r>
          </w:p>
        </w:tc>
        <w:tc>
          <w:tcPr>
            <w:tcW w:type="dxa" w:w="10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3,339,005</w:t>
            </w:r>
          </w:p>
        </w:tc>
      </w:tr>
      <w:tr>
        <w:trPr>
          <w:cantSplit/>
        </w:trPr>
        <w:tc>
          <w:tcPr>
            <w:tcW w:type="dxa" w:w="84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D2</w:t>
            </w:r>
          </w:p>
        </w:tc>
        <w:tc>
          <w:tcPr>
            <w:tcW w:type="dxa" w:w="225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58,680 to 81,556</w:t>
            </w:r>
          </w:p>
        </w:tc>
        <w:tc>
          <w:tcPr>
            <w:tcW w:type="dxa" w:w="10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99,887</w:t>
            </w:r>
          </w:p>
        </w:tc>
        <w:tc>
          <w:tcPr>
            <w:tcW w:type="dxa" w:w="10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163,796</w:t>
            </w:r>
          </w:p>
        </w:tc>
        <w:tc>
          <w:tcPr>
            <w:tcW w:type="dxa" w:w="10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394,299</w:t>
            </w:r>
          </w:p>
        </w:tc>
        <w:tc>
          <w:tcPr>
            <w:tcW w:type="dxa" w:w="112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722,737</w:t>
            </w:r>
          </w:p>
        </w:tc>
        <w:tc>
          <w:tcPr>
            <w:tcW w:type="dxa" w:w="10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1,331,816</w:t>
            </w:r>
          </w:p>
        </w:tc>
        <w:tc>
          <w:tcPr>
            <w:tcW w:type="dxa" w:w="10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3,189,281</w:t>
            </w:r>
          </w:p>
        </w:tc>
      </w:tr>
      <w:tr>
        <w:trPr>
          <w:cantSplit/>
        </w:trPr>
        <w:tc>
          <w:tcPr>
            <w:tcW w:type="dxa" w:w="84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D3</w:t>
            </w:r>
          </w:p>
        </w:tc>
        <w:tc>
          <w:tcPr>
            <w:tcW w:type="dxa" w:w="225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81,556 to 103,446</w:t>
            </w:r>
          </w:p>
        </w:tc>
        <w:tc>
          <w:tcPr>
            <w:tcW w:type="dxa" w:w="10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99,886</w:t>
            </w:r>
          </w:p>
        </w:tc>
        <w:tc>
          <w:tcPr>
            <w:tcW w:type="dxa" w:w="10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159,446</w:t>
            </w:r>
          </w:p>
        </w:tc>
        <w:tc>
          <w:tcPr>
            <w:tcW w:type="dxa" w:w="10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384,591</w:t>
            </w:r>
          </w:p>
        </w:tc>
        <w:tc>
          <w:tcPr>
            <w:tcW w:type="dxa" w:w="112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705,564</w:t>
            </w:r>
          </w:p>
        </w:tc>
        <w:tc>
          <w:tcPr>
            <w:tcW w:type="dxa" w:w="10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1,295,140</w:t>
            </w:r>
          </w:p>
        </w:tc>
        <w:tc>
          <w:tcPr>
            <w:tcW w:type="dxa" w:w="10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3,104,325</w:t>
            </w:r>
          </w:p>
        </w:tc>
      </w:tr>
      <w:tr>
        <w:trPr>
          <w:cantSplit/>
        </w:trPr>
        <w:tc>
          <w:tcPr>
            <w:tcW w:type="dxa" w:w="84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D4</w:t>
            </w:r>
          </w:p>
        </w:tc>
        <w:tc>
          <w:tcPr>
            <w:tcW w:type="dxa" w:w="225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103,446 to 126,516</w:t>
            </w:r>
          </w:p>
        </w:tc>
        <w:tc>
          <w:tcPr>
            <w:tcW w:type="dxa" w:w="10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99,887</w:t>
            </w:r>
          </w:p>
        </w:tc>
        <w:tc>
          <w:tcPr>
            <w:tcW w:type="dxa" w:w="10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156,335</w:t>
            </w:r>
          </w:p>
        </w:tc>
        <w:tc>
          <w:tcPr>
            <w:tcW w:type="dxa" w:w="10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374,729</w:t>
            </w:r>
          </w:p>
        </w:tc>
        <w:tc>
          <w:tcPr>
            <w:tcW w:type="dxa" w:w="112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690,205</w:t>
            </w:r>
          </w:p>
        </w:tc>
        <w:tc>
          <w:tcPr>
            <w:tcW w:type="dxa" w:w="10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1,265,987</w:t>
            </w:r>
          </w:p>
        </w:tc>
        <w:tc>
          <w:tcPr>
            <w:tcW w:type="dxa" w:w="10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3,045,450</w:t>
            </w:r>
          </w:p>
        </w:tc>
      </w:tr>
      <w:tr>
        <w:trPr>
          <w:cantSplit/>
        </w:trPr>
        <w:tc>
          <w:tcPr>
            <w:tcW w:type="dxa" w:w="84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D5</w:t>
            </w:r>
          </w:p>
        </w:tc>
        <w:tc>
          <w:tcPr>
            <w:tcW w:type="dxa" w:w="225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126,516 to 152,610</w:t>
            </w:r>
          </w:p>
        </w:tc>
        <w:tc>
          <w:tcPr>
            <w:tcW w:type="dxa" w:w="10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99,886</w:t>
            </w:r>
          </w:p>
        </w:tc>
        <w:tc>
          <w:tcPr>
            <w:tcW w:type="dxa" w:w="10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154,404</w:t>
            </w:r>
          </w:p>
        </w:tc>
        <w:tc>
          <w:tcPr>
            <w:tcW w:type="dxa" w:w="10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367,915</w:t>
            </w:r>
          </w:p>
        </w:tc>
        <w:tc>
          <w:tcPr>
            <w:tcW w:type="dxa" w:w="112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675,761</w:t>
            </w:r>
          </w:p>
        </w:tc>
        <w:tc>
          <w:tcPr>
            <w:tcW w:type="dxa" w:w="10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1,247,316</w:t>
            </w:r>
          </w:p>
        </w:tc>
        <w:tc>
          <w:tcPr>
            <w:tcW w:type="dxa" w:w="10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3,025,470</w:t>
            </w:r>
          </w:p>
        </w:tc>
      </w:tr>
      <w:tr>
        <w:trPr>
          <w:cantSplit/>
        </w:trPr>
        <w:tc>
          <w:tcPr>
            <w:tcW w:type="dxa" w:w="84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D6</w:t>
            </w:r>
          </w:p>
        </w:tc>
        <w:tc>
          <w:tcPr>
            <w:tcW w:type="dxa" w:w="225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152,610 to 184,108</w:t>
            </w:r>
          </w:p>
        </w:tc>
        <w:tc>
          <w:tcPr>
            <w:tcW w:type="dxa" w:w="10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99,887</w:t>
            </w:r>
          </w:p>
        </w:tc>
        <w:tc>
          <w:tcPr>
            <w:tcW w:type="dxa" w:w="10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151,476</w:t>
            </w:r>
          </w:p>
        </w:tc>
        <w:tc>
          <w:tcPr>
            <w:tcW w:type="dxa" w:w="10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362,523</w:t>
            </w:r>
          </w:p>
        </w:tc>
        <w:tc>
          <w:tcPr>
            <w:tcW w:type="dxa" w:w="112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669,288</w:t>
            </w:r>
          </w:p>
        </w:tc>
        <w:tc>
          <w:tcPr>
            <w:tcW w:type="dxa" w:w="10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1,230,314</w:t>
            </w:r>
          </w:p>
        </w:tc>
        <w:tc>
          <w:tcPr>
            <w:tcW w:type="dxa" w:w="10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2,933,993</w:t>
            </w:r>
          </w:p>
        </w:tc>
      </w:tr>
      <w:tr>
        <w:trPr>
          <w:cantSplit/>
        </w:trPr>
        <w:tc>
          <w:tcPr>
            <w:tcW w:type="dxa" w:w="84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D7</w:t>
            </w:r>
          </w:p>
        </w:tc>
        <w:tc>
          <w:tcPr>
            <w:tcW w:type="dxa" w:w="225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184,108 to 224,840</w:t>
            </w:r>
          </w:p>
        </w:tc>
        <w:tc>
          <w:tcPr>
            <w:tcW w:type="dxa" w:w="10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99,886</w:t>
            </w:r>
          </w:p>
        </w:tc>
        <w:tc>
          <w:tcPr>
            <w:tcW w:type="dxa" w:w="10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147,982</w:t>
            </w:r>
          </w:p>
        </w:tc>
        <w:tc>
          <w:tcPr>
            <w:tcW w:type="dxa" w:w="10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356,983</w:t>
            </w:r>
          </w:p>
        </w:tc>
        <w:tc>
          <w:tcPr>
            <w:tcW w:type="dxa" w:w="112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659,175</w:t>
            </w:r>
          </w:p>
        </w:tc>
        <w:tc>
          <w:tcPr>
            <w:tcW w:type="dxa" w:w="10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1,213,957</w:t>
            </w:r>
          </w:p>
        </w:tc>
        <w:tc>
          <w:tcPr>
            <w:tcW w:type="dxa" w:w="10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2,916,713</w:t>
            </w:r>
          </w:p>
        </w:tc>
      </w:tr>
      <w:tr>
        <w:trPr>
          <w:cantSplit/>
        </w:trPr>
        <w:tc>
          <w:tcPr>
            <w:tcW w:type="dxa" w:w="84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D8</w:t>
            </w:r>
          </w:p>
        </w:tc>
        <w:tc>
          <w:tcPr>
            <w:tcW w:type="dxa" w:w="225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224,840 to 284,119</w:t>
            </w:r>
          </w:p>
        </w:tc>
        <w:tc>
          <w:tcPr>
            <w:tcW w:type="dxa" w:w="10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99,887</w:t>
            </w:r>
          </w:p>
        </w:tc>
        <w:tc>
          <w:tcPr>
            <w:tcW w:type="dxa" w:w="10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146,505</w:t>
            </w:r>
          </w:p>
        </w:tc>
        <w:tc>
          <w:tcPr>
            <w:tcW w:type="dxa" w:w="10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352,845</w:t>
            </w:r>
          </w:p>
        </w:tc>
        <w:tc>
          <w:tcPr>
            <w:tcW w:type="dxa" w:w="112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646,141</w:t>
            </w:r>
          </w:p>
        </w:tc>
        <w:tc>
          <w:tcPr>
            <w:tcW w:type="dxa" w:w="10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1,188,585</w:t>
            </w:r>
          </w:p>
        </w:tc>
        <w:tc>
          <w:tcPr>
            <w:tcW w:type="dxa" w:w="10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2,846,771</w:t>
            </w:r>
          </w:p>
        </w:tc>
      </w:tr>
      <w:tr>
        <w:trPr>
          <w:cantSplit/>
        </w:trPr>
        <w:tc>
          <w:tcPr>
            <w:tcW w:type="dxa" w:w="84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D9</w:t>
            </w:r>
          </w:p>
        </w:tc>
        <w:tc>
          <w:tcPr>
            <w:tcW w:type="dxa" w:w="225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284,119 to 390,183</w:t>
            </w:r>
          </w:p>
        </w:tc>
        <w:tc>
          <w:tcPr>
            <w:tcW w:type="dxa" w:w="10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99,886</w:t>
            </w:r>
          </w:p>
        </w:tc>
        <w:tc>
          <w:tcPr>
            <w:tcW w:type="dxa" w:w="10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143,444</w:t>
            </w:r>
          </w:p>
        </w:tc>
        <w:tc>
          <w:tcPr>
            <w:tcW w:type="dxa" w:w="10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343,595</w:t>
            </w:r>
          </w:p>
        </w:tc>
        <w:tc>
          <w:tcPr>
            <w:tcW w:type="dxa" w:w="1129"/>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628,605</w:t>
            </w:r>
          </w:p>
        </w:tc>
        <w:tc>
          <w:tcPr>
            <w:tcW w:type="dxa" w:w="10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1,157,695</w:t>
            </w:r>
          </w:p>
        </w:tc>
        <w:tc>
          <w:tcPr>
            <w:tcW w:type="dxa" w:w="1035"/>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2,796,179</w:t>
            </w:r>
          </w:p>
        </w:tc>
      </w:tr>
      <w:tr>
        <w:trPr>
          <w:cantSplit/>
        </w:trPr>
        <w:tc>
          <w:tcPr>
            <w:tcW w:type="dxa" w:w="849"/>
            <w:tcBorders>
              <w:top w:val="none" w:color="FFFFFF" w:sz="0"/>
              <w:left w:val="none" w:color="FFFFFF" w:sz="0"/>
              <w:bottom w:val="single" w:color="404040" w:sz="8"/>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D10</w:t>
            </w:r>
          </w:p>
        </w:tc>
        <w:tc>
          <w:tcPr>
            <w:tcW w:type="dxa" w:w="2259"/>
            <w:tcBorders>
              <w:top w:val="none" w:color="FFFFFF" w:sz="0"/>
              <w:left w:val="none" w:color="FFFFFF" w:sz="0"/>
              <w:bottom w:val="single" w:color="404040" w:sz="8"/>
              <w:right w:val="none" w:color="FFFFFF" w:sz="0"/>
            </w:tcBorders>
            <w:tcMar>
              <w:top w:type="dxa" w:w="30"/>
              <w:left w:type="dxa" w:w="70"/>
              <w:bottom w:type="dxa" w:w="30"/>
              <w:right w:type="dxa" w:w="70"/>
            </w:tcMar>
            <w:vAlign w:val="top"/>
          </w:tcPr>
          <w:p>
            <w:pPr>
              <w:keepNext/>
              <w:spacing w:after="0" w:before="0" w:line="240"/>
              <w:jc w:val="left"/>
            </w:pPr>
            <w:r>
              <w:rPr>
                <w:rFonts w:ascii="Calibri" w:cs="Calibri" w:eastAsia="Calibri" w:hAnsi="Calibri"/>
                <w:b w:val="false"/>
                <w:bCs w:val="false"/>
                <w:color w:val="1F1F1F"/>
                <w:sz w:val="17"/>
                <w:szCs w:val="17"/>
              </w:rPr>
              <w:t xml:space="preserve">390,187 to 999,999</w:t>
            </w:r>
          </w:p>
        </w:tc>
        <w:tc>
          <w:tcPr>
            <w:tcW w:type="dxa" w:w="1035"/>
            <w:tcBorders>
              <w:top w:val="none" w:color="FFFFFF" w:sz="0"/>
              <w:left w:val="none" w:color="FFFFFF" w:sz="0"/>
              <w:bottom w:val="single" w:color="404040" w:sz="8"/>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99,887</w:t>
            </w:r>
          </w:p>
        </w:tc>
        <w:tc>
          <w:tcPr>
            <w:tcW w:type="dxa" w:w="1035"/>
            <w:tcBorders>
              <w:top w:val="none" w:color="FFFFFF" w:sz="0"/>
              <w:left w:val="none" w:color="FFFFFF" w:sz="0"/>
              <w:bottom w:val="single" w:color="404040" w:sz="8"/>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135,828</w:t>
            </w:r>
          </w:p>
        </w:tc>
        <w:tc>
          <w:tcPr>
            <w:tcW w:type="dxa" w:w="1035"/>
            <w:tcBorders>
              <w:top w:val="none" w:color="FFFFFF" w:sz="0"/>
              <w:left w:val="none" w:color="FFFFFF" w:sz="0"/>
              <w:bottom w:val="single" w:color="404040" w:sz="8"/>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327,841</w:t>
            </w:r>
          </w:p>
        </w:tc>
        <w:tc>
          <w:tcPr>
            <w:tcW w:type="dxa" w:w="1129"/>
            <w:tcBorders>
              <w:top w:val="none" w:color="FFFFFF" w:sz="0"/>
              <w:left w:val="none" w:color="FFFFFF" w:sz="0"/>
              <w:bottom w:val="single" w:color="404040" w:sz="8"/>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603,779</w:t>
            </w:r>
          </w:p>
        </w:tc>
        <w:tc>
          <w:tcPr>
            <w:tcW w:type="dxa" w:w="1035"/>
            <w:tcBorders>
              <w:top w:val="none" w:color="FFFFFF" w:sz="0"/>
              <w:left w:val="none" w:color="FFFFFF" w:sz="0"/>
              <w:bottom w:val="single" w:color="404040" w:sz="8"/>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1,108,006</w:t>
            </w:r>
          </w:p>
        </w:tc>
        <w:tc>
          <w:tcPr>
            <w:tcW w:type="dxa" w:w="1035"/>
            <w:tcBorders>
              <w:top w:val="none" w:color="FFFFFF" w:sz="0"/>
              <w:left w:val="none" w:color="FFFFFF" w:sz="0"/>
              <w:bottom w:val="single" w:color="404040" w:sz="8"/>
              <w:right w:val="none" w:color="FFFFFF" w:sz="0"/>
            </w:tcBorders>
            <w:tcMar>
              <w:top w:type="dxa" w:w="30"/>
              <w:left w:type="dxa" w:w="70"/>
              <w:bottom w:type="dxa" w:w="30"/>
              <w:right w:type="dxa" w:w="70"/>
            </w:tcMar>
            <w:vAlign w:val="top"/>
          </w:tcPr>
          <w:p>
            <w:pPr>
              <w:keepNext/>
              <w:spacing w:after="0" w:before="0" w:line="240"/>
              <w:jc w:val="right"/>
            </w:pPr>
            <w:r>
              <w:rPr>
                <w:rFonts w:ascii="Calibri" w:cs="Calibri" w:eastAsia="Calibri" w:hAnsi="Calibri"/>
                <w:b w:val="false"/>
                <w:bCs w:val="false"/>
                <w:color w:val="1F1F1F"/>
                <w:sz w:val="17"/>
                <w:szCs w:val="17"/>
              </w:rPr>
              <w:t xml:space="preserve">2,638,995</w:t>
            </w:r>
          </w:p>
        </w:tc>
      </w:tr>
    </w:tbl>
    <w:p>
      <w:pPr>
        <w:spacing w:after="120" w:before="40"/>
      </w:pPr>
      <w:r>
        <w:rPr>
          <w:rFonts w:ascii="Calibri" w:cs="Calibri" w:eastAsia="Calibri" w:hAnsi="Calibri"/>
          <w:color w:val="595959"/>
          <w:sz w:val="15"/>
          <w:szCs w:val="15"/>
        </w:rPr>
        <w:t xml:space="preserve">Source: calculated from Stable Space (2026). Listings below P5 or above P95 of their own decile make up 10.0% of the 998,866 listings in this table (screening rule in Table 5).</w:t>
      </w:r>
    </w:p>
    <w:sectPr>
      <w:footerReference w:type="default" r:id="rId7"/>
      <w:pgSz w:w="11906" w:h="16838" w:orient="portrait"/>
      <w:pgMar w:top="1134" w:right="1247" w:bottom="1134" w:left="1247" w:header="708"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7"/>
        <w:szCs w:val="17"/>
      </w:rPr>
      <w:t xml:space="preserve">Page </w:t>
    </w:r>
    <w:r>
      <w:rPr>
        <w:rFonts w:ascii="Calibri" w:cs="Calibri" w:eastAsia="Calibri" w:hAnsi="Calibri"/>
        <w:color w:val="595959"/>
        <w:sz w:val="17"/>
        <w:szCs w:val="17"/>
      </w:rPr>
      <w:fldChar w:fldCharType="begin"/>
      <w:instrText xml:space="preserve">PAGE</w:instrText>
      <w:fldChar w:fldCharType="separate"/>
      <w:fldChar w:fldCharType="end"/>
    </w:r>
    <w:r>
      <w:rPr>
        <w:rFonts w:ascii="Calibri" w:cs="Calibri" w:eastAsia="Calibri" w:hAnsi="Calibri"/>
        <w:color w:val="595959"/>
        <w:sz w:val="17"/>
        <w:szCs w:val="17"/>
      </w:rPr>
      <w:t xml:space="preserve"> of </w:t>
    </w:r>
    <w:r>
      <w:rPr>
        <w:rFonts w:ascii="Calibri" w:cs="Calibri" w:eastAsia="Calibri" w:hAnsi="Calibri"/>
        <w:color w:val="595959"/>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F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1F1F"/>
      <w:sz w:val="26"/>
      <w:szCs w:val="26"/>
    </w:rPr>
  </w:style>
  <w:style w:type="paragraph" w:styleId="Heading2">
    <w:name w:val="Heading 2"/>
    <w:basedOn w:val="Normal"/>
    <w:next w:val="Normal"/>
    <w:qFormat/>
    <w:pPr>
      <w:outlineLvl w:val="1"/>
    </w:pPr>
    <w:rPr>
      <w:rFonts w:ascii="Calibri" w:cs="Calibri" w:eastAsia="Calibri" w:hAnsi="Calibri"/>
      <w:b/>
      <w:bCs/>
      <w:color w:val="1F1F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Preliminary Insight Development: Used Car Prices in India</dc:title>
  <cp:revision>1</cp:revision>
  <dcterms:created xsi:type="dcterms:W3CDTF">2026-09-26T06:24:08.490Z</dcterms:created>
  <dcterms:modified xsi:type="dcterms:W3CDTF">2026-09-26T06:24:08.505Z</dcterms:modified>
</cp:coreProperties>
</file>

<file path=docProps/custom.xml><?xml version="1.0" encoding="utf-8"?>
<Properties xmlns="http://schemas.openxmlformats.org/officeDocument/2006/custom-properties" xmlns:vt="http://schemas.openxmlformats.org/officeDocument/2006/docPropsVTypes"/>
</file>