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color w:val="52514E"/>
          <w:sz w:val="14"/>
        </w:rPr>
        <w:t>COMM5000 DATA LITERACY · CASE STUDY PROJECT · MILESTONE 1 · TERM 3, 2026</w:t>
      </w:r>
      <w:r>
        <w:rPr>
          <w:rFonts w:ascii="Arial" w:hAnsi="Arial"/>
          <w:color w:val="52514E"/>
          <w:sz w:val="14"/>
        </w:rPr>
        <w:t xml:space="preserve">     Body text: 984 words (excl. tables, figures, captions, references)</w:t>
      </w:r>
    </w:p>
    <w:p>
      <w:pPr>
        <w:spacing w:after="0"/>
      </w:pPr>
      <w:r>
        <w:rPr>
          <w:rFonts w:ascii="Arial" w:hAnsi="Arial"/>
          <w:b/>
          <w:color w:val="1F1F1D"/>
          <w:sz w:val="44"/>
        </w:rPr>
        <w:t>From Listing to Offer</w:t>
      </w:r>
    </w:p>
    <w:p>
      <w:r>
        <w:rPr>
          <w:rFonts w:ascii="Arial" w:hAnsi="Arial"/>
          <w:color w:val="52514E"/>
          <w:sz w:val="22"/>
        </w:rPr>
        <w:t>Preliminary insight development for used-car price appraisal</w:t>
      </w:r>
    </w:p>
    <w:p>
      <w:pPr>
        <w:spacing w:after="120"/>
      </w:pPr>
      <w:r>
        <w:rPr>
          <w:rFonts w:ascii="Arial" w:hAnsi="Arial"/>
          <w:b/>
          <w:sz w:val="14"/>
        </w:rPr>
        <w:t xml:space="preserve">Client </w:t>
      </w:r>
      <w:r>
        <w:rPr>
          <w:rFonts w:ascii="Arial" w:hAnsi="Arial"/>
          <w:color w:val="52514E"/>
          <w:sz w:val="14"/>
        </w:rPr>
        <w:t>online used-car marketplace, India   ·   Data: COMM5000-Used_Car_Price_Prediction.xlsm · 1,005,000 listings × 20 fields · full-population analysis</w:t>
      </w:r>
    </w:p>
    <w:p>
      <w:pPr>
        <w:keepNext/>
        <w:spacing w:before="180" w:after="60"/>
      </w:pPr>
      <w:r>
        <w:rPr>
          <w:rFonts w:ascii="Arial" w:hAnsi="Arial"/>
          <w:b/>
          <w:color w:val="2A78D6"/>
          <w:sz w:val="23"/>
        </w:rPr>
        <w:t xml:space="preserve">1  </w:t>
      </w:r>
      <w:r>
        <w:rPr>
          <w:rFonts w:ascii="Arial" w:hAnsi="Arial"/>
          <w:b/>
          <w:color w:val="1F1F1D"/>
          <w:sz w:val="23"/>
        </w:rPr>
        <w:t>Introduction</w:t>
      </w:r>
    </w:p>
    <w:p>
      <w:pPr>
        <w:jc w:val="both"/>
      </w:pPr>
      <w:r>
        <w:rPr>
          <w:b w:val="0"/>
          <w:i w:val="0"/>
        </w:rPr>
        <w:t>India’s used-car market sold about 5.9 million vehicles in FY2025—137 used cars for every 100 new ones—and is forecast to reach 9.5 million by 2030 (Mahindra First Choice &amp; Volkswagen Group India [MFC &amp; VW], 2025, p. 6). Yet appraisal has traditionally been “subjective, varying across geographies and dealers” (MFC &amp; VW, 2025, p. 53). For our client, an online marketplace, a reliable expected price underpins instant cash offers, alerts for under- and over-priced listings and inventory forecasts: a systematic 10% over-offer on a median car (INR 674k) hands roughly INR 67k of margin to the seller.</w:t>
      </w:r>
    </w:p>
    <w:p>
      <w:pPr>
        <w:jc w:val="both"/>
      </w:pPr>
      <w:r>
        <w:rPr>
          <w:b w:val="0"/>
          <w:i w:val="0"/>
        </w:rPr>
        <w:t>This report explores the 1,005,000 listings supplied by the client (Stable Space, 2026) to prepare two questions: (1) how Car_Price relates to vehicle age (Registration_Age) and usage (Kms_Driven), and (2) whether brand segment—luxury (Audi, BMW, Mercedes) versus non-luxury—shifts price. It moves from data preparation and description to relationships, conclusions and a development plan.</w:t>
      </w:r>
    </w:p>
    <w:tbl>
      <w:tblPr>
        <w:tblW w:type="auto" w:w="0"/>
        <w:jc w:val="center"/>
        <w:tblLook w:firstColumn="1" w:firstRow="1" w:lastColumn="0" w:lastRow="0" w:noHBand="0" w:noVBand="1" w:val="04A0"/>
      </w:tblPr>
      <w:tblGrid>
        <w:gridCol w:w="2523"/>
        <w:gridCol w:w="2523"/>
        <w:gridCol w:w="2523"/>
        <w:gridCol w:w="2523"/>
      </w:tblGrid>
      <w:tr>
        <w:tc>
          <w:tcPr>
            <w:tcW w:type="dxa" w:w="2523"/>
            <w:shd w:val="clear" w:color="auto" w:fill="f6f5f2"/>
          </w:tcPr>
          <w:p>
            <w:r/>
            <w:r>
              <w:rPr>
                <w:rFonts w:ascii="Arial" w:hAnsi="Arial"/>
                <w:b/>
                <w:color w:val="2A78D6"/>
                <w:sz w:val="26"/>
              </w:rPr>
              <w:t>50.7%</w:t>
            </w:r>
          </w:p>
          <w:p>
            <w:r>
              <w:rPr>
                <w:rFonts w:ascii="Arial" w:hAnsi="Arial"/>
                <w:sz w:val="14"/>
              </w:rPr>
              <w:t>mean price above median</w:t>
            </w:r>
          </w:p>
          <w:p>
            <w:r>
              <w:rPr>
                <w:rFonts w:ascii="Arial" w:hAnsi="Arial"/>
                <w:color w:val="52514E"/>
                <w:sz w:val="13"/>
              </w:rPr>
              <w:t>right-skewed: report the median</w:t>
            </w:r>
          </w:p>
        </w:tc>
        <w:tc>
          <w:tcPr>
            <w:tcW w:type="dxa" w:w="2523"/>
            <w:shd w:val="clear" w:color="auto" w:fill="f6f5f2"/>
          </w:tcPr>
          <w:p>
            <w:r/>
            <w:r>
              <w:rPr>
                <w:rFonts w:ascii="Arial" w:hAnsi="Arial"/>
                <w:b/>
                <w:color w:val="2A78D6"/>
                <w:sz w:val="26"/>
              </w:rPr>
              <w:t>r = +0.00007</w:t>
            </w:r>
          </w:p>
          <w:p>
            <w:r>
              <w:rPr>
                <w:rFonts w:ascii="Arial" w:hAnsi="Arial"/>
                <w:sz w:val="14"/>
              </w:rPr>
              <w:t>price vs Registration_Age</w:t>
            </w:r>
          </w:p>
          <w:p>
            <w:r>
              <w:rPr>
                <w:rFonts w:ascii="Arial" w:hAnsi="Arial"/>
                <w:color w:val="52514E"/>
                <w:sz w:val="13"/>
              </w:rPr>
              <w:t>no age gradient in 1,005,000 rows</w:t>
            </w:r>
          </w:p>
        </w:tc>
        <w:tc>
          <w:tcPr>
            <w:tcW w:type="dxa" w:w="2523"/>
            <w:shd w:val="clear" w:color="auto" w:fill="f6f5f2"/>
          </w:tcPr>
          <w:p>
            <w:r/>
            <w:r>
              <w:rPr>
                <w:rFonts w:ascii="Arial" w:hAnsi="Arial"/>
                <w:b/>
                <w:color w:val="2A78D6"/>
                <w:sz w:val="26"/>
              </w:rPr>
              <w:t>−0.84%</w:t>
            </w:r>
          </w:p>
          <w:p>
            <w:r>
              <w:rPr>
                <w:rFonts w:ascii="Arial" w:hAnsi="Arial"/>
                <w:sz w:val="14"/>
              </w:rPr>
              <w:t>price per +10% Kms_Driven</w:t>
            </w:r>
          </w:p>
          <w:p>
            <w:r>
              <w:rPr>
                <w:rFonts w:ascii="Arial" w:hAnsi="Arial"/>
                <w:color w:val="52514E"/>
                <w:sz w:val="13"/>
              </w:rPr>
              <w:t>the only stable usage signal</w:t>
            </w:r>
          </w:p>
        </w:tc>
        <w:tc>
          <w:tcPr>
            <w:tcW w:type="dxa" w:w="2523"/>
            <w:shd w:val="clear" w:color="auto" w:fill="f6f5f2"/>
          </w:tcPr>
          <w:p>
            <w:r/>
            <w:r>
              <w:rPr>
                <w:rFonts w:ascii="Arial" w:hAnsi="Arial"/>
                <w:b/>
                <w:color w:val="C4501F"/>
                <w:sz w:val="26"/>
              </w:rPr>
              <w:t>−0.17%</w:t>
            </w:r>
          </w:p>
          <w:p>
            <w:r>
              <w:rPr>
                <w:rFonts w:ascii="Arial" w:hAnsi="Arial"/>
                <w:sz w:val="14"/>
              </w:rPr>
              <w:t>luxury vs non-luxury median</w:t>
            </w:r>
          </w:p>
          <w:p>
            <w:r>
              <w:rPr>
                <w:rFonts w:ascii="Arial" w:hAnsi="Arial"/>
                <w:color w:val="52514E"/>
                <w:sz w:val="13"/>
              </w:rPr>
              <w:t>95% CI −0.66 to +0.29%</w:t>
            </w:r>
          </w:p>
        </w:tc>
      </w:tr>
    </w:tbl>
    <w:p>
      <w:pPr>
        <w:spacing w:after="0"/>
      </w:pPr>
    </w:p>
    <w:p>
      <w:pPr>
        <w:keepNext/>
        <w:spacing w:before="180" w:after="60"/>
      </w:pPr>
      <w:r>
        <w:rPr>
          <w:rFonts w:ascii="Arial" w:hAnsi="Arial"/>
          <w:b/>
          <w:color w:val="2A78D6"/>
          <w:sz w:val="23"/>
        </w:rPr>
        <w:t xml:space="preserve">2  </w:t>
      </w:r>
      <w:r>
        <w:rPr>
          <w:rFonts w:ascii="Arial" w:hAnsi="Arial"/>
          <w:b/>
          <w:color w:val="1F1F1D"/>
          <w:sz w:val="23"/>
        </w:rPr>
        <w:t>Data preparation</w:t>
      </w:r>
    </w:p>
    <w:p>
      <w:pPr>
        <w:jc w:val="both"/>
      </w:pPr>
      <w:r>
        <w:rPr>
          <w:b w:val="0"/>
          <w:i w:val="0"/>
        </w:rPr>
        <w:t>The randomised workbook (Dataset!B6 stamped 2026-09-26 08:29:38) contains 20 fields. Table 1 logs each issue, its size, treatment and rationale. Three principles applied: delete no price without evidence it is wrong; relabel only when the intended category is unambiguous; and test whether each choice changes conclusions (Appendix Table A1).</w:t>
      </w:r>
    </w:p>
    <w:p>
      <w:pPr>
        <w:jc w:val="both"/>
      </w:pPr>
      <w:r>
        <w:rPr>
          <w:b w:val="0"/>
          <w:i w:val="0"/>
        </w:rPr>
        <w:t>Two checks went beyond routine auditing. First, exact-duplicate tests find nothing because the workbook’s randomisation routine (VBA module ThisWorkbook) regenerates five numeric fields for every row. Matching on the 15 untouched fields instead finds 29,640 repeat rows, but shuffling each column independently produces 25,106 ± 170 coincidental matches, so only about 4,500 are genuine duplicates. As the two cannot be told apart, rows are flagged, not deleted; dropping all repeats moves the median price by only −0.013%. Second, the 6,134 listings above 1,000,000 km closely match the 6,117 expected from the routine’s log-normal usage distribution: they are a statistical tail, not typing errors. They are excluded from usage analysis only; results are stable for every cap from 500,000 km to none.</w:t>
      </w:r>
    </w:p>
    <w:p>
      <w:pPr>
        <w:keepNext/>
        <w:spacing w:before="120" w:after="40"/>
      </w:pPr>
      <w:r>
        <w:rPr>
          <w:rFonts w:ascii="Arial" w:hAnsi="Arial"/>
          <w:b/>
          <w:sz w:val="15"/>
        </w:rPr>
        <w:t>Table 1. Data-quality audit and treatment log</w:t>
      </w:r>
    </w:p>
    <w:tbl>
      <w:tblPr>
        <w:tblW w:type="auto" w:w="0"/>
        <w:jc w:val="center"/>
        <w:tblLayout w:type="fixed"/>
        <w:tblLook w:firstColumn="1" w:firstRow="1" w:lastColumn="0" w:lastRow="0" w:noHBand="0" w:noVBand="1" w:val="04A0"/>
        <w:tblBorders>
          <w:top w:val="single" w:sz="8" w:color="1f1f1d"/>
          <w:bottom w:val="single" w:sz="8" w:color="1f1f1d"/>
          <w:insideH w:val="single" w:sz="2" w:color="d9d8d3"/>
          <w:left w:val="nil" w:sz="0" w:color="ffffff"/>
          <w:right w:val="nil" w:sz="0" w:color="ffffff"/>
          <w:insideV w:val="nil" w:sz="0" w:color="ffffff"/>
        </w:tblBorders>
      </w:tblPr>
      <w:tblGrid>
        <w:gridCol w:w="2018"/>
        <w:gridCol w:w="2018"/>
        <w:gridCol w:w="2018"/>
        <w:gridCol w:w="2018"/>
        <w:gridCol w:w="2018"/>
      </w:tblGrid>
      <w:tr>
        <w:tc>
          <w:tcPr>
            <w:tcW w:type="dxa" w:w="2154"/>
            <w:shd w:val="clear" w:color="auto" w:fill="f4f3ef"/>
          </w:tcPr>
          <w:p>
            <w:r/>
            <w:r>
              <w:rPr>
                <w:rFonts w:ascii="Arial" w:hAnsi="Arial"/>
                <w:b/>
                <w:sz w:val="13"/>
              </w:rPr>
              <w:t>Issue</w:t>
            </w:r>
          </w:p>
        </w:tc>
        <w:tc>
          <w:tcPr>
            <w:tcW w:type="dxa" w:w="1814"/>
            <w:shd w:val="clear" w:color="auto" w:fill="f4f3ef"/>
          </w:tcPr>
          <w:p>
            <w:r/>
            <w:r>
              <w:rPr>
                <w:rFonts w:ascii="Arial" w:hAnsi="Arial"/>
                <w:b/>
                <w:sz w:val="13"/>
              </w:rPr>
              <w:t>How detected</w:t>
            </w:r>
          </w:p>
        </w:tc>
        <w:tc>
          <w:tcPr>
            <w:tcW w:type="dxa" w:w="2154"/>
            <w:shd w:val="clear" w:color="auto" w:fill="f4f3ef"/>
          </w:tcPr>
          <w:p>
            <w:r/>
            <w:r>
              <w:rPr>
                <w:rFonts w:ascii="Arial" w:hAnsi="Arial"/>
                <w:b/>
                <w:sz w:val="13"/>
              </w:rPr>
              <w:t>Size</w:t>
            </w:r>
          </w:p>
        </w:tc>
        <w:tc>
          <w:tcPr>
            <w:tcW w:type="dxa" w:w="1587"/>
            <w:shd w:val="clear" w:color="auto" w:fill="f4f3ef"/>
          </w:tcPr>
          <w:p>
            <w:r/>
            <w:r>
              <w:rPr>
                <w:rFonts w:ascii="Arial" w:hAnsi="Arial"/>
                <w:b/>
                <w:sz w:val="13"/>
              </w:rPr>
              <w:t>Treatment</w:t>
            </w:r>
          </w:p>
        </w:tc>
        <w:tc>
          <w:tcPr>
            <w:tcW w:type="dxa" w:w="2381"/>
            <w:shd w:val="clear" w:color="auto" w:fill="f4f3ef"/>
          </w:tcPr>
          <w:p>
            <w:r/>
            <w:r>
              <w:rPr>
                <w:rFonts w:ascii="Arial" w:hAnsi="Arial"/>
                <w:b/>
                <w:sz w:val="13"/>
              </w:rPr>
              <w:t>Rationale</w:t>
            </w:r>
          </w:p>
        </w:tc>
      </w:tr>
      <w:tr>
        <w:tc>
          <w:tcPr>
            <w:tcW w:type="dxa" w:w="2154"/>
          </w:tcPr>
          <w:p>
            <w:pPr>
              <w:spacing w:after="0"/>
            </w:pPr>
            <w:r/>
            <w:r>
              <w:rPr>
                <w:rFonts w:ascii="Arial" w:hAnsi="Arial"/>
                <w:sz w:val="13"/>
              </w:rPr>
              <w:t>Brand labels padded with spaces (e.g. ‘ BMW ’)</w:t>
            </w:r>
          </w:p>
        </w:tc>
        <w:tc>
          <w:tcPr>
            <w:tcW w:type="dxa" w:w="1814"/>
          </w:tcPr>
          <w:p>
            <w:pPr>
              <w:spacing w:after="0"/>
            </w:pPr>
            <w:r/>
            <w:r>
              <w:rPr>
                <w:rFonts w:ascii="Arial" w:hAnsi="Arial"/>
                <w:sz w:val="13"/>
              </w:rPr>
              <w:t>TRIM + frequency table</w:t>
            </w:r>
          </w:p>
        </w:tc>
        <w:tc>
          <w:tcPr>
            <w:tcW w:type="dxa" w:w="2154"/>
          </w:tcPr>
          <w:p>
            <w:pPr>
              <w:spacing w:after="0"/>
            </w:pPr>
            <w:r/>
            <w:r>
              <w:rPr>
                <w:rFonts w:ascii="Arial" w:hAnsi="Arial"/>
                <w:sz w:val="13"/>
              </w:rPr>
              <w:t>10,040 (2,334 luxury)</w:t>
            </w:r>
          </w:p>
        </w:tc>
        <w:tc>
          <w:tcPr>
            <w:tcW w:type="dxa" w:w="1587"/>
          </w:tcPr>
          <w:p>
            <w:pPr>
              <w:spacing w:after="0"/>
            </w:pPr>
            <w:r/>
            <w:r>
              <w:rPr>
                <w:rFonts w:ascii="Arial" w:hAnsi="Arial"/>
                <w:sz w:val="13"/>
              </w:rPr>
              <w:t>Trimmed → 13 brands</w:t>
            </w:r>
          </w:p>
        </w:tc>
        <w:tc>
          <w:tcPr>
            <w:tcW w:type="dxa" w:w="2381"/>
          </w:tcPr>
          <w:p>
            <w:pPr>
              <w:spacing w:after="0"/>
            </w:pPr>
            <w:r/>
            <w:r>
              <w:rPr>
                <w:rFonts w:ascii="Arial" w:hAnsi="Arial"/>
                <w:sz w:val="13"/>
              </w:rPr>
              <w:t>Segments cannot be built correctly otherwise</w:t>
            </w:r>
          </w:p>
        </w:tc>
      </w:tr>
      <w:tr>
        <w:tc>
          <w:tcPr>
            <w:tcW w:type="dxa" w:w="2154"/>
          </w:tcPr>
          <w:p>
            <w:pPr>
              <w:spacing w:after="0"/>
            </w:pPr>
            <w:r/>
            <w:r>
              <w:rPr>
                <w:rFonts w:ascii="Arial" w:hAnsi="Arial"/>
                <w:sz w:val="13"/>
              </w:rPr>
              <w:t>Fuel_Type variants (PETROL, petrol, ‘ Diesel’, ‘diesel ’, hybridd, electrik)</w:t>
            </w:r>
          </w:p>
        </w:tc>
        <w:tc>
          <w:tcPr>
            <w:tcW w:type="dxa" w:w="1814"/>
          </w:tcPr>
          <w:p>
            <w:pPr>
              <w:spacing w:after="0"/>
            </w:pPr>
            <w:r/>
            <w:r>
              <w:rPr>
                <w:rFonts w:ascii="Arial" w:hAnsi="Arial"/>
                <w:sz w:val="13"/>
              </w:rPr>
              <w:t>TRIM/LOWER + frequency table</w:t>
            </w:r>
          </w:p>
        </w:tc>
        <w:tc>
          <w:tcPr>
            <w:tcW w:type="dxa" w:w="2154"/>
          </w:tcPr>
          <w:p>
            <w:pPr>
              <w:spacing w:after="0"/>
            </w:pPr>
            <w:r/>
            <w:r>
              <w:rPr>
                <w:rFonts w:ascii="Arial" w:hAnsi="Arial"/>
                <w:sz w:val="13"/>
              </w:rPr>
              <w:t>20,123</w:t>
            </w:r>
          </w:p>
        </w:tc>
        <w:tc>
          <w:tcPr>
            <w:tcW w:type="dxa" w:w="1587"/>
          </w:tcPr>
          <w:p>
            <w:pPr>
              <w:spacing w:after="0"/>
            </w:pPr>
            <w:r/>
            <w:r>
              <w:rPr>
                <w:rFonts w:ascii="Arial" w:hAnsi="Arial"/>
                <w:sz w:val="13"/>
              </w:rPr>
              <w:t>Mapped → 5 fuel types</w:t>
            </w:r>
          </w:p>
        </w:tc>
        <w:tc>
          <w:tcPr>
            <w:tcW w:type="dxa" w:w="2381"/>
          </w:tcPr>
          <w:p>
            <w:pPr>
              <w:spacing w:after="0"/>
            </w:pPr>
            <w:r/>
            <w:r>
              <w:rPr>
                <w:rFonts w:ascii="Arial" w:hAnsi="Arial"/>
                <w:sz w:val="13"/>
              </w:rPr>
              <w:t>Intended category is unambiguous</w:t>
            </w:r>
          </w:p>
        </w:tc>
      </w:tr>
      <w:tr>
        <w:tc>
          <w:tcPr>
            <w:tcW w:type="dxa" w:w="2154"/>
          </w:tcPr>
          <w:p>
            <w:pPr>
              <w:spacing w:after="0"/>
            </w:pPr>
            <w:r/>
            <w:r>
              <w:rPr>
                <w:rFonts w:ascii="Arial" w:hAnsi="Arial"/>
                <w:sz w:val="13"/>
              </w:rPr>
              <w:t>‘Unknown’ in Fuel_Type / Transmission / Color / City</w:t>
            </w:r>
          </w:p>
        </w:tc>
        <w:tc>
          <w:tcPr>
            <w:tcW w:type="dxa" w:w="1814"/>
          </w:tcPr>
          <w:p>
            <w:pPr>
              <w:spacing w:after="0"/>
            </w:pPr>
            <w:r/>
            <w:r>
              <w:rPr>
                <w:rFonts w:ascii="Arial" w:hAnsi="Arial"/>
                <w:sz w:val="13"/>
              </w:rPr>
              <w:t>Frequency table</w:t>
            </w:r>
          </w:p>
        </w:tc>
        <w:tc>
          <w:tcPr>
            <w:tcW w:type="dxa" w:w="2154"/>
          </w:tcPr>
          <w:p>
            <w:pPr>
              <w:spacing w:after="0"/>
            </w:pPr>
            <w:r/>
            <w:r>
              <w:rPr>
                <w:rFonts w:ascii="Arial" w:hAnsi="Arial"/>
                <w:sz w:val="13"/>
              </w:rPr>
              <w:t>78,733 / 80,385 / 80,419 / 80,430 (284k rows)</w:t>
            </w:r>
          </w:p>
        </w:tc>
        <w:tc>
          <w:tcPr>
            <w:tcW w:type="dxa" w:w="1587"/>
          </w:tcPr>
          <w:p>
            <w:pPr>
              <w:spacing w:after="0"/>
            </w:pPr>
            <w:r/>
            <w:r>
              <w:rPr>
                <w:rFonts w:ascii="Arial" w:hAnsi="Arial"/>
                <w:sz w:val="13"/>
              </w:rPr>
              <w:t>Kept as own category</w:t>
            </w:r>
          </w:p>
        </w:tc>
        <w:tc>
          <w:tcPr>
            <w:tcW w:type="dxa" w:w="2381"/>
          </w:tcPr>
          <w:p>
            <w:pPr>
              <w:spacing w:after="0"/>
            </w:pPr>
            <w:r/>
            <w:r>
              <w:rPr>
                <w:rFonts w:ascii="Arial" w:hAnsi="Arial"/>
                <w:sz w:val="13"/>
              </w:rPr>
              <w:t>Deleting would drop 28% of rows; true category cannot be inferred</w:t>
            </w:r>
          </w:p>
        </w:tc>
      </w:tr>
      <w:tr>
        <w:tc>
          <w:tcPr>
            <w:tcW w:type="dxa" w:w="2154"/>
          </w:tcPr>
          <w:p>
            <w:pPr>
              <w:spacing w:after="0"/>
            </w:pPr>
            <w:r/>
            <w:r>
              <w:rPr>
                <w:rFonts w:ascii="Arial" w:hAnsi="Arial"/>
                <w:sz w:val="13"/>
              </w:rPr>
              <w:t>Missing numeric values</w:t>
            </w:r>
          </w:p>
        </w:tc>
        <w:tc>
          <w:tcPr>
            <w:tcW w:type="dxa" w:w="1814"/>
          </w:tcPr>
          <w:p>
            <w:pPr>
              <w:spacing w:after="0"/>
            </w:pPr>
            <w:r/>
            <w:r>
              <w:rPr>
                <w:rFonts w:ascii="Arial" w:hAnsi="Arial"/>
                <w:sz w:val="13"/>
              </w:rPr>
              <w:t>COUNTBLANK per column</w:t>
            </w:r>
          </w:p>
        </w:tc>
        <w:tc>
          <w:tcPr>
            <w:tcW w:type="dxa" w:w="2154"/>
          </w:tcPr>
          <w:p>
            <w:pPr>
              <w:spacing w:after="0"/>
            </w:pPr>
            <w:r/>
            <w:r>
              <w:rPr>
                <w:rFonts w:ascii="Arial" w:hAnsi="Arial"/>
                <w:sz w:val="13"/>
              </w:rPr>
              <w:t>0</w:t>
            </w:r>
          </w:p>
        </w:tc>
        <w:tc>
          <w:tcPr>
            <w:tcW w:type="dxa" w:w="1587"/>
          </w:tcPr>
          <w:p>
            <w:pPr>
              <w:spacing w:after="0"/>
            </w:pPr>
            <w:r/>
            <w:r>
              <w:rPr>
                <w:rFonts w:ascii="Arial" w:hAnsi="Arial"/>
                <w:sz w:val="13"/>
              </w:rPr>
              <w:t>None needed</w:t>
            </w:r>
          </w:p>
        </w:tc>
        <w:tc>
          <w:tcPr>
            <w:tcW w:type="dxa" w:w="2381"/>
          </w:tcPr>
          <w:p>
            <w:pPr>
              <w:spacing w:after="0"/>
            </w:pPr>
            <w:r/>
            <w:r>
              <w:rPr>
                <w:rFonts w:ascii="Arial" w:hAnsi="Arial"/>
                <w:sz w:val="13"/>
              </w:rPr>
              <w:t>Workbook notes randomisation filled them</w:t>
            </w:r>
          </w:p>
        </w:tc>
      </w:tr>
      <w:tr>
        <w:tc>
          <w:tcPr>
            <w:tcW w:type="dxa" w:w="2154"/>
          </w:tcPr>
          <w:p>
            <w:pPr>
              <w:spacing w:after="0"/>
            </w:pPr>
            <w:r/>
            <w:r>
              <w:rPr>
                <w:rFonts w:ascii="Arial" w:hAnsi="Arial"/>
                <w:sz w:val="13"/>
              </w:rPr>
              <w:t>Zero or isolated extreme technical values</w:t>
            </w:r>
          </w:p>
        </w:tc>
        <w:tc>
          <w:tcPr>
            <w:tcW w:type="dxa" w:w="1814"/>
          </w:tcPr>
          <w:p>
            <w:pPr>
              <w:spacing w:after="0"/>
            </w:pPr>
            <w:r/>
            <w:r>
              <w:rPr>
                <w:rFonts w:ascii="Arial" w:hAnsi="Arial"/>
                <w:sz w:val="13"/>
              </w:rPr>
              <w:t>= 0 or beyond mean ± 3 SD</w:t>
            </w:r>
          </w:p>
        </w:tc>
        <w:tc>
          <w:tcPr>
            <w:tcW w:type="dxa" w:w="2154"/>
          </w:tcPr>
          <w:p>
            <w:pPr>
              <w:spacing w:after="0"/>
            </w:pPr>
            <w:r/>
            <w:r>
              <w:rPr>
                <w:rFonts w:ascii="Arial" w:hAnsi="Arial"/>
                <w:sz w:val="13"/>
              </w:rPr>
              <w:t>Mileage 40, Engine 64, HP 43</w:t>
            </w:r>
          </w:p>
        </w:tc>
        <w:tc>
          <w:tcPr>
            <w:tcW w:type="dxa" w:w="1587"/>
          </w:tcPr>
          <w:p>
            <w:pPr>
              <w:spacing w:after="0"/>
            </w:pPr>
            <w:r/>
            <w:r>
              <w:rPr>
                <w:rFonts w:ascii="Arial" w:hAnsi="Arial"/>
                <w:sz w:val="13"/>
              </w:rPr>
              <w:t>Set to missing for that field only</w:t>
            </w:r>
          </w:p>
        </w:tc>
        <w:tc>
          <w:tcPr>
            <w:tcW w:type="dxa" w:w="2381"/>
          </w:tcPr>
          <w:p>
            <w:pPr>
              <w:spacing w:after="0"/>
            </w:pPr>
            <w:r/>
            <w:r>
              <w:rPr>
                <w:rFonts w:ascii="Arial" w:hAnsi="Arial"/>
                <w:sz w:val="13"/>
              </w:rPr>
              <w:t>Physically impossible or far outside a bounded range</w:t>
            </w:r>
          </w:p>
        </w:tc>
      </w:tr>
      <w:tr>
        <w:tc>
          <w:tcPr>
            <w:tcW w:type="dxa" w:w="2154"/>
          </w:tcPr>
          <w:p>
            <w:pPr>
              <w:spacing w:after="0"/>
            </w:pPr>
            <w:r/>
            <w:r>
              <w:rPr>
                <w:rFonts w:ascii="Arial" w:hAnsi="Arial"/>
                <w:sz w:val="13"/>
              </w:rPr>
              <w:t>Duplicated records</w:t>
            </w:r>
          </w:p>
        </w:tc>
        <w:tc>
          <w:tcPr>
            <w:tcW w:type="dxa" w:w="1814"/>
          </w:tcPr>
          <w:p>
            <w:pPr>
              <w:spacing w:after="0"/>
            </w:pPr>
            <w:r/>
            <w:r>
              <w:rPr>
                <w:rFonts w:ascii="Arial" w:hAnsi="Arial"/>
                <w:sz w:val="13"/>
              </w:rPr>
              <w:t>Exact 20-field match; 15-field match vs permutation baseline</w:t>
            </w:r>
          </w:p>
        </w:tc>
        <w:tc>
          <w:tcPr>
            <w:tcW w:type="dxa" w:w="2154"/>
          </w:tcPr>
          <w:p>
            <w:pPr>
              <w:spacing w:after="0"/>
            </w:pPr>
            <w:r/>
            <w:r>
              <w:rPr>
                <w:rFonts w:ascii="Arial" w:hAnsi="Arial"/>
                <w:sz w:val="13"/>
              </w:rPr>
              <w:t>0 exact; 29,640 vs 25,106 by chance (≈4,500 genuine)</w:t>
            </w:r>
          </w:p>
        </w:tc>
        <w:tc>
          <w:tcPr>
            <w:tcW w:type="dxa" w:w="1587"/>
          </w:tcPr>
          <w:p>
            <w:pPr>
              <w:spacing w:after="0"/>
            </w:pPr>
            <w:r/>
            <w:r>
              <w:rPr>
                <w:rFonts w:ascii="Arial" w:hAnsi="Arial"/>
                <w:sz w:val="13"/>
              </w:rPr>
              <w:t>Flagged, retained</w:t>
            </w:r>
          </w:p>
        </w:tc>
        <w:tc>
          <w:tcPr>
            <w:tcW w:type="dxa" w:w="2381"/>
          </w:tcPr>
          <w:p>
            <w:pPr>
              <w:spacing w:after="0"/>
            </w:pPr>
            <w:r/>
            <w:r>
              <w:rPr>
                <w:rFonts w:ascii="Arial" w:hAnsi="Arial"/>
                <w:sz w:val="13"/>
              </w:rPr>
              <w:t>Individual duplicates unidentifiable; median impact 0.01%</w:t>
            </w:r>
          </w:p>
        </w:tc>
      </w:tr>
      <w:tr>
        <w:tc>
          <w:tcPr>
            <w:tcW w:type="dxa" w:w="2154"/>
          </w:tcPr>
          <w:p>
            <w:pPr>
              <w:spacing w:after="0"/>
            </w:pPr>
            <w:r/>
            <w:r>
              <w:rPr>
                <w:rFonts w:ascii="Arial" w:hAnsi="Arial"/>
                <w:sz w:val="13"/>
              </w:rPr>
              <w:t>Kms_Driven &gt; 1,000,000</w:t>
            </w:r>
          </w:p>
        </w:tc>
        <w:tc>
          <w:tcPr>
            <w:tcW w:type="dxa" w:w="1814"/>
          </w:tcPr>
          <w:p>
            <w:pPr>
              <w:spacing w:after="0"/>
            </w:pPr>
            <w:r/>
            <w:r>
              <w:rPr>
                <w:rFonts w:ascii="Arial" w:hAnsi="Arial"/>
                <w:sz w:val="13"/>
              </w:rPr>
              <w:t>Filter</w:t>
            </w:r>
          </w:p>
        </w:tc>
        <w:tc>
          <w:tcPr>
            <w:tcW w:type="dxa" w:w="2154"/>
          </w:tcPr>
          <w:p>
            <w:pPr>
              <w:spacing w:after="0"/>
            </w:pPr>
            <w:r/>
            <w:r>
              <w:rPr>
                <w:rFonts w:ascii="Arial" w:hAnsi="Arial"/>
                <w:sz w:val="13"/>
              </w:rPr>
              <w:t>6,134 (0.61%; 6,117 expected)</w:t>
            </w:r>
          </w:p>
        </w:tc>
        <w:tc>
          <w:tcPr>
            <w:tcW w:type="dxa" w:w="1587"/>
          </w:tcPr>
          <w:p>
            <w:pPr>
              <w:spacing w:after="0"/>
            </w:pPr>
            <w:r/>
            <w:r>
              <w:rPr>
                <w:rFonts w:ascii="Arial" w:hAnsi="Arial"/>
                <w:sz w:val="13"/>
              </w:rPr>
              <w:t>Excluded from usage analysis only</w:t>
            </w:r>
          </w:p>
        </w:tc>
        <w:tc>
          <w:tcPr>
            <w:tcW w:type="dxa" w:w="2381"/>
          </w:tcPr>
          <w:p>
            <w:pPr>
              <w:spacing w:after="0"/>
            </w:pPr>
            <w:r/>
            <w:r>
              <w:rPr>
                <w:rFonts w:ascii="Arial" w:hAnsi="Arial"/>
                <w:sz w:val="13"/>
              </w:rPr>
              <w:t>Guide’s plausibility threshold; price still valid</w:t>
            </w:r>
          </w:p>
        </w:tc>
      </w:tr>
      <w:tr>
        <w:tc>
          <w:tcPr>
            <w:tcW w:type="dxa" w:w="2154"/>
          </w:tcPr>
          <w:p>
            <w:pPr>
              <w:spacing w:after="0"/>
            </w:pPr>
            <w:r/>
            <w:r>
              <w:rPr>
                <w:rFonts w:ascii="Arial" w:hAnsi="Arial"/>
                <w:sz w:val="13"/>
              </w:rPr>
              <w:t>Extreme Car_Price</w:t>
            </w:r>
          </w:p>
        </w:tc>
        <w:tc>
          <w:tcPr>
            <w:tcW w:type="dxa" w:w="1814"/>
          </w:tcPr>
          <w:p>
            <w:pPr>
              <w:spacing w:after="0"/>
            </w:pPr>
            <w:r/>
            <w:r>
              <w:rPr>
                <w:rFonts w:ascii="Arial" w:hAnsi="Arial"/>
                <w:sz w:val="13"/>
              </w:rPr>
              <w:t>Log-scale 3 × IQR fence</w:t>
            </w:r>
          </w:p>
        </w:tc>
        <w:tc>
          <w:tcPr>
            <w:tcW w:type="dxa" w:w="2154"/>
          </w:tcPr>
          <w:p>
            <w:pPr>
              <w:spacing w:after="0"/>
            </w:pPr>
            <w:r/>
            <w:r>
              <w:rPr>
                <w:rFonts w:ascii="Arial" w:hAnsi="Arial"/>
                <w:sz w:val="13"/>
              </w:rPr>
              <w:t>1 low, 2 high</w:t>
            </w:r>
          </w:p>
        </w:tc>
        <w:tc>
          <w:tcPr>
            <w:tcW w:type="dxa" w:w="1587"/>
          </w:tcPr>
          <w:p>
            <w:pPr>
              <w:spacing w:after="0"/>
            </w:pPr>
            <w:r/>
            <w:r>
              <w:rPr>
                <w:rFonts w:ascii="Arial" w:hAnsi="Arial"/>
                <w:sz w:val="13"/>
              </w:rPr>
              <w:t>Retained; medians and logs used</w:t>
            </w:r>
          </w:p>
        </w:tc>
        <w:tc>
          <w:tcPr>
            <w:tcW w:type="dxa" w:w="2381"/>
          </w:tcPr>
          <w:p>
            <w:pPr>
              <w:spacing w:after="0"/>
            </w:pPr>
            <w:r/>
            <w:r>
              <w:rPr>
                <w:rFonts w:ascii="Arial" w:hAnsi="Arial"/>
                <w:sz w:val="13"/>
              </w:rPr>
              <w:t>Consistent with a log-normal tail</w:t>
            </w:r>
          </w:p>
        </w:tc>
      </w:tr>
      <w:tr>
        <w:tc>
          <w:tcPr>
            <w:tcW w:type="dxa" w:w="2154"/>
          </w:tcPr>
          <w:p>
            <w:pPr>
              <w:spacing w:after="0"/>
            </w:pPr>
            <w:r/>
            <w:r>
              <w:rPr>
                <w:rFonts w:ascii="Arial" w:hAnsi="Arial"/>
                <w:sz w:val="13"/>
              </w:rPr>
              <w:t>Internal consistency</w:t>
            </w:r>
          </w:p>
        </w:tc>
        <w:tc>
          <w:tcPr>
            <w:tcW w:type="dxa" w:w="1814"/>
          </w:tcPr>
          <w:p>
            <w:pPr>
              <w:spacing w:after="0"/>
            </w:pPr>
            <w:r/>
            <w:r>
              <w:rPr>
                <w:rFonts w:ascii="Arial" w:hAnsi="Arial"/>
                <w:sz w:val="13"/>
              </w:rPr>
              <w:t>Year + Registration_Age; Brand × Model</w:t>
            </w:r>
          </w:p>
        </w:tc>
        <w:tc>
          <w:tcPr>
            <w:tcW w:type="dxa" w:w="2154"/>
          </w:tcPr>
          <w:p>
            <w:pPr>
              <w:spacing w:after="0"/>
            </w:pPr>
            <w:r/>
            <w:r>
              <w:rPr>
                <w:rFonts w:ascii="Arial" w:hAnsi="Arial"/>
                <w:sz w:val="13"/>
              </w:rPr>
              <w:t>100% = 2025; 39 models → 1 brand each</w:t>
            </w:r>
          </w:p>
        </w:tc>
        <w:tc>
          <w:tcPr>
            <w:tcW w:type="dxa" w:w="1587"/>
          </w:tcPr>
          <w:p>
            <w:pPr>
              <w:spacing w:after="0"/>
            </w:pPr>
            <w:r/>
            <w:r>
              <w:rPr>
                <w:rFonts w:ascii="Arial" w:hAnsi="Arial"/>
                <w:sz w:val="13"/>
              </w:rPr>
              <w:t>Used as provided</w:t>
            </w:r>
          </w:p>
        </w:tc>
        <w:tc>
          <w:tcPr>
            <w:tcW w:type="dxa" w:w="2381"/>
          </w:tcPr>
          <w:p>
            <w:pPr>
              <w:spacing w:after="0"/>
            </w:pPr>
            <w:r/>
            <w:r>
              <w:rPr>
                <w:rFonts w:ascii="Arial" w:hAnsi="Arial"/>
                <w:sz w:val="13"/>
              </w:rPr>
              <w:t>Confirms fields are coherent</w:t>
            </w:r>
          </w:p>
        </w:tc>
      </w:tr>
    </w:tbl>
    <w:p>
      <w:pPr>
        <w:keepNext/>
        <w:spacing w:before="180" w:after="60"/>
      </w:pPr>
      <w:r>
        <w:rPr>
          <w:rFonts w:ascii="Arial" w:hAnsi="Arial"/>
          <w:b/>
          <w:color w:val="2A78D6"/>
          <w:sz w:val="23"/>
        </w:rPr>
        <w:t xml:space="preserve">3  </w:t>
      </w:r>
      <w:r>
        <w:rPr>
          <w:rFonts w:ascii="Arial" w:hAnsi="Arial"/>
          <w:b/>
          <w:color w:val="1F1F1D"/>
          <w:sz w:val="23"/>
        </w:rPr>
        <w:t>Descriptive statistics</w:t>
      </w:r>
    </w:p>
    <w:p>
      <w:pPr>
        <w:jc w:val="both"/>
      </w:pPr>
      <w:r>
        <w:rPr>
          <w:b w:val="0"/>
          <w:i w:val="0"/>
        </w:rPr>
        <w:t>Table 2 summarises the key variables for the full sample and both segments. Car_Price is heavily right-skewed (skewness 4.9): the mean (INR 1.015m) exceeds the median (INR 0.674m) by 50.7%, and 67.5% of cars are priced below the mean (Figure 1A). On a log scale the distribution is almost perfectly symmetric (skewness 0.001; Figure 1B), so price is approximately log-normal. The client should therefore receive the median with its interquartile range (INR 0.37m–1.24m), not the mean, and later models should use log price.</w:t>
      </w:r>
    </w:p>
    <w:p>
      <w:pPr>
        <w:jc w:val="both"/>
      </w:pPr>
      <w:r>
        <w:rPr>
          <w:b w:val="0"/>
          <w:i w:val="0"/>
        </w:rPr>
        <w:t>The segments are near-identical on every variable: price medians differ by under 0.2%, age medians not at all, and insurance, service and tax shares agree within 0.2 percentage points. Registration_Age is uniform (1–25 years). Engine_CC, Horsepower and Mileage_kmpl are flat-topped (excess kurtosis −1.17) with small peaks at both edges, so their modes (e.g. 875 cc) are unrepresentative and the median is the better anchor.</w:t>
      </w:r>
    </w:p>
    <w:p>
      <w:pPr>
        <w:keepNext/>
        <w:spacing w:before="120" w:after="40"/>
      </w:pPr>
      <w:r>
        <w:rPr>
          <w:rFonts w:ascii="Arial" w:hAnsi="Arial"/>
          <w:b/>
          <w:sz w:val="15"/>
        </w:rPr>
        <w:t>Table 2. Numerical summaries: entire sample, luxury (Audi, BMW, Mercedes) and non-luxury segments</w:t>
      </w:r>
    </w:p>
    <w:tbl>
      <w:tblPr>
        <w:tblW w:type="auto" w:w="0"/>
        <w:jc w:val="center"/>
        <w:tblLayout w:type="fixed"/>
        <w:tblLook w:firstColumn="1" w:firstRow="1" w:lastColumn="0" w:lastRow="0" w:noHBand="0" w:noVBand="1" w:val="04A0"/>
        <w:tblBorders>
          <w:top w:val="single" w:sz="8" w:color="1f1f1d"/>
          <w:bottom w:val="single" w:sz="8" w:color="1f1f1d"/>
          <w:insideH w:val="single" w:sz="2" w:color="d9d8d3"/>
          <w:left w:val="nil" w:sz="0" w:color="ffffff"/>
          <w:right w:val="nil" w:sz="0" w:color="ffffff"/>
          <w:insideV w:val="nil" w:sz="0" w:color="ffffff"/>
        </w:tblBorders>
      </w:tblPr>
      <w:tblGrid>
        <w:gridCol w:w="1121"/>
        <w:gridCol w:w="1121"/>
        <w:gridCol w:w="1121"/>
        <w:gridCol w:w="1121"/>
        <w:gridCol w:w="1121"/>
        <w:gridCol w:w="1121"/>
        <w:gridCol w:w="1121"/>
        <w:gridCol w:w="1121"/>
        <w:gridCol w:w="1121"/>
      </w:tblGrid>
      <w:tr>
        <w:tc>
          <w:tcPr>
            <w:tcW w:type="dxa" w:w="2041"/>
            <w:shd w:val="clear" w:color="auto" w:fill="f4f3ef"/>
          </w:tcPr>
          <w:p>
            <w:r/>
            <w:r>
              <w:rPr>
                <w:rFonts w:ascii="Arial" w:hAnsi="Arial"/>
                <w:b/>
                <w:sz w:val="13"/>
              </w:rPr>
              <w:t>Variable</w:t>
            </w:r>
          </w:p>
        </w:tc>
        <w:tc>
          <w:tcPr>
            <w:tcW w:type="dxa" w:w="794"/>
            <w:shd w:val="clear" w:color="auto" w:fill="f4f3ef"/>
          </w:tcPr>
          <w:p>
            <w:r/>
            <w:r>
              <w:rPr>
                <w:rFonts w:ascii="Arial" w:hAnsi="Arial"/>
                <w:b/>
                <w:sz w:val="13"/>
              </w:rPr>
              <w:t>Group</w:t>
            </w:r>
          </w:p>
        </w:tc>
        <w:tc>
          <w:tcPr>
            <w:tcW w:type="dxa" w:w="1020"/>
            <w:shd w:val="clear" w:color="auto" w:fill="f4f3ef"/>
          </w:tcPr>
          <w:p>
            <w:pPr>
              <w:jc w:val="right"/>
            </w:pPr>
            <w:r/>
            <w:r>
              <w:rPr>
                <w:rFonts w:ascii="Arial" w:hAnsi="Arial"/>
                <w:b/>
                <w:sz w:val="13"/>
              </w:rPr>
              <w:t>n</w:t>
            </w:r>
          </w:p>
        </w:tc>
        <w:tc>
          <w:tcPr>
            <w:tcW w:type="dxa" w:w="1020"/>
            <w:shd w:val="clear" w:color="auto" w:fill="f4f3ef"/>
          </w:tcPr>
          <w:p>
            <w:pPr>
              <w:jc w:val="right"/>
            </w:pPr>
            <w:r/>
            <w:r>
              <w:rPr>
                <w:rFonts w:ascii="Arial" w:hAnsi="Arial"/>
                <w:b/>
                <w:sz w:val="13"/>
              </w:rPr>
              <w:t>Mean</w:t>
            </w:r>
          </w:p>
        </w:tc>
        <w:tc>
          <w:tcPr>
            <w:tcW w:type="dxa" w:w="1020"/>
            <w:shd w:val="clear" w:color="auto" w:fill="f4f3ef"/>
          </w:tcPr>
          <w:p>
            <w:pPr>
              <w:jc w:val="right"/>
            </w:pPr>
            <w:r/>
            <w:r>
              <w:rPr>
                <w:rFonts w:ascii="Arial" w:hAnsi="Arial"/>
                <w:b/>
                <w:sz w:val="13"/>
              </w:rPr>
              <w:t>Median</w:t>
            </w:r>
          </w:p>
        </w:tc>
        <w:tc>
          <w:tcPr>
            <w:tcW w:type="dxa" w:w="907"/>
            <w:shd w:val="clear" w:color="auto" w:fill="f4f3ef"/>
          </w:tcPr>
          <w:p>
            <w:pPr>
              <w:jc w:val="right"/>
            </w:pPr>
            <w:r/>
            <w:r>
              <w:rPr>
                <w:rFonts w:ascii="Arial" w:hAnsi="Arial"/>
                <w:b/>
                <w:sz w:val="13"/>
              </w:rPr>
              <w:t>Mode*</w:t>
            </w:r>
          </w:p>
        </w:tc>
        <w:tc>
          <w:tcPr>
            <w:tcW w:type="dxa" w:w="1020"/>
            <w:shd w:val="clear" w:color="auto" w:fill="f4f3ef"/>
          </w:tcPr>
          <w:p>
            <w:pPr>
              <w:jc w:val="right"/>
            </w:pPr>
            <w:r/>
            <w:r>
              <w:rPr>
                <w:rFonts w:ascii="Arial" w:hAnsi="Arial"/>
                <w:b/>
                <w:sz w:val="13"/>
              </w:rPr>
              <w:t>SD</w:t>
            </w:r>
          </w:p>
        </w:tc>
        <w:tc>
          <w:tcPr>
            <w:tcW w:type="dxa" w:w="907"/>
            <w:shd w:val="clear" w:color="auto" w:fill="f4f3ef"/>
          </w:tcPr>
          <w:p>
            <w:pPr>
              <w:jc w:val="right"/>
            </w:pPr>
            <w:r/>
            <w:r>
              <w:rPr>
                <w:rFonts w:ascii="Arial" w:hAnsi="Arial"/>
                <w:b/>
                <w:sz w:val="13"/>
              </w:rPr>
              <w:t>Min</w:t>
            </w:r>
          </w:p>
        </w:tc>
        <w:tc>
          <w:tcPr>
            <w:tcW w:type="dxa" w:w="1134"/>
            <w:shd w:val="clear" w:color="auto" w:fill="f4f3ef"/>
          </w:tcPr>
          <w:p>
            <w:pPr>
              <w:jc w:val="right"/>
            </w:pPr>
            <w:r/>
            <w:r>
              <w:rPr>
                <w:rFonts w:ascii="Arial" w:hAnsi="Arial"/>
                <w:b/>
                <w:sz w:val="13"/>
              </w:rPr>
              <w:t>Max</w:t>
            </w:r>
          </w:p>
        </w:tc>
      </w:tr>
      <w:tr>
        <w:tc>
          <w:tcPr>
            <w:tcW w:type="dxa" w:w="2041"/>
          </w:tcPr>
          <w:p>
            <w:pPr>
              <w:spacing w:after="0"/>
            </w:pPr>
            <w:r/>
            <w:r>
              <w:rPr>
                <w:rFonts w:ascii="Arial" w:hAnsi="Arial"/>
                <w:b/>
                <w:sz w:val="13"/>
              </w:rPr>
              <w:t>Car_Price (INR)</w:t>
            </w:r>
          </w:p>
        </w:tc>
        <w:tc>
          <w:tcPr>
            <w:tcW w:type="dxa" w:w="794"/>
          </w:tcPr>
          <w:p>
            <w:pPr>
              <w:spacing w:after="0"/>
            </w:pPr>
            <w:r/>
            <w:r>
              <w:rPr>
                <w:rFonts w:ascii="Arial" w:hAnsi="Arial"/>
                <w:sz w:val="13"/>
              </w:rPr>
              <w:t>All</w:t>
            </w:r>
          </w:p>
        </w:tc>
        <w:tc>
          <w:tcPr>
            <w:tcW w:type="dxa" w:w="1020"/>
          </w:tcPr>
          <w:p>
            <w:pPr>
              <w:spacing w:after="0"/>
              <w:jc w:val="right"/>
            </w:pPr>
            <w:r/>
            <w:r>
              <w:rPr>
                <w:rFonts w:ascii="Arial" w:hAnsi="Arial"/>
                <w:sz w:val="13"/>
              </w:rPr>
              <w:t>1,005,000</w:t>
            </w:r>
          </w:p>
        </w:tc>
        <w:tc>
          <w:tcPr>
            <w:tcW w:type="dxa" w:w="1020"/>
          </w:tcPr>
          <w:p>
            <w:pPr>
              <w:spacing w:after="0"/>
              <w:jc w:val="right"/>
            </w:pPr>
            <w:r/>
            <w:r>
              <w:rPr>
                <w:rFonts w:ascii="Arial" w:hAnsi="Arial"/>
                <w:sz w:val="13"/>
              </w:rPr>
              <w:t>1,015,107</w:t>
            </w:r>
          </w:p>
        </w:tc>
        <w:tc>
          <w:tcPr>
            <w:tcW w:type="dxa" w:w="1020"/>
          </w:tcPr>
          <w:p>
            <w:pPr>
              <w:spacing w:after="0"/>
              <w:jc w:val="right"/>
            </w:pPr>
            <w:r/>
            <w:r>
              <w:rPr>
                <w:rFonts w:ascii="Arial" w:hAnsi="Arial"/>
                <w:sz w:val="13"/>
              </w:rPr>
              <w:t>673,522</w:t>
            </w:r>
          </w:p>
        </w:tc>
        <w:tc>
          <w:tcPr>
            <w:tcW w:type="dxa" w:w="907"/>
          </w:tcPr>
          <w:p>
            <w:pPr>
              <w:spacing w:after="0"/>
              <w:jc w:val="right"/>
            </w:pPr>
            <w:r/>
            <w:r>
              <w:rPr>
                <w:rFonts w:ascii="Arial" w:hAnsi="Arial"/>
                <w:sz w:val="13"/>
              </w:rPr>
              <w:t>275,000</w:t>
            </w:r>
          </w:p>
        </w:tc>
        <w:tc>
          <w:tcPr>
            <w:tcW w:type="dxa" w:w="1020"/>
          </w:tcPr>
          <w:p>
            <w:pPr>
              <w:spacing w:after="0"/>
              <w:jc w:val="right"/>
            </w:pPr>
            <w:r/>
            <w:r>
              <w:rPr>
                <w:rFonts w:ascii="Arial" w:hAnsi="Arial"/>
                <w:sz w:val="13"/>
              </w:rPr>
              <w:t>1,147,780</w:t>
            </w:r>
          </w:p>
        </w:tc>
        <w:tc>
          <w:tcPr>
            <w:tcW w:type="dxa" w:w="907"/>
          </w:tcPr>
          <w:p>
            <w:pPr>
              <w:spacing w:after="0"/>
              <w:jc w:val="right"/>
            </w:pPr>
            <w:r/>
            <w:r>
              <w:rPr>
                <w:rFonts w:ascii="Arial" w:hAnsi="Arial"/>
                <w:sz w:val="13"/>
              </w:rPr>
              <w:t>8,043</w:t>
            </w:r>
          </w:p>
        </w:tc>
        <w:tc>
          <w:tcPr>
            <w:tcW w:type="dxa" w:w="1134"/>
          </w:tcPr>
          <w:p>
            <w:pPr>
              <w:spacing w:after="0"/>
              <w:jc w:val="right"/>
            </w:pPr>
            <w:r/>
            <w:r>
              <w:rPr>
                <w:rFonts w:ascii="Arial" w:hAnsi="Arial"/>
                <w:sz w:val="13"/>
              </w:rPr>
              <w:t>51,993,222</w:t>
            </w:r>
          </w:p>
        </w:tc>
      </w:tr>
      <w:tr>
        <w:tc>
          <w:tcPr>
            <w:tcW w:type="dxa" w:w="2041"/>
          </w:tcPr>
          <w:p>
            <w:pPr>
              <w:spacing w:after="0"/>
            </w:pPr>
            <w:r/>
            <w:r>
              <w:rPr>
                <w:rFonts w:ascii="Arial" w:hAnsi="Arial"/>
                <w:sz w:val="13"/>
              </w:rPr>
            </w:r>
          </w:p>
        </w:tc>
        <w:tc>
          <w:tcPr>
            <w:tcW w:type="dxa" w:w="794"/>
          </w:tcPr>
          <w:p>
            <w:pPr>
              <w:spacing w:after="0"/>
            </w:pPr>
            <w:r/>
            <w:r>
              <w:rPr>
                <w:rFonts w:ascii="Arial" w:hAnsi="Arial"/>
                <w:b/>
                <w:color w:val="C4501F"/>
                <w:sz w:val="13"/>
              </w:rPr>
              <w:t>Luxury</w:t>
            </w:r>
          </w:p>
        </w:tc>
        <w:tc>
          <w:tcPr>
            <w:tcW w:type="dxa" w:w="1020"/>
          </w:tcPr>
          <w:p>
            <w:pPr>
              <w:spacing w:after="0"/>
              <w:jc w:val="right"/>
            </w:pPr>
            <w:r/>
            <w:r>
              <w:rPr>
                <w:rFonts w:ascii="Arial" w:hAnsi="Arial"/>
                <w:sz w:val="13"/>
              </w:rPr>
              <w:t>232,172</w:t>
            </w:r>
          </w:p>
        </w:tc>
        <w:tc>
          <w:tcPr>
            <w:tcW w:type="dxa" w:w="1020"/>
          </w:tcPr>
          <w:p>
            <w:pPr>
              <w:spacing w:after="0"/>
              <w:jc w:val="right"/>
            </w:pPr>
            <w:r/>
            <w:r>
              <w:rPr>
                <w:rFonts w:ascii="Arial" w:hAnsi="Arial"/>
                <w:sz w:val="13"/>
              </w:rPr>
              <w:t>1,012,738</w:t>
            </w:r>
          </w:p>
        </w:tc>
        <w:tc>
          <w:tcPr>
            <w:tcW w:type="dxa" w:w="1020"/>
          </w:tcPr>
          <w:p>
            <w:pPr>
              <w:spacing w:after="0"/>
              <w:jc w:val="right"/>
            </w:pPr>
            <w:r/>
            <w:r>
              <w:rPr>
                <w:rFonts w:ascii="Arial" w:hAnsi="Arial"/>
                <w:sz w:val="13"/>
              </w:rPr>
              <w:t>672,614</w:t>
            </w:r>
          </w:p>
        </w:tc>
        <w:tc>
          <w:tcPr>
            <w:tcW w:type="dxa" w:w="907"/>
          </w:tcPr>
          <w:p>
            <w:pPr>
              <w:spacing w:after="0"/>
              <w:jc w:val="right"/>
            </w:pPr>
            <w:r/>
            <w:r>
              <w:rPr>
                <w:rFonts w:ascii="Arial" w:hAnsi="Arial"/>
                <w:sz w:val="13"/>
              </w:rPr>
              <w:t>325,000</w:t>
            </w:r>
          </w:p>
        </w:tc>
        <w:tc>
          <w:tcPr>
            <w:tcW w:type="dxa" w:w="1020"/>
          </w:tcPr>
          <w:p>
            <w:pPr>
              <w:spacing w:after="0"/>
              <w:jc w:val="right"/>
            </w:pPr>
            <w:r/>
            <w:r>
              <w:rPr>
                <w:rFonts w:ascii="Arial" w:hAnsi="Arial"/>
                <w:sz w:val="13"/>
              </w:rPr>
              <w:t>1,130,612</w:t>
            </w:r>
          </w:p>
        </w:tc>
        <w:tc>
          <w:tcPr>
            <w:tcW w:type="dxa" w:w="907"/>
          </w:tcPr>
          <w:p>
            <w:pPr>
              <w:spacing w:after="0"/>
              <w:jc w:val="right"/>
            </w:pPr>
            <w:r/>
            <w:r>
              <w:rPr>
                <w:rFonts w:ascii="Arial" w:hAnsi="Arial"/>
                <w:sz w:val="13"/>
              </w:rPr>
              <w:t>11,017</w:t>
            </w:r>
          </w:p>
        </w:tc>
        <w:tc>
          <w:tcPr>
            <w:tcW w:type="dxa" w:w="1134"/>
          </w:tcPr>
          <w:p>
            <w:pPr>
              <w:spacing w:after="0"/>
              <w:jc w:val="right"/>
            </w:pPr>
            <w:r/>
            <w:r>
              <w:rPr>
                <w:rFonts w:ascii="Arial" w:hAnsi="Arial"/>
                <w:sz w:val="13"/>
              </w:rPr>
              <w:t>41,975,979</w:t>
            </w:r>
          </w:p>
        </w:tc>
      </w:tr>
      <w:tr>
        <w:tc>
          <w:tcPr>
            <w:tcW w:type="dxa" w:w="2041"/>
          </w:tcPr>
          <w:p>
            <w:pPr>
              <w:spacing w:after="0"/>
            </w:pPr>
            <w:r/>
            <w:r>
              <w:rPr>
                <w:rFonts w:ascii="Arial" w:hAnsi="Arial"/>
                <w:sz w:val="13"/>
              </w:rPr>
            </w:r>
          </w:p>
        </w:tc>
        <w:tc>
          <w:tcPr>
            <w:tcW w:type="dxa" w:w="794"/>
          </w:tcPr>
          <w:p>
            <w:pPr>
              <w:spacing w:after="0"/>
            </w:pPr>
            <w:r/>
            <w:r>
              <w:rPr>
                <w:rFonts w:ascii="Arial" w:hAnsi="Arial"/>
                <w:color w:val="2A78D6"/>
                <w:sz w:val="13"/>
              </w:rPr>
              <w:t>Non-lux.</w:t>
            </w:r>
          </w:p>
        </w:tc>
        <w:tc>
          <w:tcPr>
            <w:tcW w:type="dxa" w:w="1020"/>
          </w:tcPr>
          <w:p>
            <w:pPr>
              <w:spacing w:after="0"/>
              <w:jc w:val="right"/>
            </w:pPr>
            <w:r/>
            <w:r>
              <w:rPr>
                <w:rFonts w:ascii="Arial" w:hAnsi="Arial"/>
                <w:sz w:val="13"/>
              </w:rPr>
              <w:t>772,828</w:t>
            </w:r>
          </w:p>
        </w:tc>
        <w:tc>
          <w:tcPr>
            <w:tcW w:type="dxa" w:w="1020"/>
          </w:tcPr>
          <w:p>
            <w:pPr>
              <w:spacing w:after="0"/>
              <w:jc w:val="right"/>
            </w:pPr>
            <w:r/>
            <w:r>
              <w:rPr>
                <w:rFonts w:ascii="Arial" w:hAnsi="Arial"/>
                <w:sz w:val="13"/>
              </w:rPr>
              <w:t>1,015,818</w:t>
            </w:r>
          </w:p>
        </w:tc>
        <w:tc>
          <w:tcPr>
            <w:tcW w:type="dxa" w:w="1020"/>
          </w:tcPr>
          <w:p>
            <w:pPr>
              <w:spacing w:after="0"/>
              <w:jc w:val="right"/>
            </w:pPr>
            <w:r/>
            <w:r>
              <w:rPr>
                <w:rFonts w:ascii="Arial" w:hAnsi="Arial"/>
                <w:sz w:val="13"/>
              </w:rPr>
              <w:t>673,731</w:t>
            </w:r>
          </w:p>
        </w:tc>
        <w:tc>
          <w:tcPr>
            <w:tcW w:type="dxa" w:w="907"/>
          </w:tcPr>
          <w:p>
            <w:pPr>
              <w:spacing w:after="0"/>
              <w:jc w:val="right"/>
            </w:pPr>
            <w:r/>
            <w:r>
              <w:rPr>
                <w:rFonts w:ascii="Arial" w:hAnsi="Arial"/>
                <w:sz w:val="13"/>
              </w:rPr>
              <w:t>275,000</w:t>
            </w:r>
          </w:p>
        </w:tc>
        <w:tc>
          <w:tcPr>
            <w:tcW w:type="dxa" w:w="1020"/>
          </w:tcPr>
          <w:p>
            <w:pPr>
              <w:spacing w:after="0"/>
              <w:jc w:val="right"/>
            </w:pPr>
            <w:r/>
            <w:r>
              <w:rPr>
                <w:rFonts w:ascii="Arial" w:hAnsi="Arial"/>
                <w:sz w:val="13"/>
              </w:rPr>
              <w:t>1,152,888</w:t>
            </w:r>
          </w:p>
        </w:tc>
        <w:tc>
          <w:tcPr>
            <w:tcW w:type="dxa" w:w="907"/>
          </w:tcPr>
          <w:p>
            <w:pPr>
              <w:spacing w:after="0"/>
              <w:jc w:val="right"/>
            </w:pPr>
            <w:r/>
            <w:r>
              <w:rPr>
                <w:rFonts w:ascii="Arial" w:hAnsi="Arial"/>
                <w:sz w:val="13"/>
              </w:rPr>
              <w:t>8,043</w:t>
            </w:r>
          </w:p>
        </w:tc>
        <w:tc>
          <w:tcPr>
            <w:tcW w:type="dxa" w:w="1134"/>
          </w:tcPr>
          <w:p>
            <w:pPr>
              <w:spacing w:after="0"/>
              <w:jc w:val="right"/>
            </w:pPr>
            <w:r/>
            <w:r>
              <w:rPr>
                <w:rFonts w:ascii="Arial" w:hAnsi="Arial"/>
                <w:sz w:val="13"/>
              </w:rPr>
              <w:t>51,993,222</w:t>
            </w:r>
          </w:p>
        </w:tc>
      </w:tr>
      <w:tr>
        <w:tc>
          <w:tcPr>
            <w:tcW w:type="dxa" w:w="2041"/>
          </w:tcPr>
          <w:p>
            <w:pPr>
              <w:spacing w:after="0"/>
            </w:pPr>
            <w:r/>
            <w:r>
              <w:rPr>
                <w:rFonts w:ascii="Arial" w:hAnsi="Arial"/>
                <w:b/>
                <w:sz w:val="13"/>
              </w:rPr>
              <w:t>Registration_Age (years)</w:t>
            </w:r>
          </w:p>
        </w:tc>
        <w:tc>
          <w:tcPr>
            <w:tcW w:type="dxa" w:w="794"/>
          </w:tcPr>
          <w:p>
            <w:pPr>
              <w:spacing w:after="0"/>
            </w:pPr>
            <w:r/>
            <w:r>
              <w:rPr>
                <w:rFonts w:ascii="Arial" w:hAnsi="Arial"/>
                <w:sz w:val="13"/>
              </w:rPr>
              <w:t>All</w:t>
            </w:r>
          </w:p>
        </w:tc>
        <w:tc>
          <w:tcPr>
            <w:tcW w:type="dxa" w:w="1020"/>
          </w:tcPr>
          <w:p>
            <w:pPr>
              <w:spacing w:after="0"/>
              <w:jc w:val="right"/>
            </w:pPr>
            <w:r/>
            <w:r>
              <w:rPr>
                <w:rFonts w:ascii="Arial" w:hAnsi="Arial"/>
                <w:sz w:val="13"/>
              </w:rPr>
              <w:t>1,005,000</w:t>
            </w:r>
          </w:p>
        </w:tc>
        <w:tc>
          <w:tcPr>
            <w:tcW w:type="dxa" w:w="1020"/>
          </w:tcPr>
          <w:p>
            <w:pPr>
              <w:spacing w:after="0"/>
              <w:jc w:val="right"/>
            </w:pPr>
            <w:r/>
            <w:r>
              <w:rPr>
                <w:rFonts w:ascii="Arial" w:hAnsi="Arial"/>
                <w:sz w:val="13"/>
              </w:rPr>
              <w:t>13.0</w:t>
            </w:r>
          </w:p>
        </w:tc>
        <w:tc>
          <w:tcPr>
            <w:tcW w:type="dxa" w:w="1020"/>
          </w:tcPr>
          <w:p>
            <w:pPr>
              <w:spacing w:after="0"/>
              <w:jc w:val="right"/>
            </w:pPr>
            <w:r/>
            <w:r>
              <w:rPr>
                <w:rFonts w:ascii="Arial" w:hAnsi="Arial"/>
                <w:sz w:val="13"/>
              </w:rPr>
              <w:t>13.0</w:t>
            </w:r>
          </w:p>
        </w:tc>
        <w:tc>
          <w:tcPr>
            <w:tcW w:type="dxa" w:w="907"/>
          </w:tcPr>
          <w:p>
            <w:pPr>
              <w:spacing w:after="0"/>
              <w:jc w:val="right"/>
            </w:pPr>
            <w:r/>
            <w:r>
              <w:rPr>
                <w:rFonts w:ascii="Arial" w:hAnsi="Arial"/>
                <w:sz w:val="13"/>
              </w:rPr>
              <w:t>6.0</w:t>
            </w:r>
          </w:p>
        </w:tc>
        <w:tc>
          <w:tcPr>
            <w:tcW w:type="dxa" w:w="1020"/>
          </w:tcPr>
          <w:p>
            <w:pPr>
              <w:spacing w:after="0"/>
              <w:jc w:val="right"/>
            </w:pPr>
            <w:r/>
            <w:r>
              <w:rPr>
                <w:rFonts w:ascii="Arial" w:hAnsi="Arial"/>
                <w:sz w:val="13"/>
              </w:rPr>
              <w:t>7.2</w:t>
            </w:r>
          </w:p>
        </w:tc>
        <w:tc>
          <w:tcPr>
            <w:tcW w:type="dxa" w:w="907"/>
          </w:tcPr>
          <w:p>
            <w:pPr>
              <w:spacing w:after="0"/>
              <w:jc w:val="right"/>
            </w:pPr>
            <w:r/>
            <w:r>
              <w:rPr>
                <w:rFonts w:ascii="Arial" w:hAnsi="Arial"/>
                <w:sz w:val="13"/>
              </w:rPr>
              <w:t>1.0</w:t>
            </w:r>
          </w:p>
        </w:tc>
        <w:tc>
          <w:tcPr>
            <w:tcW w:type="dxa" w:w="1134"/>
          </w:tcPr>
          <w:p>
            <w:pPr>
              <w:spacing w:after="0"/>
              <w:jc w:val="right"/>
            </w:pPr>
            <w:r/>
            <w:r>
              <w:rPr>
                <w:rFonts w:ascii="Arial" w:hAnsi="Arial"/>
                <w:sz w:val="13"/>
              </w:rPr>
              <w:t>25.0</w:t>
            </w:r>
          </w:p>
        </w:tc>
      </w:tr>
      <w:tr>
        <w:tc>
          <w:tcPr>
            <w:tcW w:type="dxa" w:w="2041"/>
          </w:tcPr>
          <w:p>
            <w:pPr>
              <w:spacing w:after="0"/>
            </w:pPr>
            <w:r/>
            <w:r>
              <w:rPr>
                <w:rFonts w:ascii="Arial" w:hAnsi="Arial"/>
                <w:sz w:val="13"/>
              </w:rPr>
            </w:r>
          </w:p>
        </w:tc>
        <w:tc>
          <w:tcPr>
            <w:tcW w:type="dxa" w:w="794"/>
          </w:tcPr>
          <w:p>
            <w:pPr>
              <w:spacing w:after="0"/>
            </w:pPr>
            <w:r/>
            <w:r>
              <w:rPr>
                <w:rFonts w:ascii="Arial" w:hAnsi="Arial"/>
                <w:b/>
                <w:color w:val="C4501F"/>
                <w:sz w:val="13"/>
              </w:rPr>
              <w:t>Luxury</w:t>
            </w:r>
          </w:p>
        </w:tc>
        <w:tc>
          <w:tcPr>
            <w:tcW w:type="dxa" w:w="1020"/>
          </w:tcPr>
          <w:p>
            <w:pPr>
              <w:spacing w:after="0"/>
              <w:jc w:val="right"/>
            </w:pPr>
            <w:r/>
            <w:r>
              <w:rPr>
                <w:rFonts w:ascii="Arial" w:hAnsi="Arial"/>
                <w:sz w:val="13"/>
              </w:rPr>
              <w:t>232,172</w:t>
            </w:r>
          </w:p>
        </w:tc>
        <w:tc>
          <w:tcPr>
            <w:tcW w:type="dxa" w:w="1020"/>
          </w:tcPr>
          <w:p>
            <w:pPr>
              <w:spacing w:after="0"/>
              <w:jc w:val="right"/>
            </w:pPr>
            <w:r/>
            <w:r>
              <w:rPr>
                <w:rFonts w:ascii="Arial" w:hAnsi="Arial"/>
                <w:sz w:val="13"/>
              </w:rPr>
              <w:t>13.0</w:t>
            </w:r>
          </w:p>
        </w:tc>
        <w:tc>
          <w:tcPr>
            <w:tcW w:type="dxa" w:w="1020"/>
          </w:tcPr>
          <w:p>
            <w:pPr>
              <w:spacing w:after="0"/>
              <w:jc w:val="right"/>
            </w:pPr>
            <w:r/>
            <w:r>
              <w:rPr>
                <w:rFonts w:ascii="Arial" w:hAnsi="Arial"/>
                <w:sz w:val="13"/>
              </w:rPr>
              <w:t>13.0</w:t>
            </w:r>
          </w:p>
        </w:tc>
        <w:tc>
          <w:tcPr>
            <w:tcW w:type="dxa" w:w="907"/>
          </w:tcPr>
          <w:p>
            <w:pPr>
              <w:spacing w:after="0"/>
              <w:jc w:val="right"/>
            </w:pPr>
            <w:r/>
            <w:r>
              <w:rPr>
                <w:rFonts w:ascii="Arial" w:hAnsi="Arial"/>
                <w:sz w:val="13"/>
              </w:rPr>
              <w:t>18.0</w:t>
            </w:r>
          </w:p>
        </w:tc>
        <w:tc>
          <w:tcPr>
            <w:tcW w:type="dxa" w:w="1020"/>
          </w:tcPr>
          <w:p>
            <w:pPr>
              <w:spacing w:after="0"/>
              <w:jc w:val="right"/>
            </w:pPr>
            <w:r/>
            <w:r>
              <w:rPr>
                <w:rFonts w:ascii="Arial" w:hAnsi="Arial"/>
                <w:sz w:val="13"/>
              </w:rPr>
              <w:t>7.2</w:t>
            </w:r>
          </w:p>
        </w:tc>
        <w:tc>
          <w:tcPr>
            <w:tcW w:type="dxa" w:w="907"/>
          </w:tcPr>
          <w:p>
            <w:pPr>
              <w:spacing w:after="0"/>
              <w:jc w:val="right"/>
            </w:pPr>
            <w:r/>
            <w:r>
              <w:rPr>
                <w:rFonts w:ascii="Arial" w:hAnsi="Arial"/>
                <w:sz w:val="13"/>
              </w:rPr>
              <w:t>1.0</w:t>
            </w:r>
          </w:p>
        </w:tc>
        <w:tc>
          <w:tcPr>
            <w:tcW w:type="dxa" w:w="1134"/>
          </w:tcPr>
          <w:p>
            <w:pPr>
              <w:spacing w:after="0"/>
              <w:jc w:val="right"/>
            </w:pPr>
            <w:r/>
            <w:r>
              <w:rPr>
                <w:rFonts w:ascii="Arial" w:hAnsi="Arial"/>
                <w:sz w:val="13"/>
              </w:rPr>
              <w:t>25.0</w:t>
            </w:r>
          </w:p>
        </w:tc>
      </w:tr>
      <w:tr>
        <w:tc>
          <w:tcPr>
            <w:tcW w:type="dxa" w:w="2041"/>
          </w:tcPr>
          <w:p>
            <w:pPr>
              <w:spacing w:after="0"/>
            </w:pPr>
            <w:r/>
            <w:r>
              <w:rPr>
                <w:rFonts w:ascii="Arial" w:hAnsi="Arial"/>
                <w:sz w:val="13"/>
              </w:rPr>
            </w:r>
          </w:p>
        </w:tc>
        <w:tc>
          <w:tcPr>
            <w:tcW w:type="dxa" w:w="794"/>
          </w:tcPr>
          <w:p>
            <w:pPr>
              <w:spacing w:after="0"/>
            </w:pPr>
            <w:r/>
            <w:r>
              <w:rPr>
                <w:rFonts w:ascii="Arial" w:hAnsi="Arial"/>
                <w:color w:val="2A78D6"/>
                <w:sz w:val="13"/>
              </w:rPr>
              <w:t>Non-lux.</w:t>
            </w:r>
          </w:p>
        </w:tc>
        <w:tc>
          <w:tcPr>
            <w:tcW w:type="dxa" w:w="1020"/>
          </w:tcPr>
          <w:p>
            <w:pPr>
              <w:spacing w:after="0"/>
              <w:jc w:val="right"/>
            </w:pPr>
            <w:r/>
            <w:r>
              <w:rPr>
                <w:rFonts w:ascii="Arial" w:hAnsi="Arial"/>
                <w:sz w:val="13"/>
              </w:rPr>
              <w:t>772,828</w:t>
            </w:r>
          </w:p>
        </w:tc>
        <w:tc>
          <w:tcPr>
            <w:tcW w:type="dxa" w:w="1020"/>
          </w:tcPr>
          <w:p>
            <w:pPr>
              <w:spacing w:after="0"/>
              <w:jc w:val="right"/>
            </w:pPr>
            <w:r/>
            <w:r>
              <w:rPr>
                <w:rFonts w:ascii="Arial" w:hAnsi="Arial"/>
                <w:sz w:val="13"/>
              </w:rPr>
              <w:t>13.0</w:t>
            </w:r>
          </w:p>
        </w:tc>
        <w:tc>
          <w:tcPr>
            <w:tcW w:type="dxa" w:w="1020"/>
          </w:tcPr>
          <w:p>
            <w:pPr>
              <w:spacing w:after="0"/>
              <w:jc w:val="right"/>
            </w:pPr>
            <w:r/>
            <w:r>
              <w:rPr>
                <w:rFonts w:ascii="Arial" w:hAnsi="Arial"/>
                <w:sz w:val="13"/>
              </w:rPr>
              <w:t>13.0</w:t>
            </w:r>
          </w:p>
        </w:tc>
        <w:tc>
          <w:tcPr>
            <w:tcW w:type="dxa" w:w="907"/>
          </w:tcPr>
          <w:p>
            <w:pPr>
              <w:spacing w:after="0"/>
              <w:jc w:val="right"/>
            </w:pPr>
            <w:r/>
            <w:r>
              <w:rPr>
                <w:rFonts w:ascii="Arial" w:hAnsi="Arial"/>
                <w:sz w:val="13"/>
              </w:rPr>
              <w:t>19.0</w:t>
            </w:r>
          </w:p>
        </w:tc>
        <w:tc>
          <w:tcPr>
            <w:tcW w:type="dxa" w:w="1020"/>
          </w:tcPr>
          <w:p>
            <w:pPr>
              <w:spacing w:after="0"/>
              <w:jc w:val="right"/>
            </w:pPr>
            <w:r/>
            <w:r>
              <w:rPr>
                <w:rFonts w:ascii="Arial" w:hAnsi="Arial"/>
                <w:sz w:val="13"/>
              </w:rPr>
              <w:t>7.2</w:t>
            </w:r>
          </w:p>
        </w:tc>
        <w:tc>
          <w:tcPr>
            <w:tcW w:type="dxa" w:w="907"/>
          </w:tcPr>
          <w:p>
            <w:pPr>
              <w:spacing w:after="0"/>
              <w:jc w:val="right"/>
            </w:pPr>
            <w:r/>
            <w:r>
              <w:rPr>
                <w:rFonts w:ascii="Arial" w:hAnsi="Arial"/>
                <w:sz w:val="13"/>
              </w:rPr>
              <w:t>1.0</w:t>
            </w:r>
          </w:p>
        </w:tc>
        <w:tc>
          <w:tcPr>
            <w:tcW w:type="dxa" w:w="1134"/>
          </w:tcPr>
          <w:p>
            <w:pPr>
              <w:spacing w:after="0"/>
              <w:jc w:val="right"/>
            </w:pPr>
            <w:r/>
            <w:r>
              <w:rPr>
                <w:rFonts w:ascii="Arial" w:hAnsi="Arial"/>
                <w:sz w:val="13"/>
              </w:rPr>
              <w:t>25.0</w:t>
            </w:r>
          </w:p>
        </w:tc>
      </w:tr>
      <w:tr>
        <w:tc>
          <w:tcPr>
            <w:tcW w:type="dxa" w:w="2041"/>
          </w:tcPr>
          <w:p>
            <w:pPr>
              <w:spacing w:after="0"/>
            </w:pPr>
            <w:r/>
            <w:r>
              <w:rPr>
                <w:rFonts w:ascii="Arial" w:hAnsi="Arial"/>
                <w:b/>
                <w:sz w:val="13"/>
              </w:rPr>
              <w:t>Kms_Driven (km, ≤ 1m)</w:t>
            </w:r>
          </w:p>
        </w:tc>
        <w:tc>
          <w:tcPr>
            <w:tcW w:type="dxa" w:w="794"/>
          </w:tcPr>
          <w:p>
            <w:pPr>
              <w:spacing w:after="0"/>
            </w:pPr>
            <w:r/>
            <w:r>
              <w:rPr>
                <w:rFonts w:ascii="Arial" w:hAnsi="Arial"/>
                <w:sz w:val="13"/>
              </w:rPr>
              <w:t>All</w:t>
            </w:r>
          </w:p>
        </w:tc>
        <w:tc>
          <w:tcPr>
            <w:tcW w:type="dxa" w:w="1020"/>
          </w:tcPr>
          <w:p>
            <w:pPr>
              <w:spacing w:after="0"/>
              <w:jc w:val="right"/>
            </w:pPr>
            <w:r/>
            <w:r>
              <w:rPr>
                <w:rFonts w:ascii="Arial" w:hAnsi="Arial"/>
                <w:sz w:val="13"/>
              </w:rPr>
              <w:t>998,866</w:t>
            </w:r>
          </w:p>
        </w:tc>
        <w:tc>
          <w:tcPr>
            <w:tcW w:type="dxa" w:w="1020"/>
          </w:tcPr>
          <w:p>
            <w:pPr>
              <w:spacing w:after="0"/>
              <w:jc w:val="right"/>
            </w:pPr>
            <w:r/>
            <w:r>
              <w:rPr>
                <w:rFonts w:ascii="Arial" w:hAnsi="Arial"/>
                <w:sz w:val="13"/>
              </w:rPr>
              <w:t>196,142</w:t>
            </w:r>
          </w:p>
        </w:tc>
        <w:tc>
          <w:tcPr>
            <w:tcW w:type="dxa" w:w="1020"/>
          </w:tcPr>
          <w:p>
            <w:pPr>
              <w:spacing w:after="0"/>
              <w:jc w:val="right"/>
            </w:pPr>
            <w:r/>
            <w:r>
              <w:rPr>
                <w:rFonts w:ascii="Arial" w:hAnsi="Arial"/>
                <w:sz w:val="13"/>
              </w:rPr>
              <w:t>152,610</w:t>
            </w:r>
          </w:p>
        </w:tc>
        <w:tc>
          <w:tcPr>
            <w:tcW w:type="dxa" w:w="907"/>
          </w:tcPr>
          <w:p>
            <w:pPr>
              <w:spacing w:after="0"/>
              <w:jc w:val="right"/>
            </w:pPr>
            <w:r/>
            <w:r>
              <w:rPr>
                <w:rFonts w:ascii="Arial" w:hAnsi="Arial"/>
                <w:sz w:val="13"/>
              </w:rPr>
              <w:t>95,000</w:t>
            </w:r>
          </w:p>
        </w:tc>
        <w:tc>
          <w:tcPr>
            <w:tcW w:type="dxa" w:w="1020"/>
          </w:tcPr>
          <w:p>
            <w:pPr>
              <w:spacing w:after="0"/>
              <w:jc w:val="right"/>
            </w:pPr>
            <w:r/>
            <w:r>
              <w:rPr>
                <w:rFonts w:ascii="Arial" w:hAnsi="Arial"/>
                <w:sz w:val="13"/>
              </w:rPr>
              <w:t>150,624</w:t>
            </w:r>
          </w:p>
        </w:tc>
        <w:tc>
          <w:tcPr>
            <w:tcW w:type="dxa" w:w="907"/>
          </w:tcPr>
          <w:p>
            <w:pPr>
              <w:spacing w:after="0"/>
              <w:jc w:val="right"/>
            </w:pPr>
            <w:r/>
            <w:r>
              <w:rPr>
                <w:rFonts w:ascii="Arial" w:hAnsi="Arial"/>
                <w:sz w:val="13"/>
              </w:rPr>
              <w:t>3,216</w:t>
            </w:r>
          </w:p>
        </w:tc>
        <w:tc>
          <w:tcPr>
            <w:tcW w:type="dxa" w:w="1134"/>
          </w:tcPr>
          <w:p>
            <w:pPr>
              <w:spacing w:after="0"/>
              <w:jc w:val="right"/>
            </w:pPr>
            <w:r/>
            <w:r>
              <w:rPr>
                <w:rFonts w:ascii="Arial" w:hAnsi="Arial"/>
                <w:sz w:val="13"/>
              </w:rPr>
              <w:t>999,999</w:t>
            </w:r>
          </w:p>
        </w:tc>
      </w:tr>
      <w:tr>
        <w:tc>
          <w:tcPr>
            <w:tcW w:type="dxa" w:w="2041"/>
          </w:tcPr>
          <w:p>
            <w:pPr>
              <w:spacing w:after="0"/>
            </w:pPr>
            <w:r/>
            <w:r>
              <w:rPr>
                <w:rFonts w:ascii="Arial" w:hAnsi="Arial"/>
                <w:sz w:val="13"/>
              </w:rPr>
            </w:r>
          </w:p>
        </w:tc>
        <w:tc>
          <w:tcPr>
            <w:tcW w:type="dxa" w:w="794"/>
          </w:tcPr>
          <w:p>
            <w:pPr>
              <w:spacing w:after="0"/>
            </w:pPr>
            <w:r/>
            <w:r>
              <w:rPr>
                <w:rFonts w:ascii="Arial" w:hAnsi="Arial"/>
                <w:b/>
                <w:color w:val="C4501F"/>
                <w:sz w:val="13"/>
              </w:rPr>
              <w:t>Luxury</w:t>
            </w:r>
          </w:p>
        </w:tc>
        <w:tc>
          <w:tcPr>
            <w:tcW w:type="dxa" w:w="1020"/>
          </w:tcPr>
          <w:p>
            <w:pPr>
              <w:spacing w:after="0"/>
              <w:jc w:val="right"/>
            </w:pPr>
            <w:r/>
            <w:r>
              <w:rPr>
                <w:rFonts w:ascii="Arial" w:hAnsi="Arial"/>
                <w:sz w:val="13"/>
              </w:rPr>
              <w:t>230,726</w:t>
            </w:r>
          </w:p>
        </w:tc>
        <w:tc>
          <w:tcPr>
            <w:tcW w:type="dxa" w:w="1020"/>
          </w:tcPr>
          <w:p>
            <w:pPr>
              <w:spacing w:after="0"/>
              <w:jc w:val="right"/>
            </w:pPr>
            <w:r/>
            <w:r>
              <w:rPr>
                <w:rFonts w:ascii="Arial" w:hAnsi="Arial"/>
                <w:sz w:val="13"/>
              </w:rPr>
              <w:t>196,322</w:t>
            </w:r>
          </w:p>
        </w:tc>
        <w:tc>
          <w:tcPr>
            <w:tcW w:type="dxa" w:w="1020"/>
          </w:tcPr>
          <w:p>
            <w:pPr>
              <w:spacing w:after="0"/>
              <w:jc w:val="right"/>
            </w:pPr>
            <w:r/>
            <w:r>
              <w:rPr>
                <w:rFonts w:ascii="Arial" w:hAnsi="Arial"/>
                <w:sz w:val="13"/>
              </w:rPr>
              <w:t>153,009</w:t>
            </w:r>
          </w:p>
        </w:tc>
        <w:tc>
          <w:tcPr>
            <w:tcW w:type="dxa" w:w="907"/>
          </w:tcPr>
          <w:p>
            <w:pPr>
              <w:spacing w:after="0"/>
              <w:jc w:val="right"/>
            </w:pPr>
            <w:r/>
            <w:r>
              <w:rPr>
                <w:rFonts w:ascii="Arial" w:hAnsi="Arial"/>
                <w:sz w:val="13"/>
              </w:rPr>
              <w:t>95,000</w:t>
            </w:r>
          </w:p>
        </w:tc>
        <w:tc>
          <w:tcPr>
            <w:tcW w:type="dxa" w:w="1020"/>
          </w:tcPr>
          <w:p>
            <w:pPr>
              <w:spacing w:after="0"/>
              <w:jc w:val="right"/>
            </w:pPr>
            <w:r/>
            <w:r>
              <w:rPr>
                <w:rFonts w:ascii="Arial" w:hAnsi="Arial"/>
                <w:sz w:val="13"/>
              </w:rPr>
              <w:t>150,612</w:t>
            </w:r>
          </w:p>
        </w:tc>
        <w:tc>
          <w:tcPr>
            <w:tcW w:type="dxa" w:w="907"/>
          </w:tcPr>
          <w:p>
            <w:pPr>
              <w:spacing w:after="0"/>
              <w:jc w:val="right"/>
            </w:pPr>
            <w:r/>
            <w:r>
              <w:rPr>
                <w:rFonts w:ascii="Arial" w:hAnsi="Arial"/>
                <w:sz w:val="13"/>
              </w:rPr>
              <w:t>3,216</w:t>
            </w:r>
          </w:p>
        </w:tc>
        <w:tc>
          <w:tcPr>
            <w:tcW w:type="dxa" w:w="1134"/>
          </w:tcPr>
          <w:p>
            <w:pPr>
              <w:spacing w:after="0"/>
              <w:jc w:val="right"/>
            </w:pPr>
            <w:r/>
            <w:r>
              <w:rPr>
                <w:rFonts w:ascii="Arial" w:hAnsi="Arial"/>
                <w:sz w:val="13"/>
              </w:rPr>
              <w:t>999,919</w:t>
            </w:r>
          </w:p>
        </w:tc>
      </w:tr>
      <w:tr>
        <w:tc>
          <w:tcPr>
            <w:tcW w:type="dxa" w:w="2041"/>
          </w:tcPr>
          <w:p>
            <w:pPr>
              <w:spacing w:after="0"/>
            </w:pPr>
            <w:r/>
            <w:r>
              <w:rPr>
                <w:rFonts w:ascii="Arial" w:hAnsi="Arial"/>
                <w:sz w:val="13"/>
              </w:rPr>
            </w:r>
          </w:p>
        </w:tc>
        <w:tc>
          <w:tcPr>
            <w:tcW w:type="dxa" w:w="794"/>
          </w:tcPr>
          <w:p>
            <w:pPr>
              <w:spacing w:after="0"/>
            </w:pPr>
            <w:r/>
            <w:r>
              <w:rPr>
                <w:rFonts w:ascii="Arial" w:hAnsi="Arial"/>
                <w:color w:val="2A78D6"/>
                <w:sz w:val="13"/>
              </w:rPr>
              <w:t>Non-lux.</w:t>
            </w:r>
          </w:p>
        </w:tc>
        <w:tc>
          <w:tcPr>
            <w:tcW w:type="dxa" w:w="1020"/>
          </w:tcPr>
          <w:p>
            <w:pPr>
              <w:spacing w:after="0"/>
              <w:jc w:val="right"/>
            </w:pPr>
            <w:r/>
            <w:r>
              <w:rPr>
                <w:rFonts w:ascii="Arial" w:hAnsi="Arial"/>
                <w:sz w:val="13"/>
              </w:rPr>
              <w:t>768,140</w:t>
            </w:r>
          </w:p>
        </w:tc>
        <w:tc>
          <w:tcPr>
            <w:tcW w:type="dxa" w:w="1020"/>
          </w:tcPr>
          <w:p>
            <w:pPr>
              <w:spacing w:after="0"/>
              <w:jc w:val="right"/>
            </w:pPr>
            <w:r/>
            <w:r>
              <w:rPr>
                <w:rFonts w:ascii="Arial" w:hAnsi="Arial"/>
                <w:sz w:val="13"/>
              </w:rPr>
              <w:t>196,089</w:t>
            </w:r>
          </w:p>
        </w:tc>
        <w:tc>
          <w:tcPr>
            <w:tcW w:type="dxa" w:w="1020"/>
          </w:tcPr>
          <w:p>
            <w:pPr>
              <w:spacing w:after="0"/>
              <w:jc w:val="right"/>
            </w:pPr>
            <w:r/>
            <w:r>
              <w:rPr>
                <w:rFonts w:ascii="Arial" w:hAnsi="Arial"/>
                <w:sz w:val="13"/>
              </w:rPr>
              <w:t>152,494</w:t>
            </w:r>
          </w:p>
        </w:tc>
        <w:tc>
          <w:tcPr>
            <w:tcW w:type="dxa" w:w="907"/>
          </w:tcPr>
          <w:p>
            <w:pPr>
              <w:spacing w:after="0"/>
              <w:jc w:val="right"/>
            </w:pPr>
            <w:r/>
            <w:r>
              <w:rPr>
                <w:rFonts w:ascii="Arial" w:hAnsi="Arial"/>
                <w:sz w:val="13"/>
              </w:rPr>
              <w:t>85,000</w:t>
            </w:r>
          </w:p>
        </w:tc>
        <w:tc>
          <w:tcPr>
            <w:tcW w:type="dxa" w:w="1020"/>
          </w:tcPr>
          <w:p>
            <w:pPr>
              <w:spacing w:after="0"/>
              <w:jc w:val="right"/>
            </w:pPr>
            <w:r/>
            <w:r>
              <w:rPr>
                <w:rFonts w:ascii="Arial" w:hAnsi="Arial"/>
                <w:sz w:val="13"/>
              </w:rPr>
              <w:t>150,628</w:t>
            </w:r>
          </w:p>
        </w:tc>
        <w:tc>
          <w:tcPr>
            <w:tcW w:type="dxa" w:w="907"/>
          </w:tcPr>
          <w:p>
            <w:pPr>
              <w:spacing w:after="0"/>
              <w:jc w:val="right"/>
            </w:pPr>
            <w:r/>
            <w:r>
              <w:rPr>
                <w:rFonts w:ascii="Arial" w:hAnsi="Arial"/>
                <w:sz w:val="13"/>
              </w:rPr>
              <w:t>3,546</w:t>
            </w:r>
          </w:p>
        </w:tc>
        <w:tc>
          <w:tcPr>
            <w:tcW w:type="dxa" w:w="1134"/>
          </w:tcPr>
          <w:p>
            <w:pPr>
              <w:spacing w:after="0"/>
              <w:jc w:val="right"/>
            </w:pPr>
            <w:r/>
            <w:r>
              <w:rPr>
                <w:rFonts w:ascii="Arial" w:hAnsi="Arial"/>
                <w:sz w:val="13"/>
              </w:rPr>
              <w:t>999,999</w:t>
            </w:r>
          </w:p>
        </w:tc>
      </w:tr>
      <w:tr>
        <w:tc>
          <w:tcPr>
            <w:tcW w:type="dxa" w:w="2041"/>
          </w:tcPr>
          <w:p>
            <w:pPr>
              <w:spacing w:after="0"/>
            </w:pPr>
            <w:r/>
            <w:r>
              <w:rPr>
                <w:rFonts w:ascii="Arial" w:hAnsi="Arial"/>
                <w:b/>
                <w:sz w:val="13"/>
              </w:rPr>
              <w:t>Engine_CC (cc)</w:t>
            </w:r>
          </w:p>
        </w:tc>
        <w:tc>
          <w:tcPr>
            <w:tcW w:type="dxa" w:w="794"/>
          </w:tcPr>
          <w:p>
            <w:pPr>
              <w:spacing w:after="0"/>
            </w:pPr>
            <w:r/>
            <w:r>
              <w:rPr>
                <w:rFonts w:ascii="Arial" w:hAnsi="Arial"/>
                <w:sz w:val="13"/>
              </w:rPr>
              <w:t>All</w:t>
            </w:r>
          </w:p>
        </w:tc>
        <w:tc>
          <w:tcPr>
            <w:tcW w:type="dxa" w:w="1020"/>
          </w:tcPr>
          <w:p>
            <w:pPr>
              <w:spacing w:after="0"/>
              <w:jc w:val="right"/>
            </w:pPr>
            <w:r/>
            <w:r>
              <w:rPr>
                <w:rFonts w:ascii="Arial" w:hAnsi="Arial"/>
                <w:sz w:val="13"/>
              </w:rPr>
              <w:t>1,004,936</w:t>
            </w:r>
          </w:p>
        </w:tc>
        <w:tc>
          <w:tcPr>
            <w:tcW w:type="dxa" w:w="1020"/>
          </w:tcPr>
          <w:p>
            <w:pPr>
              <w:spacing w:after="0"/>
              <w:jc w:val="right"/>
            </w:pPr>
            <w:r/>
            <w:r>
              <w:rPr>
                <w:rFonts w:ascii="Arial" w:hAnsi="Arial"/>
                <w:sz w:val="13"/>
              </w:rPr>
              <w:t>1,506</w:t>
            </w:r>
          </w:p>
        </w:tc>
        <w:tc>
          <w:tcPr>
            <w:tcW w:type="dxa" w:w="1020"/>
          </w:tcPr>
          <w:p>
            <w:pPr>
              <w:spacing w:after="0"/>
              <w:jc w:val="right"/>
            </w:pPr>
            <w:r/>
            <w:r>
              <w:rPr>
                <w:rFonts w:ascii="Arial" w:hAnsi="Arial"/>
                <w:sz w:val="13"/>
              </w:rPr>
              <w:t>1,494</w:t>
            </w:r>
          </w:p>
        </w:tc>
        <w:tc>
          <w:tcPr>
            <w:tcW w:type="dxa" w:w="907"/>
          </w:tcPr>
          <w:p>
            <w:pPr>
              <w:spacing w:after="0"/>
              <w:jc w:val="right"/>
            </w:pPr>
            <w:r/>
            <w:r>
              <w:rPr>
                <w:rFonts w:ascii="Arial" w:hAnsi="Arial"/>
                <w:sz w:val="13"/>
              </w:rPr>
              <w:t>875</w:t>
            </w:r>
          </w:p>
        </w:tc>
        <w:tc>
          <w:tcPr>
            <w:tcW w:type="dxa" w:w="1020"/>
          </w:tcPr>
          <w:p>
            <w:pPr>
              <w:spacing w:after="0"/>
              <w:jc w:val="right"/>
            </w:pPr>
            <w:r/>
            <w:r>
              <w:rPr>
                <w:rFonts w:ascii="Arial" w:hAnsi="Arial"/>
                <w:sz w:val="13"/>
              </w:rPr>
              <w:t>408</w:t>
            </w:r>
          </w:p>
        </w:tc>
        <w:tc>
          <w:tcPr>
            <w:tcW w:type="dxa" w:w="907"/>
          </w:tcPr>
          <w:p>
            <w:pPr>
              <w:spacing w:after="0"/>
              <w:jc w:val="right"/>
            </w:pPr>
            <w:r/>
            <w:r>
              <w:rPr>
                <w:rFonts w:ascii="Arial" w:hAnsi="Arial"/>
                <w:sz w:val="13"/>
              </w:rPr>
              <w:t>304</w:t>
            </w:r>
          </w:p>
        </w:tc>
        <w:tc>
          <w:tcPr>
            <w:tcW w:type="dxa" w:w="1134"/>
          </w:tcPr>
          <w:p>
            <w:pPr>
              <w:spacing w:after="0"/>
              <w:jc w:val="right"/>
            </w:pPr>
            <w:r/>
            <w:r>
              <w:rPr>
                <w:rFonts w:ascii="Arial" w:hAnsi="Arial"/>
                <w:sz w:val="13"/>
              </w:rPr>
              <w:t>2,720</w:t>
            </w:r>
          </w:p>
        </w:tc>
      </w:tr>
      <w:tr>
        <w:tc>
          <w:tcPr>
            <w:tcW w:type="dxa" w:w="2041"/>
          </w:tcPr>
          <w:p>
            <w:pPr>
              <w:spacing w:after="0"/>
            </w:pPr>
            <w:r/>
            <w:r>
              <w:rPr>
                <w:rFonts w:ascii="Arial" w:hAnsi="Arial"/>
                <w:sz w:val="13"/>
              </w:rPr>
            </w:r>
          </w:p>
        </w:tc>
        <w:tc>
          <w:tcPr>
            <w:tcW w:type="dxa" w:w="794"/>
          </w:tcPr>
          <w:p>
            <w:pPr>
              <w:spacing w:after="0"/>
            </w:pPr>
            <w:r/>
            <w:r>
              <w:rPr>
                <w:rFonts w:ascii="Arial" w:hAnsi="Arial"/>
                <w:b/>
                <w:color w:val="C4501F"/>
                <w:sz w:val="13"/>
              </w:rPr>
              <w:t>Luxury</w:t>
            </w:r>
          </w:p>
        </w:tc>
        <w:tc>
          <w:tcPr>
            <w:tcW w:type="dxa" w:w="1020"/>
          </w:tcPr>
          <w:p>
            <w:pPr>
              <w:spacing w:after="0"/>
              <w:jc w:val="right"/>
            </w:pPr>
            <w:r/>
            <w:r>
              <w:rPr>
                <w:rFonts w:ascii="Arial" w:hAnsi="Arial"/>
                <w:sz w:val="13"/>
              </w:rPr>
              <w:t>232,158</w:t>
            </w:r>
          </w:p>
        </w:tc>
        <w:tc>
          <w:tcPr>
            <w:tcW w:type="dxa" w:w="1020"/>
          </w:tcPr>
          <w:p>
            <w:pPr>
              <w:spacing w:after="0"/>
              <w:jc w:val="right"/>
            </w:pPr>
            <w:r/>
            <w:r>
              <w:rPr>
                <w:rFonts w:ascii="Arial" w:hAnsi="Arial"/>
                <w:sz w:val="13"/>
              </w:rPr>
              <w:t>1,507</w:t>
            </w:r>
          </w:p>
        </w:tc>
        <w:tc>
          <w:tcPr>
            <w:tcW w:type="dxa" w:w="1020"/>
          </w:tcPr>
          <w:p>
            <w:pPr>
              <w:spacing w:after="0"/>
              <w:jc w:val="right"/>
            </w:pPr>
            <w:r/>
            <w:r>
              <w:rPr>
                <w:rFonts w:ascii="Arial" w:hAnsi="Arial"/>
                <w:sz w:val="13"/>
              </w:rPr>
              <w:t>1,495</w:t>
            </w:r>
          </w:p>
        </w:tc>
        <w:tc>
          <w:tcPr>
            <w:tcW w:type="dxa" w:w="907"/>
          </w:tcPr>
          <w:p>
            <w:pPr>
              <w:spacing w:after="0"/>
              <w:jc w:val="right"/>
            </w:pPr>
            <w:r/>
            <w:r>
              <w:rPr>
                <w:rFonts w:ascii="Arial" w:hAnsi="Arial"/>
                <w:sz w:val="13"/>
              </w:rPr>
              <w:t>875</w:t>
            </w:r>
          </w:p>
        </w:tc>
        <w:tc>
          <w:tcPr>
            <w:tcW w:type="dxa" w:w="1020"/>
          </w:tcPr>
          <w:p>
            <w:pPr>
              <w:spacing w:after="0"/>
              <w:jc w:val="right"/>
            </w:pPr>
            <w:r/>
            <w:r>
              <w:rPr>
                <w:rFonts w:ascii="Arial" w:hAnsi="Arial"/>
                <w:sz w:val="13"/>
              </w:rPr>
              <w:t>409</w:t>
            </w:r>
          </w:p>
        </w:tc>
        <w:tc>
          <w:tcPr>
            <w:tcW w:type="dxa" w:w="907"/>
          </w:tcPr>
          <w:p>
            <w:pPr>
              <w:spacing w:after="0"/>
              <w:jc w:val="right"/>
            </w:pPr>
            <w:r/>
            <w:r>
              <w:rPr>
                <w:rFonts w:ascii="Arial" w:hAnsi="Arial"/>
                <w:sz w:val="13"/>
              </w:rPr>
              <w:t>304</w:t>
            </w:r>
          </w:p>
        </w:tc>
        <w:tc>
          <w:tcPr>
            <w:tcW w:type="dxa" w:w="1134"/>
          </w:tcPr>
          <w:p>
            <w:pPr>
              <w:spacing w:after="0"/>
              <w:jc w:val="right"/>
            </w:pPr>
            <w:r/>
            <w:r>
              <w:rPr>
                <w:rFonts w:ascii="Arial" w:hAnsi="Arial"/>
                <w:sz w:val="13"/>
              </w:rPr>
              <w:t>2,664</w:t>
            </w:r>
          </w:p>
        </w:tc>
      </w:tr>
      <w:tr>
        <w:tc>
          <w:tcPr>
            <w:tcW w:type="dxa" w:w="2041"/>
          </w:tcPr>
          <w:p>
            <w:pPr>
              <w:spacing w:after="0"/>
            </w:pPr>
            <w:r/>
            <w:r>
              <w:rPr>
                <w:rFonts w:ascii="Arial" w:hAnsi="Arial"/>
                <w:sz w:val="13"/>
              </w:rPr>
            </w:r>
          </w:p>
        </w:tc>
        <w:tc>
          <w:tcPr>
            <w:tcW w:type="dxa" w:w="794"/>
          </w:tcPr>
          <w:p>
            <w:pPr>
              <w:spacing w:after="0"/>
            </w:pPr>
            <w:r/>
            <w:r>
              <w:rPr>
                <w:rFonts w:ascii="Arial" w:hAnsi="Arial"/>
                <w:color w:val="2A78D6"/>
                <w:sz w:val="13"/>
              </w:rPr>
              <w:t>Non-lux.</w:t>
            </w:r>
          </w:p>
        </w:tc>
        <w:tc>
          <w:tcPr>
            <w:tcW w:type="dxa" w:w="1020"/>
          </w:tcPr>
          <w:p>
            <w:pPr>
              <w:spacing w:after="0"/>
              <w:jc w:val="right"/>
            </w:pPr>
            <w:r/>
            <w:r>
              <w:rPr>
                <w:rFonts w:ascii="Arial" w:hAnsi="Arial"/>
                <w:sz w:val="13"/>
              </w:rPr>
              <w:t>772,778</w:t>
            </w:r>
          </w:p>
        </w:tc>
        <w:tc>
          <w:tcPr>
            <w:tcW w:type="dxa" w:w="1020"/>
          </w:tcPr>
          <w:p>
            <w:pPr>
              <w:spacing w:after="0"/>
              <w:jc w:val="right"/>
            </w:pPr>
            <w:r/>
            <w:r>
              <w:rPr>
                <w:rFonts w:ascii="Arial" w:hAnsi="Arial"/>
                <w:sz w:val="13"/>
              </w:rPr>
              <w:t>1,506</w:t>
            </w:r>
          </w:p>
        </w:tc>
        <w:tc>
          <w:tcPr>
            <w:tcW w:type="dxa" w:w="1020"/>
          </w:tcPr>
          <w:p>
            <w:pPr>
              <w:spacing w:after="0"/>
              <w:jc w:val="right"/>
            </w:pPr>
            <w:r/>
            <w:r>
              <w:rPr>
                <w:rFonts w:ascii="Arial" w:hAnsi="Arial"/>
                <w:sz w:val="13"/>
              </w:rPr>
              <w:t>1,494</w:t>
            </w:r>
          </w:p>
        </w:tc>
        <w:tc>
          <w:tcPr>
            <w:tcW w:type="dxa" w:w="907"/>
          </w:tcPr>
          <w:p>
            <w:pPr>
              <w:spacing w:after="0"/>
              <w:jc w:val="right"/>
            </w:pPr>
            <w:r/>
            <w:r>
              <w:rPr>
                <w:rFonts w:ascii="Arial" w:hAnsi="Arial"/>
                <w:sz w:val="13"/>
              </w:rPr>
              <w:t>875</w:t>
            </w:r>
          </w:p>
        </w:tc>
        <w:tc>
          <w:tcPr>
            <w:tcW w:type="dxa" w:w="1020"/>
          </w:tcPr>
          <w:p>
            <w:pPr>
              <w:spacing w:after="0"/>
              <w:jc w:val="right"/>
            </w:pPr>
            <w:r/>
            <w:r>
              <w:rPr>
                <w:rFonts w:ascii="Arial" w:hAnsi="Arial"/>
                <w:sz w:val="13"/>
              </w:rPr>
              <w:t>408</w:t>
            </w:r>
          </w:p>
        </w:tc>
        <w:tc>
          <w:tcPr>
            <w:tcW w:type="dxa" w:w="907"/>
          </w:tcPr>
          <w:p>
            <w:pPr>
              <w:spacing w:after="0"/>
              <w:jc w:val="right"/>
            </w:pPr>
            <w:r/>
            <w:r>
              <w:rPr>
                <w:rFonts w:ascii="Arial" w:hAnsi="Arial"/>
                <w:sz w:val="13"/>
              </w:rPr>
              <w:t>305</w:t>
            </w:r>
          </w:p>
        </w:tc>
        <w:tc>
          <w:tcPr>
            <w:tcW w:type="dxa" w:w="1134"/>
          </w:tcPr>
          <w:p>
            <w:pPr>
              <w:spacing w:after="0"/>
              <w:jc w:val="right"/>
            </w:pPr>
            <w:r/>
            <w:r>
              <w:rPr>
                <w:rFonts w:ascii="Arial" w:hAnsi="Arial"/>
                <w:sz w:val="13"/>
              </w:rPr>
              <w:t>2,720</w:t>
            </w:r>
          </w:p>
        </w:tc>
      </w:tr>
      <w:tr>
        <w:tc>
          <w:tcPr>
            <w:tcW w:type="dxa" w:w="2041"/>
          </w:tcPr>
          <w:p>
            <w:pPr>
              <w:spacing w:after="0"/>
            </w:pPr>
            <w:r/>
            <w:r>
              <w:rPr>
                <w:rFonts w:ascii="Arial" w:hAnsi="Arial"/>
                <w:b/>
                <w:sz w:val="13"/>
              </w:rPr>
              <w:t>Horsepower (hp)</w:t>
            </w:r>
          </w:p>
        </w:tc>
        <w:tc>
          <w:tcPr>
            <w:tcW w:type="dxa" w:w="794"/>
          </w:tcPr>
          <w:p>
            <w:pPr>
              <w:spacing w:after="0"/>
            </w:pPr>
            <w:r/>
            <w:r>
              <w:rPr>
                <w:rFonts w:ascii="Arial" w:hAnsi="Arial"/>
                <w:sz w:val="13"/>
              </w:rPr>
              <w:t>All</w:t>
            </w:r>
          </w:p>
        </w:tc>
        <w:tc>
          <w:tcPr>
            <w:tcW w:type="dxa" w:w="1020"/>
          </w:tcPr>
          <w:p>
            <w:pPr>
              <w:spacing w:after="0"/>
              <w:jc w:val="right"/>
            </w:pPr>
            <w:r/>
            <w:r>
              <w:rPr>
                <w:rFonts w:ascii="Arial" w:hAnsi="Arial"/>
                <w:sz w:val="13"/>
              </w:rPr>
              <w:t>1,004,957</w:t>
            </w:r>
          </w:p>
        </w:tc>
        <w:tc>
          <w:tcPr>
            <w:tcW w:type="dxa" w:w="1020"/>
          </w:tcPr>
          <w:p>
            <w:pPr>
              <w:spacing w:after="0"/>
              <w:jc w:val="right"/>
            </w:pPr>
            <w:r/>
            <w:r>
              <w:rPr>
                <w:rFonts w:ascii="Arial" w:hAnsi="Arial"/>
                <w:sz w:val="13"/>
              </w:rPr>
              <w:t>120.5</w:t>
            </w:r>
          </w:p>
        </w:tc>
        <w:tc>
          <w:tcPr>
            <w:tcW w:type="dxa" w:w="1020"/>
          </w:tcPr>
          <w:p>
            <w:pPr>
              <w:spacing w:after="0"/>
              <w:jc w:val="right"/>
            </w:pPr>
            <w:r/>
            <w:r>
              <w:rPr>
                <w:rFonts w:ascii="Arial" w:hAnsi="Arial"/>
                <w:sz w:val="13"/>
              </w:rPr>
              <w:t>119.8</w:t>
            </w:r>
          </w:p>
        </w:tc>
        <w:tc>
          <w:tcPr>
            <w:tcW w:type="dxa" w:w="907"/>
          </w:tcPr>
          <w:p>
            <w:pPr>
              <w:spacing w:after="0"/>
              <w:jc w:val="right"/>
            </w:pPr>
            <w:r/>
            <w:r>
              <w:rPr>
                <w:rFonts w:ascii="Arial" w:hAnsi="Arial"/>
                <w:sz w:val="13"/>
              </w:rPr>
              <w:t>62.5</w:t>
            </w:r>
          </w:p>
        </w:tc>
        <w:tc>
          <w:tcPr>
            <w:tcW w:type="dxa" w:w="1020"/>
          </w:tcPr>
          <w:p>
            <w:pPr>
              <w:spacing w:after="0"/>
              <w:jc w:val="right"/>
            </w:pPr>
            <w:r/>
            <w:r>
              <w:rPr>
                <w:rFonts w:ascii="Arial" w:hAnsi="Arial"/>
                <w:sz w:val="13"/>
              </w:rPr>
              <w:t>38.7</w:t>
            </w:r>
          </w:p>
        </w:tc>
        <w:tc>
          <w:tcPr>
            <w:tcW w:type="dxa" w:w="907"/>
          </w:tcPr>
          <w:p>
            <w:pPr>
              <w:spacing w:after="0"/>
              <w:jc w:val="right"/>
            </w:pPr>
            <w:r/>
            <w:r>
              <w:rPr>
                <w:rFonts w:ascii="Arial" w:hAnsi="Arial"/>
                <w:sz w:val="13"/>
              </w:rPr>
              <w:t>4.6</w:t>
            </w:r>
          </w:p>
        </w:tc>
        <w:tc>
          <w:tcPr>
            <w:tcW w:type="dxa" w:w="1134"/>
          </w:tcPr>
          <w:p>
            <w:pPr>
              <w:spacing w:after="0"/>
              <w:jc w:val="right"/>
            </w:pPr>
            <w:r/>
            <w:r>
              <w:rPr>
                <w:rFonts w:ascii="Arial" w:hAnsi="Arial"/>
                <w:sz w:val="13"/>
              </w:rPr>
              <w:t>235.2</w:t>
            </w:r>
          </w:p>
        </w:tc>
      </w:tr>
      <w:tr>
        <w:tc>
          <w:tcPr>
            <w:tcW w:type="dxa" w:w="2041"/>
          </w:tcPr>
          <w:p>
            <w:pPr>
              <w:spacing w:after="0"/>
            </w:pPr>
            <w:r/>
            <w:r>
              <w:rPr>
                <w:rFonts w:ascii="Arial" w:hAnsi="Arial"/>
                <w:sz w:val="13"/>
              </w:rPr>
            </w:r>
          </w:p>
        </w:tc>
        <w:tc>
          <w:tcPr>
            <w:tcW w:type="dxa" w:w="794"/>
          </w:tcPr>
          <w:p>
            <w:pPr>
              <w:spacing w:after="0"/>
            </w:pPr>
            <w:r/>
            <w:r>
              <w:rPr>
                <w:rFonts w:ascii="Arial" w:hAnsi="Arial"/>
                <w:b/>
                <w:color w:val="C4501F"/>
                <w:sz w:val="13"/>
              </w:rPr>
              <w:t>Luxury</w:t>
            </w:r>
          </w:p>
        </w:tc>
        <w:tc>
          <w:tcPr>
            <w:tcW w:type="dxa" w:w="1020"/>
          </w:tcPr>
          <w:p>
            <w:pPr>
              <w:spacing w:after="0"/>
              <w:jc w:val="right"/>
            </w:pPr>
            <w:r/>
            <w:r>
              <w:rPr>
                <w:rFonts w:ascii="Arial" w:hAnsi="Arial"/>
                <w:sz w:val="13"/>
              </w:rPr>
              <w:t>232,159</w:t>
            </w:r>
          </w:p>
        </w:tc>
        <w:tc>
          <w:tcPr>
            <w:tcW w:type="dxa" w:w="1020"/>
          </w:tcPr>
          <w:p>
            <w:pPr>
              <w:spacing w:after="0"/>
              <w:jc w:val="right"/>
            </w:pPr>
            <w:r/>
            <w:r>
              <w:rPr>
                <w:rFonts w:ascii="Arial" w:hAnsi="Arial"/>
                <w:sz w:val="13"/>
              </w:rPr>
              <w:t>120.5</w:t>
            </w:r>
          </w:p>
        </w:tc>
        <w:tc>
          <w:tcPr>
            <w:tcW w:type="dxa" w:w="1020"/>
          </w:tcPr>
          <w:p>
            <w:pPr>
              <w:spacing w:after="0"/>
              <w:jc w:val="right"/>
            </w:pPr>
            <w:r/>
            <w:r>
              <w:rPr>
                <w:rFonts w:ascii="Arial" w:hAnsi="Arial"/>
                <w:sz w:val="13"/>
              </w:rPr>
              <w:t>119.8</w:t>
            </w:r>
          </w:p>
        </w:tc>
        <w:tc>
          <w:tcPr>
            <w:tcW w:type="dxa" w:w="907"/>
          </w:tcPr>
          <w:p>
            <w:pPr>
              <w:spacing w:after="0"/>
              <w:jc w:val="right"/>
            </w:pPr>
            <w:r/>
            <w:r>
              <w:rPr>
                <w:rFonts w:ascii="Arial" w:hAnsi="Arial"/>
                <w:sz w:val="13"/>
              </w:rPr>
              <w:t>57.5</w:t>
            </w:r>
          </w:p>
        </w:tc>
        <w:tc>
          <w:tcPr>
            <w:tcW w:type="dxa" w:w="1020"/>
          </w:tcPr>
          <w:p>
            <w:pPr>
              <w:spacing w:after="0"/>
              <w:jc w:val="right"/>
            </w:pPr>
            <w:r/>
            <w:r>
              <w:rPr>
                <w:rFonts w:ascii="Arial" w:hAnsi="Arial"/>
                <w:sz w:val="13"/>
              </w:rPr>
              <w:t>38.8</w:t>
            </w:r>
          </w:p>
        </w:tc>
        <w:tc>
          <w:tcPr>
            <w:tcW w:type="dxa" w:w="907"/>
          </w:tcPr>
          <w:p>
            <w:pPr>
              <w:spacing w:after="0"/>
              <w:jc w:val="right"/>
            </w:pPr>
            <w:r/>
            <w:r>
              <w:rPr>
                <w:rFonts w:ascii="Arial" w:hAnsi="Arial"/>
                <w:sz w:val="13"/>
              </w:rPr>
              <w:t>7.6</w:t>
            </w:r>
          </w:p>
        </w:tc>
        <w:tc>
          <w:tcPr>
            <w:tcW w:type="dxa" w:w="1134"/>
          </w:tcPr>
          <w:p>
            <w:pPr>
              <w:spacing w:after="0"/>
              <w:jc w:val="right"/>
            </w:pPr>
            <w:r/>
            <w:r>
              <w:rPr>
                <w:rFonts w:ascii="Arial" w:hAnsi="Arial"/>
                <w:sz w:val="13"/>
              </w:rPr>
              <w:t>234.0</w:t>
            </w:r>
          </w:p>
        </w:tc>
      </w:tr>
      <w:tr>
        <w:tc>
          <w:tcPr>
            <w:tcW w:type="dxa" w:w="2041"/>
          </w:tcPr>
          <w:p>
            <w:pPr>
              <w:spacing w:after="0"/>
            </w:pPr>
            <w:r/>
            <w:r>
              <w:rPr>
                <w:rFonts w:ascii="Arial" w:hAnsi="Arial"/>
                <w:sz w:val="13"/>
              </w:rPr>
            </w:r>
          </w:p>
        </w:tc>
        <w:tc>
          <w:tcPr>
            <w:tcW w:type="dxa" w:w="794"/>
          </w:tcPr>
          <w:p>
            <w:pPr>
              <w:spacing w:after="0"/>
            </w:pPr>
            <w:r/>
            <w:r>
              <w:rPr>
                <w:rFonts w:ascii="Arial" w:hAnsi="Arial"/>
                <w:color w:val="2A78D6"/>
                <w:sz w:val="13"/>
              </w:rPr>
              <w:t>Non-lux.</w:t>
            </w:r>
          </w:p>
        </w:tc>
        <w:tc>
          <w:tcPr>
            <w:tcW w:type="dxa" w:w="1020"/>
          </w:tcPr>
          <w:p>
            <w:pPr>
              <w:spacing w:after="0"/>
              <w:jc w:val="right"/>
            </w:pPr>
            <w:r/>
            <w:r>
              <w:rPr>
                <w:rFonts w:ascii="Arial" w:hAnsi="Arial"/>
                <w:sz w:val="13"/>
              </w:rPr>
              <w:t>772,798</w:t>
            </w:r>
          </w:p>
        </w:tc>
        <w:tc>
          <w:tcPr>
            <w:tcW w:type="dxa" w:w="1020"/>
          </w:tcPr>
          <w:p>
            <w:pPr>
              <w:spacing w:after="0"/>
              <w:jc w:val="right"/>
            </w:pPr>
            <w:r/>
            <w:r>
              <w:rPr>
                <w:rFonts w:ascii="Arial" w:hAnsi="Arial"/>
                <w:sz w:val="13"/>
              </w:rPr>
              <w:t>120.5</w:t>
            </w:r>
          </w:p>
        </w:tc>
        <w:tc>
          <w:tcPr>
            <w:tcW w:type="dxa" w:w="1020"/>
          </w:tcPr>
          <w:p>
            <w:pPr>
              <w:spacing w:after="0"/>
              <w:jc w:val="right"/>
            </w:pPr>
            <w:r/>
            <w:r>
              <w:rPr>
                <w:rFonts w:ascii="Arial" w:hAnsi="Arial"/>
                <w:sz w:val="13"/>
              </w:rPr>
              <w:t>119.8</w:t>
            </w:r>
          </w:p>
        </w:tc>
        <w:tc>
          <w:tcPr>
            <w:tcW w:type="dxa" w:w="907"/>
          </w:tcPr>
          <w:p>
            <w:pPr>
              <w:spacing w:after="0"/>
              <w:jc w:val="right"/>
            </w:pPr>
            <w:r/>
            <w:r>
              <w:rPr>
                <w:rFonts w:ascii="Arial" w:hAnsi="Arial"/>
                <w:sz w:val="13"/>
              </w:rPr>
              <w:t>62.5</w:t>
            </w:r>
          </w:p>
        </w:tc>
        <w:tc>
          <w:tcPr>
            <w:tcW w:type="dxa" w:w="1020"/>
          </w:tcPr>
          <w:p>
            <w:pPr>
              <w:spacing w:after="0"/>
              <w:jc w:val="right"/>
            </w:pPr>
            <w:r/>
            <w:r>
              <w:rPr>
                <w:rFonts w:ascii="Arial" w:hAnsi="Arial"/>
                <w:sz w:val="13"/>
              </w:rPr>
              <w:t>38.7</w:t>
            </w:r>
          </w:p>
        </w:tc>
        <w:tc>
          <w:tcPr>
            <w:tcW w:type="dxa" w:w="907"/>
          </w:tcPr>
          <w:p>
            <w:pPr>
              <w:spacing w:after="0"/>
              <w:jc w:val="right"/>
            </w:pPr>
            <w:r/>
            <w:r>
              <w:rPr>
                <w:rFonts w:ascii="Arial" w:hAnsi="Arial"/>
                <w:sz w:val="13"/>
              </w:rPr>
              <w:t>4.6</w:t>
            </w:r>
          </w:p>
        </w:tc>
        <w:tc>
          <w:tcPr>
            <w:tcW w:type="dxa" w:w="1134"/>
          </w:tcPr>
          <w:p>
            <w:pPr>
              <w:spacing w:after="0"/>
              <w:jc w:val="right"/>
            </w:pPr>
            <w:r/>
            <w:r>
              <w:rPr>
                <w:rFonts w:ascii="Arial" w:hAnsi="Arial"/>
                <w:sz w:val="13"/>
              </w:rPr>
              <w:t>235.2</w:t>
            </w:r>
          </w:p>
        </w:tc>
      </w:tr>
      <w:tr>
        <w:tc>
          <w:tcPr>
            <w:tcW w:type="dxa" w:w="2041"/>
          </w:tcPr>
          <w:p>
            <w:pPr>
              <w:spacing w:after="0"/>
            </w:pPr>
            <w:r/>
            <w:r>
              <w:rPr>
                <w:rFonts w:ascii="Arial" w:hAnsi="Arial"/>
                <w:b/>
                <w:sz w:val="13"/>
              </w:rPr>
              <w:t>Mileage (km/l)</w:t>
            </w:r>
          </w:p>
        </w:tc>
        <w:tc>
          <w:tcPr>
            <w:tcW w:type="dxa" w:w="794"/>
          </w:tcPr>
          <w:p>
            <w:pPr>
              <w:spacing w:after="0"/>
            </w:pPr>
            <w:r/>
            <w:r>
              <w:rPr>
                <w:rFonts w:ascii="Arial" w:hAnsi="Arial"/>
                <w:sz w:val="13"/>
              </w:rPr>
              <w:t>All</w:t>
            </w:r>
          </w:p>
        </w:tc>
        <w:tc>
          <w:tcPr>
            <w:tcW w:type="dxa" w:w="1020"/>
          </w:tcPr>
          <w:p>
            <w:pPr>
              <w:spacing w:after="0"/>
              <w:jc w:val="right"/>
            </w:pPr>
            <w:r/>
            <w:r>
              <w:rPr>
                <w:rFonts w:ascii="Arial" w:hAnsi="Arial"/>
                <w:sz w:val="13"/>
              </w:rPr>
              <w:t>1,004,960</w:t>
            </w:r>
          </w:p>
        </w:tc>
        <w:tc>
          <w:tcPr>
            <w:tcW w:type="dxa" w:w="1020"/>
          </w:tcPr>
          <w:p>
            <w:pPr>
              <w:spacing w:after="0"/>
              <w:jc w:val="right"/>
            </w:pPr>
            <w:r/>
            <w:r>
              <w:rPr>
                <w:rFonts w:ascii="Arial" w:hAnsi="Arial"/>
                <w:sz w:val="13"/>
              </w:rPr>
              <w:t>18.00</w:t>
            </w:r>
          </w:p>
        </w:tc>
        <w:tc>
          <w:tcPr>
            <w:tcW w:type="dxa" w:w="1020"/>
          </w:tcPr>
          <w:p>
            <w:pPr>
              <w:spacing w:after="0"/>
              <w:jc w:val="right"/>
            </w:pPr>
            <w:r/>
            <w:r>
              <w:rPr>
                <w:rFonts w:ascii="Arial" w:hAnsi="Arial"/>
                <w:sz w:val="13"/>
              </w:rPr>
              <w:t>18.00</w:t>
            </w:r>
          </w:p>
        </w:tc>
        <w:tc>
          <w:tcPr>
            <w:tcW w:type="dxa" w:w="907"/>
          </w:tcPr>
          <w:p>
            <w:pPr>
              <w:spacing w:after="0"/>
              <w:jc w:val="right"/>
            </w:pPr>
            <w:r/>
            <w:r>
              <w:rPr>
                <w:rFonts w:ascii="Arial" w:hAnsi="Arial"/>
                <w:sz w:val="13"/>
              </w:rPr>
              <w:t>11.25</w:t>
            </w:r>
          </w:p>
        </w:tc>
        <w:tc>
          <w:tcPr>
            <w:tcW w:type="dxa" w:w="1020"/>
          </w:tcPr>
          <w:p>
            <w:pPr>
              <w:spacing w:after="0"/>
              <w:jc w:val="right"/>
            </w:pPr>
            <w:r/>
            <w:r>
              <w:rPr>
                <w:rFonts w:ascii="Arial" w:hAnsi="Arial"/>
                <w:sz w:val="13"/>
              </w:rPr>
              <w:t>4.18</w:t>
            </w:r>
          </w:p>
        </w:tc>
        <w:tc>
          <w:tcPr>
            <w:tcW w:type="dxa" w:w="907"/>
          </w:tcPr>
          <w:p>
            <w:pPr>
              <w:spacing w:after="0"/>
              <w:jc w:val="right"/>
            </w:pPr>
            <w:r/>
            <w:r>
              <w:rPr>
                <w:rFonts w:ascii="Arial" w:hAnsi="Arial"/>
                <w:sz w:val="13"/>
              </w:rPr>
              <w:t>5.60</w:t>
            </w:r>
          </w:p>
        </w:tc>
        <w:tc>
          <w:tcPr>
            <w:tcW w:type="dxa" w:w="1134"/>
          </w:tcPr>
          <w:p>
            <w:pPr>
              <w:spacing w:after="0"/>
              <w:jc w:val="right"/>
            </w:pPr>
            <w:r/>
            <w:r>
              <w:rPr>
                <w:rFonts w:ascii="Arial" w:hAnsi="Arial"/>
                <w:sz w:val="13"/>
              </w:rPr>
              <w:t>30.32</w:t>
            </w:r>
          </w:p>
        </w:tc>
      </w:tr>
      <w:tr>
        <w:tc>
          <w:tcPr>
            <w:tcW w:type="dxa" w:w="2041"/>
          </w:tcPr>
          <w:p>
            <w:pPr>
              <w:spacing w:after="0"/>
            </w:pPr>
            <w:r/>
            <w:r>
              <w:rPr>
                <w:rFonts w:ascii="Arial" w:hAnsi="Arial"/>
                <w:sz w:val="13"/>
              </w:rPr>
            </w:r>
          </w:p>
        </w:tc>
        <w:tc>
          <w:tcPr>
            <w:tcW w:type="dxa" w:w="794"/>
          </w:tcPr>
          <w:p>
            <w:pPr>
              <w:spacing w:after="0"/>
            </w:pPr>
            <w:r/>
            <w:r>
              <w:rPr>
                <w:rFonts w:ascii="Arial" w:hAnsi="Arial"/>
                <w:b/>
                <w:color w:val="C4501F"/>
                <w:sz w:val="13"/>
              </w:rPr>
              <w:t>Luxury</w:t>
            </w:r>
          </w:p>
        </w:tc>
        <w:tc>
          <w:tcPr>
            <w:tcW w:type="dxa" w:w="1020"/>
          </w:tcPr>
          <w:p>
            <w:pPr>
              <w:spacing w:after="0"/>
              <w:jc w:val="right"/>
            </w:pPr>
            <w:r/>
            <w:r>
              <w:rPr>
                <w:rFonts w:ascii="Arial" w:hAnsi="Arial"/>
                <w:sz w:val="13"/>
              </w:rPr>
              <w:t>232,164</w:t>
            </w:r>
          </w:p>
        </w:tc>
        <w:tc>
          <w:tcPr>
            <w:tcW w:type="dxa" w:w="1020"/>
          </w:tcPr>
          <w:p>
            <w:pPr>
              <w:spacing w:after="0"/>
              <w:jc w:val="right"/>
            </w:pPr>
            <w:r/>
            <w:r>
              <w:rPr>
                <w:rFonts w:ascii="Arial" w:hAnsi="Arial"/>
                <w:sz w:val="13"/>
              </w:rPr>
              <w:t>18.00</w:t>
            </w:r>
          </w:p>
        </w:tc>
        <w:tc>
          <w:tcPr>
            <w:tcW w:type="dxa" w:w="1020"/>
          </w:tcPr>
          <w:p>
            <w:pPr>
              <w:spacing w:after="0"/>
              <w:jc w:val="right"/>
            </w:pPr>
            <w:r/>
            <w:r>
              <w:rPr>
                <w:rFonts w:ascii="Arial" w:hAnsi="Arial"/>
                <w:sz w:val="13"/>
              </w:rPr>
              <w:t>17.99</w:t>
            </w:r>
          </w:p>
        </w:tc>
        <w:tc>
          <w:tcPr>
            <w:tcW w:type="dxa" w:w="907"/>
          </w:tcPr>
          <w:p>
            <w:pPr>
              <w:spacing w:after="0"/>
              <w:jc w:val="right"/>
            </w:pPr>
            <w:r/>
            <w:r>
              <w:rPr>
                <w:rFonts w:ascii="Arial" w:hAnsi="Arial"/>
                <w:sz w:val="13"/>
              </w:rPr>
              <w:t>11.25</w:t>
            </w:r>
          </w:p>
        </w:tc>
        <w:tc>
          <w:tcPr>
            <w:tcW w:type="dxa" w:w="1020"/>
          </w:tcPr>
          <w:p>
            <w:pPr>
              <w:spacing w:after="0"/>
              <w:jc w:val="right"/>
            </w:pPr>
            <w:r/>
            <w:r>
              <w:rPr>
                <w:rFonts w:ascii="Arial" w:hAnsi="Arial"/>
                <w:sz w:val="13"/>
              </w:rPr>
              <w:t>4.17</w:t>
            </w:r>
          </w:p>
        </w:tc>
        <w:tc>
          <w:tcPr>
            <w:tcW w:type="dxa" w:w="907"/>
          </w:tcPr>
          <w:p>
            <w:pPr>
              <w:spacing w:after="0"/>
              <w:jc w:val="right"/>
            </w:pPr>
            <w:r/>
            <w:r>
              <w:rPr>
                <w:rFonts w:ascii="Arial" w:hAnsi="Arial"/>
                <w:sz w:val="13"/>
              </w:rPr>
              <w:t>5.70</w:t>
            </w:r>
          </w:p>
        </w:tc>
        <w:tc>
          <w:tcPr>
            <w:tcW w:type="dxa" w:w="1134"/>
          </w:tcPr>
          <w:p>
            <w:pPr>
              <w:spacing w:after="0"/>
              <w:jc w:val="right"/>
            </w:pPr>
            <w:r/>
            <w:r>
              <w:rPr>
                <w:rFonts w:ascii="Arial" w:hAnsi="Arial"/>
                <w:sz w:val="13"/>
              </w:rPr>
              <w:t>27.11</w:t>
            </w:r>
          </w:p>
        </w:tc>
      </w:tr>
      <w:tr>
        <w:tc>
          <w:tcPr>
            <w:tcW w:type="dxa" w:w="2041"/>
          </w:tcPr>
          <w:p>
            <w:pPr>
              <w:spacing w:after="0"/>
            </w:pPr>
            <w:r/>
            <w:r>
              <w:rPr>
                <w:rFonts w:ascii="Arial" w:hAnsi="Arial"/>
                <w:sz w:val="13"/>
              </w:rPr>
            </w:r>
          </w:p>
        </w:tc>
        <w:tc>
          <w:tcPr>
            <w:tcW w:type="dxa" w:w="794"/>
          </w:tcPr>
          <w:p>
            <w:pPr>
              <w:spacing w:after="0"/>
            </w:pPr>
            <w:r/>
            <w:r>
              <w:rPr>
                <w:rFonts w:ascii="Arial" w:hAnsi="Arial"/>
                <w:color w:val="2A78D6"/>
                <w:sz w:val="13"/>
              </w:rPr>
              <w:t>Non-lux.</w:t>
            </w:r>
          </w:p>
        </w:tc>
        <w:tc>
          <w:tcPr>
            <w:tcW w:type="dxa" w:w="1020"/>
          </w:tcPr>
          <w:p>
            <w:pPr>
              <w:spacing w:after="0"/>
              <w:jc w:val="right"/>
            </w:pPr>
            <w:r/>
            <w:r>
              <w:rPr>
                <w:rFonts w:ascii="Arial" w:hAnsi="Arial"/>
                <w:sz w:val="13"/>
              </w:rPr>
              <w:t>772,796</w:t>
            </w:r>
          </w:p>
        </w:tc>
        <w:tc>
          <w:tcPr>
            <w:tcW w:type="dxa" w:w="1020"/>
          </w:tcPr>
          <w:p>
            <w:pPr>
              <w:spacing w:after="0"/>
              <w:jc w:val="right"/>
            </w:pPr>
            <w:r/>
            <w:r>
              <w:rPr>
                <w:rFonts w:ascii="Arial" w:hAnsi="Arial"/>
                <w:sz w:val="13"/>
              </w:rPr>
              <w:t>18.01</w:t>
            </w:r>
          </w:p>
        </w:tc>
        <w:tc>
          <w:tcPr>
            <w:tcW w:type="dxa" w:w="1020"/>
          </w:tcPr>
          <w:p>
            <w:pPr>
              <w:spacing w:after="0"/>
              <w:jc w:val="right"/>
            </w:pPr>
            <w:r/>
            <w:r>
              <w:rPr>
                <w:rFonts w:ascii="Arial" w:hAnsi="Arial"/>
                <w:sz w:val="13"/>
              </w:rPr>
              <w:t>18.00</w:t>
            </w:r>
          </w:p>
        </w:tc>
        <w:tc>
          <w:tcPr>
            <w:tcW w:type="dxa" w:w="907"/>
          </w:tcPr>
          <w:p>
            <w:pPr>
              <w:spacing w:after="0"/>
              <w:jc w:val="right"/>
            </w:pPr>
            <w:r/>
            <w:r>
              <w:rPr>
                <w:rFonts w:ascii="Arial" w:hAnsi="Arial"/>
                <w:sz w:val="13"/>
              </w:rPr>
              <w:t>11.25</w:t>
            </w:r>
          </w:p>
        </w:tc>
        <w:tc>
          <w:tcPr>
            <w:tcW w:type="dxa" w:w="1020"/>
          </w:tcPr>
          <w:p>
            <w:pPr>
              <w:spacing w:after="0"/>
              <w:jc w:val="right"/>
            </w:pPr>
            <w:r/>
            <w:r>
              <w:rPr>
                <w:rFonts w:ascii="Arial" w:hAnsi="Arial"/>
                <w:sz w:val="13"/>
              </w:rPr>
              <w:t>4.18</w:t>
            </w:r>
          </w:p>
        </w:tc>
        <w:tc>
          <w:tcPr>
            <w:tcW w:type="dxa" w:w="907"/>
          </w:tcPr>
          <w:p>
            <w:pPr>
              <w:spacing w:after="0"/>
              <w:jc w:val="right"/>
            </w:pPr>
            <w:r/>
            <w:r>
              <w:rPr>
                <w:rFonts w:ascii="Arial" w:hAnsi="Arial"/>
                <w:sz w:val="13"/>
              </w:rPr>
              <w:t>5.60</w:t>
            </w:r>
          </w:p>
        </w:tc>
        <w:tc>
          <w:tcPr>
            <w:tcW w:type="dxa" w:w="1134"/>
          </w:tcPr>
          <w:p>
            <w:pPr>
              <w:spacing w:after="0"/>
              <w:jc w:val="right"/>
            </w:pPr>
            <w:r/>
            <w:r>
              <w:rPr>
                <w:rFonts w:ascii="Arial" w:hAnsi="Arial"/>
                <w:sz w:val="13"/>
              </w:rPr>
              <w:t>30.32</w:t>
            </w:r>
          </w:p>
        </w:tc>
      </w:tr>
      <w:tr>
        <w:tc>
          <w:tcPr>
            <w:tcW w:type="dxa" w:w="2041"/>
          </w:tcPr>
          <w:p>
            <w:pPr>
              <w:spacing w:after="0"/>
            </w:pPr>
            <w:r/>
            <w:r>
              <w:rPr>
                <w:rFonts w:ascii="Arial" w:hAnsi="Arial"/>
                <w:b/>
                <w:sz w:val="13"/>
              </w:rPr>
              <w:t>Accidents (count)</w:t>
            </w:r>
          </w:p>
        </w:tc>
        <w:tc>
          <w:tcPr>
            <w:tcW w:type="dxa" w:w="794"/>
          </w:tcPr>
          <w:p>
            <w:pPr>
              <w:spacing w:after="0"/>
            </w:pPr>
            <w:r/>
            <w:r>
              <w:rPr>
                <w:rFonts w:ascii="Arial" w:hAnsi="Arial"/>
                <w:sz w:val="13"/>
              </w:rPr>
              <w:t>All</w:t>
            </w:r>
          </w:p>
        </w:tc>
        <w:tc>
          <w:tcPr>
            <w:tcW w:type="dxa" w:w="1020"/>
          </w:tcPr>
          <w:p>
            <w:pPr>
              <w:spacing w:after="0"/>
              <w:jc w:val="right"/>
            </w:pPr>
            <w:r/>
            <w:r>
              <w:rPr>
                <w:rFonts w:ascii="Arial" w:hAnsi="Arial"/>
                <w:sz w:val="13"/>
              </w:rPr>
              <w:t>1,005,000</w:t>
            </w:r>
          </w:p>
        </w:tc>
        <w:tc>
          <w:tcPr>
            <w:tcW w:type="dxa" w:w="1020"/>
          </w:tcPr>
          <w:p>
            <w:pPr>
              <w:spacing w:after="0"/>
              <w:jc w:val="right"/>
            </w:pPr>
            <w:r/>
            <w:r>
              <w:rPr>
                <w:rFonts w:ascii="Arial" w:hAnsi="Arial"/>
                <w:sz w:val="13"/>
              </w:rPr>
              <w:t>0.30</w:t>
            </w:r>
          </w:p>
        </w:tc>
        <w:tc>
          <w:tcPr>
            <w:tcW w:type="dxa" w:w="1020"/>
          </w:tcPr>
          <w:p>
            <w:pPr>
              <w:spacing w:after="0"/>
              <w:jc w:val="right"/>
            </w:pPr>
            <w:r/>
            <w:r>
              <w:rPr>
                <w:rFonts w:ascii="Arial" w:hAnsi="Arial"/>
                <w:sz w:val="13"/>
              </w:rPr>
              <w:t>0.00</w:t>
            </w:r>
          </w:p>
        </w:tc>
        <w:tc>
          <w:tcPr>
            <w:tcW w:type="dxa" w:w="907"/>
          </w:tcPr>
          <w:p>
            <w:pPr>
              <w:spacing w:after="0"/>
              <w:jc w:val="right"/>
            </w:pPr>
            <w:r/>
            <w:r>
              <w:rPr>
                <w:rFonts w:ascii="Arial" w:hAnsi="Arial"/>
                <w:sz w:val="13"/>
              </w:rPr>
              <w:t>0.00</w:t>
            </w:r>
          </w:p>
        </w:tc>
        <w:tc>
          <w:tcPr>
            <w:tcW w:type="dxa" w:w="1020"/>
          </w:tcPr>
          <w:p>
            <w:pPr>
              <w:spacing w:after="0"/>
              <w:jc w:val="right"/>
            </w:pPr>
            <w:r/>
            <w:r>
              <w:rPr>
                <w:rFonts w:ascii="Arial" w:hAnsi="Arial"/>
                <w:sz w:val="13"/>
              </w:rPr>
              <w:t>0.55</w:t>
            </w:r>
          </w:p>
        </w:tc>
        <w:tc>
          <w:tcPr>
            <w:tcW w:type="dxa" w:w="907"/>
          </w:tcPr>
          <w:p>
            <w:pPr>
              <w:spacing w:after="0"/>
              <w:jc w:val="right"/>
            </w:pPr>
            <w:r/>
            <w:r>
              <w:rPr>
                <w:rFonts w:ascii="Arial" w:hAnsi="Arial"/>
                <w:sz w:val="13"/>
              </w:rPr>
              <w:t>0.00</w:t>
            </w:r>
          </w:p>
        </w:tc>
        <w:tc>
          <w:tcPr>
            <w:tcW w:type="dxa" w:w="1134"/>
          </w:tcPr>
          <w:p>
            <w:pPr>
              <w:spacing w:after="0"/>
              <w:jc w:val="right"/>
            </w:pPr>
            <w:r/>
            <w:r>
              <w:rPr>
                <w:rFonts w:ascii="Arial" w:hAnsi="Arial"/>
                <w:sz w:val="13"/>
              </w:rPr>
              <w:t>5.00</w:t>
            </w:r>
          </w:p>
        </w:tc>
      </w:tr>
      <w:tr>
        <w:tc>
          <w:tcPr>
            <w:tcW w:type="dxa" w:w="2041"/>
          </w:tcPr>
          <w:p>
            <w:pPr>
              <w:spacing w:after="0"/>
            </w:pPr>
            <w:r/>
            <w:r>
              <w:rPr>
                <w:rFonts w:ascii="Arial" w:hAnsi="Arial"/>
                <w:sz w:val="13"/>
              </w:rPr>
            </w:r>
          </w:p>
        </w:tc>
        <w:tc>
          <w:tcPr>
            <w:tcW w:type="dxa" w:w="794"/>
          </w:tcPr>
          <w:p>
            <w:pPr>
              <w:spacing w:after="0"/>
            </w:pPr>
            <w:r/>
            <w:r>
              <w:rPr>
                <w:rFonts w:ascii="Arial" w:hAnsi="Arial"/>
                <w:b/>
                <w:color w:val="C4501F"/>
                <w:sz w:val="13"/>
              </w:rPr>
              <w:t>Luxury</w:t>
            </w:r>
          </w:p>
        </w:tc>
        <w:tc>
          <w:tcPr>
            <w:tcW w:type="dxa" w:w="1020"/>
          </w:tcPr>
          <w:p>
            <w:pPr>
              <w:spacing w:after="0"/>
              <w:jc w:val="right"/>
            </w:pPr>
            <w:r/>
            <w:r>
              <w:rPr>
                <w:rFonts w:ascii="Arial" w:hAnsi="Arial"/>
                <w:sz w:val="13"/>
              </w:rPr>
              <w:t>232,172</w:t>
            </w:r>
          </w:p>
        </w:tc>
        <w:tc>
          <w:tcPr>
            <w:tcW w:type="dxa" w:w="1020"/>
          </w:tcPr>
          <w:p>
            <w:pPr>
              <w:spacing w:after="0"/>
              <w:jc w:val="right"/>
            </w:pPr>
            <w:r/>
            <w:r>
              <w:rPr>
                <w:rFonts w:ascii="Arial" w:hAnsi="Arial"/>
                <w:sz w:val="13"/>
              </w:rPr>
              <w:t>0.30</w:t>
            </w:r>
          </w:p>
        </w:tc>
        <w:tc>
          <w:tcPr>
            <w:tcW w:type="dxa" w:w="1020"/>
          </w:tcPr>
          <w:p>
            <w:pPr>
              <w:spacing w:after="0"/>
              <w:jc w:val="right"/>
            </w:pPr>
            <w:r/>
            <w:r>
              <w:rPr>
                <w:rFonts w:ascii="Arial" w:hAnsi="Arial"/>
                <w:sz w:val="13"/>
              </w:rPr>
              <w:t>0.00</w:t>
            </w:r>
          </w:p>
        </w:tc>
        <w:tc>
          <w:tcPr>
            <w:tcW w:type="dxa" w:w="907"/>
          </w:tcPr>
          <w:p>
            <w:pPr>
              <w:spacing w:after="0"/>
              <w:jc w:val="right"/>
            </w:pPr>
            <w:r/>
            <w:r>
              <w:rPr>
                <w:rFonts w:ascii="Arial" w:hAnsi="Arial"/>
                <w:sz w:val="13"/>
              </w:rPr>
              <w:t>0.00</w:t>
            </w:r>
          </w:p>
        </w:tc>
        <w:tc>
          <w:tcPr>
            <w:tcW w:type="dxa" w:w="1020"/>
          </w:tcPr>
          <w:p>
            <w:pPr>
              <w:spacing w:after="0"/>
              <w:jc w:val="right"/>
            </w:pPr>
            <w:r/>
            <w:r>
              <w:rPr>
                <w:rFonts w:ascii="Arial" w:hAnsi="Arial"/>
                <w:sz w:val="13"/>
              </w:rPr>
              <w:t>0.55</w:t>
            </w:r>
          </w:p>
        </w:tc>
        <w:tc>
          <w:tcPr>
            <w:tcW w:type="dxa" w:w="907"/>
          </w:tcPr>
          <w:p>
            <w:pPr>
              <w:spacing w:after="0"/>
              <w:jc w:val="right"/>
            </w:pPr>
            <w:r/>
            <w:r>
              <w:rPr>
                <w:rFonts w:ascii="Arial" w:hAnsi="Arial"/>
                <w:sz w:val="13"/>
              </w:rPr>
              <w:t>0.00</w:t>
            </w:r>
          </w:p>
        </w:tc>
        <w:tc>
          <w:tcPr>
            <w:tcW w:type="dxa" w:w="1134"/>
          </w:tcPr>
          <w:p>
            <w:pPr>
              <w:spacing w:after="0"/>
              <w:jc w:val="right"/>
            </w:pPr>
            <w:r/>
            <w:r>
              <w:rPr>
                <w:rFonts w:ascii="Arial" w:hAnsi="Arial"/>
                <w:sz w:val="13"/>
              </w:rPr>
              <w:t>5.00</w:t>
            </w:r>
          </w:p>
        </w:tc>
      </w:tr>
      <w:tr>
        <w:tc>
          <w:tcPr>
            <w:tcW w:type="dxa" w:w="2041"/>
          </w:tcPr>
          <w:p>
            <w:pPr>
              <w:spacing w:after="0"/>
            </w:pPr>
            <w:r/>
            <w:r>
              <w:rPr>
                <w:rFonts w:ascii="Arial" w:hAnsi="Arial"/>
                <w:sz w:val="13"/>
              </w:rPr>
            </w:r>
          </w:p>
        </w:tc>
        <w:tc>
          <w:tcPr>
            <w:tcW w:type="dxa" w:w="794"/>
          </w:tcPr>
          <w:p>
            <w:pPr>
              <w:spacing w:after="0"/>
            </w:pPr>
            <w:r/>
            <w:r>
              <w:rPr>
                <w:rFonts w:ascii="Arial" w:hAnsi="Arial"/>
                <w:color w:val="2A78D6"/>
                <w:sz w:val="13"/>
              </w:rPr>
              <w:t>Non-lux.</w:t>
            </w:r>
          </w:p>
        </w:tc>
        <w:tc>
          <w:tcPr>
            <w:tcW w:type="dxa" w:w="1020"/>
          </w:tcPr>
          <w:p>
            <w:pPr>
              <w:spacing w:after="0"/>
              <w:jc w:val="right"/>
            </w:pPr>
            <w:r/>
            <w:r>
              <w:rPr>
                <w:rFonts w:ascii="Arial" w:hAnsi="Arial"/>
                <w:sz w:val="13"/>
              </w:rPr>
              <w:t>772,828</w:t>
            </w:r>
          </w:p>
        </w:tc>
        <w:tc>
          <w:tcPr>
            <w:tcW w:type="dxa" w:w="1020"/>
          </w:tcPr>
          <w:p>
            <w:pPr>
              <w:spacing w:after="0"/>
              <w:jc w:val="right"/>
            </w:pPr>
            <w:r/>
            <w:r>
              <w:rPr>
                <w:rFonts w:ascii="Arial" w:hAnsi="Arial"/>
                <w:sz w:val="13"/>
              </w:rPr>
              <w:t>0.30</w:t>
            </w:r>
          </w:p>
        </w:tc>
        <w:tc>
          <w:tcPr>
            <w:tcW w:type="dxa" w:w="1020"/>
          </w:tcPr>
          <w:p>
            <w:pPr>
              <w:spacing w:after="0"/>
              <w:jc w:val="right"/>
            </w:pPr>
            <w:r/>
            <w:r>
              <w:rPr>
                <w:rFonts w:ascii="Arial" w:hAnsi="Arial"/>
                <w:sz w:val="13"/>
              </w:rPr>
              <w:t>0.00</w:t>
            </w:r>
          </w:p>
        </w:tc>
        <w:tc>
          <w:tcPr>
            <w:tcW w:type="dxa" w:w="907"/>
          </w:tcPr>
          <w:p>
            <w:pPr>
              <w:spacing w:after="0"/>
              <w:jc w:val="right"/>
            </w:pPr>
            <w:r/>
            <w:r>
              <w:rPr>
                <w:rFonts w:ascii="Arial" w:hAnsi="Arial"/>
                <w:sz w:val="13"/>
              </w:rPr>
              <w:t>0.00</w:t>
            </w:r>
          </w:p>
        </w:tc>
        <w:tc>
          <w:tcPr>
            <w:tcW w:type="dxa" w:w="1020"/>
          </w:tcPr>
          <w:p>
            <w:pPr>
              <w:spacing w:after="0"/>
              <w:jc w:val="right"/>
            </w:pPr>
            <w:r/>
            <w:r>
              <w:rPr>
                <w:rFonts w:ascii="Arial" w:hAnsi="Arial"/>
                <w:sz w:val="13"/>
              </w:rPr>
              <w:t>0.55</w:t>
            </w:r>
          </w:p>
        </w:tc>
        <w:tc>
          <w:tcPr>
            <w:tcW w:type="dxa" w:w="907"/>
          </w:tcPr>
          <w:p>
            <w:pPr>
              <w:spacing w:after="0"/>
              <w:jc w:val="right"/>
            </w:pPr>
            <w:r/>
            <w:r>
              <w:rPr>
                <w:rFonts w:ascii="Arial" w:hAnsi="Arial"/>
                <w:sz w:val="13"/>
              </w:rPr>
              <w:t>0.00</w:t>
            </w:r>
          </w:p>
        </w:tc>
        <w:tc>
          <w:tcPr>
            <w:tcW w:type="dxa" w:w="1134"/>
          </w:tcPr>
          <w:p>
            <w:pPr>
              <w:spacing w:after="0"/>
              <w:jc w:val="right"/>
            </w:pPr>
            <w:r/>
            <w:r>
              <w:rPr>
                <w:rFonts w:ascii="Arial" w:hAnsi="Arial"/>
                <w:sz w:val="13"/>
              </w:rPr>
              <w:t>5.00</w:t>
            </w:r>
          </w:p>
        </w:tc>
      </w:tr>
    </w:tbl>
    <w:p>
      <w:pPr>
        <w:spacing w:after="120"/>
      </w:pPr>
      <w:r>
        <w:rPr>
          <w:rFonts w:ascii="Arial" w:hAnsi="Arial"/>
          <w:color w:val="52514E"/>
          <w:sz w:val="13"/>
        </w:rPr>
        <w:t>*Mode: exact for discrete variables; midpoint of the modal bin for continuous ones (bins: price 50k, km 10k, cc 50, hp 5, km/l 0.5). Binary fields (All / Luxury / Non-luxury): Insurance_Valid 84.9 / 84.9 / 84.9%; Service_History 75.1 / 75.0 / 75.1%; Tax_Paid 90.0 / 90.0 / 90.0%; first owner 59.9 / 59.9 / 59.9%. SD uses n − 1.</w:t>
      </w:r>
    </w:p>
    <w:p>
      <w:pPr>
        <w:keepNext/>
        <w:jc w:val="center"/>
      </w:pPr>
      <w:r>
        <w:drawing>
          <wp:inline xmlns:a="http://schemas.openxmlformats.org/drawingml/2006/main" xmlns:pic="http://schemas.openxmlformats.org/drawingml/2006/picture">
            <wp:extent cx="6336000" cy="2917116"/>
            <wp:docPr id="1" name="Picture 1"/>
            <wp:cNvGraphicFramePr>
              <a:graphicFrameLocks noChangeAspect="1"/>
            </wp:cNvGraphicFramePr>
            <a:graphic>
              <a:graphicData uri="http://schemas.openxmlformats.org/drawingml/2006/picture">
                <pic:pic>
                  <pic:nvPicPr>
                    <pic:cNvPr id="0" name="fig1_price.png"/>
                    <pic:cNvPicPr/>
                  </pic:nvPicPr>
                  <pic:blipFill>
                    <a:blip r:embed="rId9"/>
                    <a:stretch>
                      <a:fillRect/>
                    </a:stretch>
                  </pic:blipFill>
                  <pic:spPr>
                    <a:xfrm>
                      <a:off x="0" y="0"/>
                      <a:ext cx="6336000" cy="2917116"/>
                    </a:xfrm>
                    <a:prstGeom prst="rect"/>
                  </pic:spPr>
                </pic:pic>
              </a:graphicData>
            </a:graphic>
          </wp:inline>
        </w:drawing>
      </w:r>
    </w:p>
    <w:p>
      <w:pPr>
        <w:spacing w:after="120"/>
      </w:pPr>
      <w:r>
        <w:rPr>
          <w:rFonts w:ascii="Arial" w:hAnsi="Arial"/>
          <w:b/>
          <w:sz w:val="14"/>
        </w:rPr>
        <w:t xml:space="preserve">Figure 1. </w:t>
      </w:r>
      <w:r>
        <w:rPr>
          <w:rFonts w:ascii="Arial" w:hAnsi="Arial"/>
          <w:color w:val="52514E"/>
          <w:sz w:val="14"/>
        </w:rPr>
        <w:t>Distribution of Car_Price, all 1,005,000 listings. (A) Raw INR scale. (B) Log scale by segment; the two curves coincide.</w:t>
      </w:r>
    </w:p>
    <w:p>
      <w:pPr>
        <w:keepNext/>
        <w:spacing w:before="180" w:after="60"/>
      </w:pPr>
      <w:r>
        <w:rPr>
          <w:rFonts w:ascii="Arial" w:hAnsi="Arial"/>
          <w:b/>
          <w:color w:val="2A78D6"/>
          <w:sz w:val="23"/>
        </w:rPr>
        <w:t xml:space="preserve">4  </w:t>
      </w:r>
      <w:r>
        <w:rPr>
          <w:rFonts w:ascii="Arial" w:hAnsi="Arial"/>
          <w:b/>
          <w:color w:val="1F1F1D"/>
          <w:sz w:val="23"/>
        </w:rPr>
        <w:t>Price, age and usage</w:t>
      </w:r>
    </w:p>
    <w:p>
      <w:pPr>
        <w:jc w:val="both"/>
      </w:pPr>
      <w:r>
        <w:rPr>
          <w:b w:val="0"/>
          <w:i w:val="0"/>
        </w:rPr>
        <w:t>Figure 2A condenses the evidence into a 3D price landscape: median price tilts along usage but stays level along age. Figure 2B explains the method: across 1,000 random 5,000-row samples the price–age correlation ranges from −0.027 to +0.027, so one sample can suggest a non-existent trend. Figure 3 therefore shows each relationship both as the guide’s 5,000-listing random scatter (3A, 3C) and as full-data medians with 95% confidence intervals (3B, 3D).</w:t>
      </w:r>
    </w:p>
    <w:p>
      <w:pPr>
        <w:keepNext/>
        <w:jc w:val="center"/>
      </w:pPr>
      <w:r>
        <w:drawing>
          <wp:inline xmlns:a="http://schemas.openxmlformats.org/drawingml/2006/main" xmlns:pic="http://schemas.openxmlformats.org/drawingml/2006/picture">
            <wp:extent cx="6336000" cy="3327827"/>
            <wp:docPr id="2" name="Picture 2"/>
            <wp:cNvGraphicFramePr>
              <a:graphicFrameLocks noChangeAspect="1"/>
            </wp:cNvGraphicFramePr>
            <a:graphic>
              <a:graphicData uri="http://schemas.openxmlformats.org/drawingml/2006/picture">
                <pic:pic>
                  <pic:nvPicPr>
                    <pic:cNvPr id="0" name="fig3_landscape.png"/>
                    <pic:cNvPicPr/>
                  </pic:nvPicPr>
                  <pic:blipFill>
                    <a:blip r:embed="rId10"/>
                    <a:stretch>
                      <a:fillRect/>
                    </a:stretch>
                  </pic:blipFill>
                  <pic:spPr>
                    <a:xfrm>
                      <a:off x="0" y="0"/>
                      <a:ext cx="6336000" cy="3327827"/>
                    </a:xfrm>
                    <a:prstGeom prst="rect"/>
                  </pic:spPr>
                </pic:pic>
              </a:graphicData>
            </a:graphic>
          </wp:inline>
        </w:drawing>
      </w:r>
    </w:p>
    <w:p>
      <w:pPr>
        <w:spacing w:after="120"/>
      </w:pPr>
      <w:r>
        <w:rPr>
          <w:rFonts w:ascii="Arial" w:hAnsi="Arial"/>
          <w:b/>
          <w:sz w:val="14"/>
        </w:rPr>
        <w:t xml:space="preserve">Figure 2. </w:t>
      </w:r>
      <w:r>
        <w:rPr>
          <w:rFonts w:ascii="Arial" w:hAnsi="Arial"/>
          <w:color w:val="52514E"/>
          <w:sz w:val="14"/>
        </w:rPr>
        <w:t>(A) Median price over 5 age bands × 10 usage deciles, all listings ≤ 1m km (about 20,000 per cell). (B) Pearson r in 1,000 random 5,000-row samples versus the full-data value.</w:t>
      </w:r>
    </w:p>
    <w:p>
      <w:pPr>
        <w:jc w:val="both"/>
      </w:pPr>
      <w:r>
        <w:rPr>
          <w:b/>
          <w:i w:val="0"/>
        </w:rPr>
        <w:t>Age.</w:t>
      </w:r>
      <w:r>
        <w:rPr>
          <w:b w:val="0"/>
          <w:i w:val="0"/>
        </w:rPr>
        <w:t xml:space="preserve"> There is no relationship. The full-data Pearson r is +0.00007 (95% CI −0.002 to +0.002), and median price moves only ±1.1% across the 25 ages, in both segments.</w:t>
      </w:r>
    </w:p>
    <w:p>
      <w:pPr>
        <w:jc w:val="both"/>
      </w:pPr>
      <w:r>
        <w:rPr>
          <w:b/>
          <w:i w:val="0"/>
        </w:rPr>
        <w:t>Usage.</w:t>
      </w:r>
      <w:r>
        <w:rPr>
          <w:b w:val="0"/>
          <w:i w:val="0"/>
        </w:rPr>
        <w:t xml:space="preserve"> Price declines steadily but weakly with kilometres. The median falls 20% from the lowest to the highest usage decile (INR 757k to 604k), the Spearman correlation is −0.068 and the log–log slope is −0.088: each additional 10% of kilometres lowers expected price by about 0.8%, with identical slopes in both segments. Although highly significant, usage explains only 0.5% of log-price variance.</w:t>
      </w:r>
    </w:p>
    <w:p>
      <w:pPr>
        <w:keepNext/>
        <w:jc w:val="center"/>
      </w:pPr>
      <w:r>
        <w:drawing>
          <wp:inline xmlns:a="http://schemas.openxmlformats.org/drawingml/2006/main" xmlns:pic="http://schemas.openxmlformats.org/drawingml/2006/picture">
            <wp:extent cx="6336000" cy="4852058"/>
            <wp:docPr id="3" name="Picture 3"/>
            <wp:cNvGraphicFramePr>
              <a:graphicFrameLocks noChangeAspect="1"/>
            </wp:cNvGraphicFramePr>
            <a:graphic>
              <a:graphicData uri="http://schemas.openxmlformats.org/drawingml/2006/picture">
                <pic:pic>
                  <pic:nvPicPr>
                    <pic:cNvPr id="0" name="fig2_relationships.png"/>
                    <pic:cNvPicPr/>
                  </pic:nvPicPr>
                  <pic:blipFill>
                    <a:blip r:embed="rId11"/>
                    <a:stretch>
                      <a:fillRect/>
                    </a:stretch>
                  </pic:blipFill>
                  <pic:spPr>
                    <a:xfrm>
                      <a:off x="0" y="0"/>
                      <a:ext cx="6336000" cy="4852058"/>
                    </a:xfrm>
                    <a:prstGeom prst="rect"/>
                  </pic:spPr>
                </pic:pic>
              </a:graphicData>
            </a:graphic>
          </wp:inline>
        </w:drawing>
      </w:r>
    </w:p>
    <w:p>
      <w:pPr>
        <w:spacing w:after="120"/>
      </w:pPr>
      <w:r>
        <w:rPr>
          <w:rFonts w:ascii="Arial" w:hAnsi="Arial"/>
          <w:b/>
          <w:sz w:val="14"/>
        </w:rPr>
        <w:t xml:space="preserve">Figure 3. </w:t>
      </w:r>
      <w:r>
        <w:rPr>
          <w:rFonts w:ascii="Arial" w:hAnsi="Arial"/>
          <w:color w:val="52514E"/>
          <w:sz w:val="14"/>
        </w:rPr>
        <w:t>Price against age (top) and usage (bottom). A and C: 5,000 randomly sampled listings each (fixed seeds; source rows listed in the companion workbook), black line = full-data medians. B and D: all listings, medians with 95% order-statistic confidence intervals; D’s axis does not start at zero.</w:t>
      </w:r>
    </w:p>
    <w:p>
      <w:pPr>
        <w:keepNext/>
        <w:spacing w:before="180" w:after="60"/>
      </w:pPr>
      <w:r>
        <w:rPr>
          <w:rFonts w:ascii="Arial" w:hAnsi="Arial"/>
          <w:b/>
          <w:color w:val="2A78D6"/>
          <w:sz w:val="23"/>
        </w:rPr>
        <w:t xml:space="preserve">5  </w:t>
      </w:r>
      <w:r>
        <w:rPr>
          <w:rFonts w:ascii="Arial" w:hAnsi="Arial"/>
          <w:b/>
          <w:color w:val="1F1F1D"/>
          <w:sz w:val="23"/>
        </w:rPr>
        <w:t>Brand segment</w:t>
      </w:r>
    </w:p>
    <w:p>
      <w:pPr>
        <w:keepNext/>
        <w:jc w:val="center"/>
      </w:pPr>
      <w:r>
        <w:drawing>
          <wp:inline xmlns:a="http://schemas.openxmlformats.org/drawingml/2006/main" xmlns:pic="http://schemas.openxmlformats.org/drawingml/2006/picture">
            <wp:extent cx="6336000" cy="3095254"/>
            <wp:docPr id="4" name="Picture 4"/>
            <wp:cNvGraphicFramePr>
              <a:graphicFrameLocks noChangeAspect="1"/>
            </wp:cNvGraphicFramePr>
            <a:graphic>
              <a:graphicData uri="http://schemas.openxmlformats.org/drawingml/2006/picture">
                <pic:pic>
                  <pic:nvPicPr>
                    <pic:cNvPr id="0" name="fig4_segment_signal.png"/>
                    <pic:cNvPicPr/>
                  </pic:nvPicPr>
                  <pic:blipFill>
                    <a:blip r:embed="rId12"/>
                    <a:stretch>
                      <a:fillRect/>
                    </a:stretch>
                  </pic:blipFill>
                  <pic:spPr>
                    <a:xfrm>
                      <a:off x="0" y="0"/>
                      <a:ext cx="6336000" cy="3095254"/>
                    </a:xfrm>
                    <a:prstGeom prst="rect"/>
                  </pic:spPr>
                </pic:pic>
              </a:graphicData>
            </a:graphic>
          </wp:inline>
        </w:drawing>
      </w:r>
    </w:p>
    <w:p>
      <w:pPr>
        <w:spacing w:after="120"/>
      </w:pPr>
      <w:r>
        <w:rPr>
          <w:rFonts w:ascii="Arial" w:hAnsi="Arial"/>
          <w:b/>
          <w:sz w:val="14"/>
        </w:rPr>
        <w:t xml:space="preserve">Figure 4. </w:t>
      </w:r>
      <w:r>
        <w:rPr>
          <w:rFonts w:ascii="Arial" w:hAnsi="Arial"/>
          <w:color w:val="52514E"/>
          <w:sz w:val="14"/>
        </w:rPr>
        <w:t>(A) Median price by brand and segment, 95% CIs; grey line = overall median. (B) Share of log-price variance explained by each field, log axis.</w:t>
      </w:r>
    </w:p>
    <w:p>
      <w:pPr>
        <w:jc w:val="both"/>
      </w:pPr>
      <w:r>
        <w:rPr>
          <w:b w:val="0"/>
          <w:i w:val="0"/>
        </w:rPr>
        <w:t>Luxury cars are not priced higher in this dataset. The luxury median is 0.17% lower (95% bootstrap CI −0.66% to +0.29%), Welch’s t-test gives p = 0.25, and the standardised effect is 0.002, far below the 0.2 threshold for even a small effect (Cohen, 1988, p. 25). Across the 13 brands, medians span only 1.2% with overlapping confidence intervals (Figure 4A). Cleaning mattered for building the segments, not for the verdict: 2,334 luxury listings with padded labels would otherwise have been misclassified.</w:t>
      </w:r>
    </w:p>
    <w:p>
      <w:pPr>
        <w:jc w:val="both"/>
      </w:pPr>
      <w:r>
        <w:rPr>
          <w:b w:val="0"/>
          <w:i w:val="0"/>
        </w:rPr>
        <w:t>The signal scan (Figure 4B) ranks all 19 candidate predictors. Only Kms_Driven (0.51%), Horsepower (0.17%) and Engine_CC (0.11%) explain more than 0.01% of log-price variance. This mirrors the randomisation routine, which generates the five numeric fields jointly without reference to brand, age or any categorical field. The absence of age and brand effects is therefore a property of this assessment dataset and should not be read as market behaviour.</w:t>
      </w:r>
    </w:p>
    <w:p>
      <w:pPr>
        <w:keepNext/>
        <w:spacing w:before="180" w:after="60"/>
      </w:pPr>
      <w:r>
        <w:rPr>
          <w:rFonts w:ascii="Arial" w:hAnsi="Arial"/>
          <w:b/>
          <w:color w:val="2A78D6"/>
          <w:sz w:val="23"/>
        </w:rPr>
        <w:t xml:space="preserve">6  </w:t>
      </w:r>
      <w:r>
        <w:rPr>
          <w:rFonts w:ascii="Arial" w:hAnsi="Arial"/>
          <w:b/>
          <w:color w:val="1F1F1D"/>
          <w:sz w:val="23"/>
        </w:rPr>
        <w:t>Conclusions and development plan</w:t>
      </w:r>
    </w:p>
    <w:p>
      <w:pPr>
        <w:jc w:val="both"/>
      </w:pPr>
      <w:r>
        <w:rPr>
          <w:b w:val="0"/>
          <w:i w:val="0"/>
        </w:rPr>
        <w:t>Three conclusions follow. First, report medians and model log price. Second, usage is the only stable driver: a consistent but modest discount of about 0.8% per 10% more kilometres. Third, neither brand segment nor age shifts price here, so no luxury premium should be built into offers on this evidence.</w:t>
      </w:r>
    </w:p>
    <w:p>
      <w:pPr>
        <w:jc w:val="both"/>
      </w:pPr>
      <w:r>
        <w:rPr>
          <w:b w:val="0"/>
          <w:i w:val="0"/>
        </w:rPr>
        <w:t>The limitation matters commercially. A preview log-linear model using kilometres, horsepower and engine size explains 0.7% of variance, and its median absolute percentage error (55.2%) barely improves on quoting the overall median (55.3%). Instant offers built on these fields alone would be unreliable. We recommend (a) quoting price bands rather than point offers; (b) routing listings outside each segment’s 5th–95th percentile band to manual review; and (c) collecting condition, inspection-grade, trim and transaction-price data before automating appraisal—46% of Indian buyers already pay for professional inspections (MFC &amp; VW, 2025, p. 48).</w:t>
      </w:r>
    </w:p>
    <w:p>
      <w:pPr>
        <w:jc w:val="both"/>
      </w:pPr>
      <w:r>
        <w:rPr>
          <w:b w:val="0"/>
          <w:i w:val="0"/>
        </w:rPr>
        <w:t>Table 3 sets out the plan: Milestone 2 formally tests the age, usage and segment hypotheses on log price; the final report fits and hold-out-validates a multiple regression with prediction intervals, treating Engine_CC and Horsepower (r = 0.81) carefully to avoid multicollinearity.</w:t>
      </w:r>
    </w:p>
    <w:p>
      <w:pPr>
        <w:keepNext/>
        <w:spacing w:before="120" w:after="40"/>
      </w:pPr>
      <w:r>
        <w:rPr>
          <w:rFonts w:ascii="Arial" w:hAnsi="Arial"/>
          <w:b/>
          <w:sz w:val="15"/>
        </w:rPr>
        <w:t>Table 3. Development plan for Milestone 2 and the final report</w:t>
      </w:r>
    </w:p>
    <w:tbl>
      <w:tblPr>
        <w:tblW w:type="auto" w:w="0"/>
        <w:jc w:val="center"/>
        <w:tblLayout w:type="fixed"/>
        <w:tblLook w:firstColumn="1" w:firstRow="1" w:lastColumn="0" w:lastRow="0" w:noHBand="0" w:noVBand="1" w:val="04A0"/>
        <w:tblBorders>
          <w:top w:val="single" w:sz="8" w:color="1f1f1d"/>
          <w:bottom w:val="single" w:sz="8" w:color="1f1f1d"/>
          <w:insideH w:val="single" w:sz="2" w:color="d9d8d3"/>
          <w:left w:val="nil" w:sz="0" w:color="ffffff"/>
          <w:right w:val="nil" w:sz="0" w:color="ffffff"/>
          <w:insideV w:val="nil" w:sz="0" w:color="ffffff"/>
        </w:tblBorders>
      </w:tblPr>
      <w:tblGrid>
        <w:gridCol w:w="2523"/>
        <w:gridCol w:w="2523"/>
        <w:gridCol w:w="2523"/>
        <w:gridCol w:w="2523"/>
      </w:tblGrid>
      <w:tr>
        <w:tc>
          <w:tcPr>
            <w:tcW w:type="dxa" w:w="1928"/>
            <w:shd w:val="clear" w:color="auto" w:fill="f4f3ef"/>
          </w:tcPr>
          <w:p>
            <w:r/>
            <w:r>
              <w:rPr>
                <w:rFonts w:ascii="Arial" w:hAnsi="Arial"/>
                <w:b/>
                <w:sz w:val="13"/>
              </w:rPr>
              <w:t>Question</w:t>
            </w:r>
          </w:p>
        </w:tc>
        <w:tc>
          <w:tcPr>
            <w:tcW w:type="dxa" w:w="794"/>
            <w:shd w:val="clear" w:color="auto" w:fill="f4f3ef"/>
          </w:tcPr>
          <w:p>
            <w:r/>
            <w:r>
              <w:rPr>
                <w:rFonts w:ascii="Arial" w:hAnsi="Arial"/>
                <w:b/>
                <w:sz w:val="13"/>
              </w:rPr>
              <w:t>Stage</w:t>
            </w:r>
          </w:p>
        </w:tc>
        <w:tc>
          <w:tcPr>
            <w:tcW w:type="dxa" w:w="4082"/>
            <w:shd w:val="clear" w:color="auto" w:fill="f4f3ef"/>
          </w:tcPr>
          <w:p>
            <w:r/>
            <w:r>
              <w:rPr>
                <w:rFonts w:ascii="Arial" w:hAnsi="Arial"/>
                <w:b/>
                <w:sz w:val="13"/>
              </w:rPr>
              <w:t>Method (course tools)</w:t>
            </w:r>
          </w:p>
        </w:tc>
        <w:tc>
          <w:tcPr>
            <w:tcW w:type="dxa" w:w="3288"/>
            <w:shd w:val="clear" w:color="auto" w:fill="f4f3ef"/>
          </w:tcPr>
          <w:p>
            <w:r/>
            <w:r>
              <w:rPr>
                <w:rFonts w:ascii="Arial" w:hAnsi="Arial"/>
                <w:b/>
                <w:sz w:val="13"/>
              </w:rPr>
              <w:t>Output / decision rule</w:t>
            </w:r>
          </w:p>
        </w:tc>
      </w:tr>
      <w:tr>
        <w:tc>
          <w:tcPr>
            <w:tcW w:type="dxa" w:w="1928"/>
          </w:tcPr>
          <w:p>
            <w:pPr>
              <w:spacing w:after="0"/>
            </w:pPr>
            <w:r/>
            <w:r>
              <w:rPr>
                <w:rFonts w:ascii="Arial" w:hAnsi="Arial"/>
                <w:sz w:val="13"/>
              </w:rPr>
              <w:t>Q1a Does age affect price?</w:t>
            </w:r>
          </w:p>
        </w:tc>
        <w:tc>
          <w:tcPr>
            <w:tcW w:type="dxa" w:w="794"/>
          </w:tcPr>
          <w:p>
            <w:pPr>
              <w:spacing w:after="0"/>
            </w:pPr>
            <w:r/>
            <w:r>
              <w:rPr>
                <w:rFonts w:ascii="Arial" w:hAnsi="Arial"/>
                <w:sz w:val="13"/>
              </w:rPr>
              <w:t>M2</w:t>
            </w:r>
          </w:p>
        </w:tc>
        <w:tc>
          <w:tcPr>
            <w:tcW w:type="dxa" w:w="4082"/>
          </w:tcPr>
          <w:p>
            <w:pPr>
              <w:spacing w:after="0"/>
            </w:pPr>
            <w:r/>
            <w:r>
              <w:rPr>
                <w:rFonts w:ascii="Arial" w:hAnsi="Arial"/>
                <w:sz w:val="13"/>
              </w:rPr>
              <w:t>H0: ρ = 0 for log price vs age; one-way ANOVA across 5-year age bands</w:t>
            </w:r>
          </w:p>
        </w:tc>
        <w:tc>
          <w:tcPr>
            <w:tcW w:type="dxa" w:w="3288"/>
          </w:tcPr>
          <w:p>
            <w:pPr>
              <w:spacing w:after="0"/>
            </w:pPr>
            <w:r/>
            <w:r>
              <w:rPr>
                <w:rFonts w:ascii="Arial" w:hAnsi="Arial"/>
                <w:sz w:val="13"/>
              </w:rPr>
              <w:t>95% CI for r; effect judged against ±1% practical band</w:t>
            </w:r>
          </w:p>
        </w:tc>
      </w:tr>
      <w:tr>
        <w:tc>
          <w:tcPr>
            <w:tcW w:type="dxa" w:w="1928"/>
          </w:tcPr>
          <w:p>
            <w:pPr>
              <w:spacing w:after="0"/>
            </w:pPr>
            <w:r/>
            <w:r>
              <w:rPr>
                <w:rFonts w:ascii="Arial" w:hAnsi="Arial"/>
                <w:sz w:val="13"/>
              </w:rPr>
              <w:t>Q1b How strongly does usage lower price?</w:t>
            </w:r>
          </w:p>
        </w:tc>
        <w:tc>
          <w:tcPr>
            <w:tcW w:type="dxa" w:w="794"/>
          </w:tcPr>
          <w:p>
            <w:pPr>
              <w:spacing w:after="0"/>
            </w:pPr>
            <w:r/>
            <w:r>
              <w:rPr>
                <w:rFonts w:ascii="Arial" w:hAnsi="Arial"/>
                <w:sz w:val="13"/>
              </w:rPr>
              <w:t>M2</w:t>
            </w:r>
          </w:p>
        </w:tc>
        <w:tc>
          <w:tcPr>
            <w:tcW w:type="dxa" w:w="4082"/>
          </w:tcPr>
          <w:p>
            <w:pPr>
              <w:spacing w:after="0"/>
            </w:pPr>
            <w:r/>
            <w:r>
              <w:rPr>
                <w:rFonts w:ascii="Arial" w:hAnsi="Arial"/>
                <w:sz w:val="13"/>
              </w:rPr>
              <w:t>t-test on the slope of log price on log km; compare slopes by segment</w:t>
            </w:r>
          </w:p>
        </w:tc>
        <w:tc>
          <w:tcPr>
            <w:tcW w:type="dxa" w:w="3288"/>
          </w:tcPr>
          <w:p>
            <w:pPr>
              <w:spacing w:after="0"/>
            </w:pPr>
            <w:r/>
            <w:r>
              <w:rPr>
                <w:rFonts w:ascii="Arial" w:hAnsi="Arial"/>
                <w:sz w:val="13"/>
              </w:rPr>
              <w:t>Elasticity with 95% CI (current estimate −0.088)</w:t>
            </w:r>
          </w:p>
        </w:tc>
      </w:tr>
      <w:tr>
        <w:tc>
          <w:tcPr>
            <w:tcW w:type="dxa" w:w="1928"/>
          </w:tcPr>
          <w:p>
            <w:pPr>
              <w:spacing w:after="0"/>
            </w:pPr>
            <w:r/>
            <w:r>
              <w:rPr>
                <w:rFonts w:ascii="Arial" w:hAnsi="Arial"/>
                <w:sz w:val="13"/>
              </w:rPr>
              <w:t>Q2 Is there a luxury premium?</w:t>
            </w:r>
          </w:p>
        </w:tc>
        <w:tc>
          <w:tcPr>
            <w:tcW w:type="dxa" w:w="794"/>
          </w:tcPr>
          <w:p>
            <w:pPr>
              <w:spacing w:after="0"/>
            </w:pPr>
            <w:r/>
            <w:r>
              <w:rPr>
                <w:rFonts w:ascii="Arial" w:hAnsi="Arial"/>
                <w:sz w:val="13"/>
              </w:rPr>
              <w:t>M2</w:t>
            </w:r>
          </w:p>
        </w:tc>
        <w:tc>
          <w:tcPr>
            <w:tcW w:type="dxa" w:w="4082"/>
          </w:tcPr>
          <w:p>
            <w:pPr>
              <w:spacing w:after="0"/>
            </w:pPr>
            <w:r/>
            <w:r>
              <w:rPr>
                <w:rFonts w:ascii="Arial" w:hAnsi="Arial"/>
                <w:sz w:val="13"/>
              </w:rPr>
              <w:t>Welch two-sample t-test on log price; Mann–Whitney as robustness check</w:t>
            </w:r>
          </w:p>
        </w:tc>
        <w:tc>
          <w:tcPr>
            <w:tcW w:type="dxa" w:w="3288"/>
          </w:tcPr>
          <w:p>
            <w:pPr>
              <w:spacing w:after="0"/>
            </w:pPr>
            <w:r/>
            <w:r>
              <w:rPr>
                <w:rFonts w:ascii="Arial" w:hAnsi="Arial"/>
                <w:sz w:val="13"/>
              </w:rPr>
              <w:t>CI for median ratio; premium only if CI excludes 0</w:t>
            </w:r>
          </w:p>
        </w:tc>
      </w:tr>
      <w:tr>
        <w:tc>
          <w:tcPr>
            <w:tcW w:type="dxa" w:w="1928"/>
          </w:tcPr>
          <w:p>
            <w:pPr>
              <w:spacing w:after="0"/>
            </w:pPr>
            <w:r/>
            <w:r>
              <w:rPr>
                <w:rFonts w:ascii="Arial" w:hAnsi="Arial"/>
                <w:sz w:val="13"/>
              </w:rPr>
              <w:t>Predict price at appraisal</w:t>
            </w:r>
          </w:p>
        </w:tc>
        <w:tc>
          <w:tcPr>
            <w:tcW w:type="dxa" w:w="794"/>
          </w:tcPr>
          <w:p>
            <w:pPr>
              <w:spacing w:after="0"/>
            </w:pPr>
            <w:r/>
            <w:r>
              <w:rPr>
                <w:rFonts w:ascii="Arial" w:hAnsi="Arial"/>
                <w:sz w:val="13"/>
              </w:rPr>
              <w:t>Final</w:t>
            </w:r>
          </w:p>
        </w:tc>
        <w:tc>
          <w:tcPr>
            <w:tcW w:type="dxa" w:w="4082"/>
          </w:tcPr>
          <w:p>
            <w:pPr>
              <w:spacing w:after="0"/>
            </w:pPr>
            <w:r/>
            <w:r>
              <w:rPr>
                <w:rFonts w:ascii="Arial" w:hAnsi="Arial"/>
                <w:sz w:val="13"/>
              </w:rPr>
              <w:t>Multiple regression on log price (log km, Horsepower or Engine_CC, segment dummy, controls); 80/20 hold-out</w:t>
            </w:r>
          </w:p>
        </w:tc>
        <w:tc>
          <w:tcPr>
            <w:tcW w:type="dxa" w:w="3288"/>
          </w:tcPr>
          <w:p>
            <w:pPr>
              <w:spacing w:after="0"/>
            </w:pPr>
            <w:r/>
            <w:r>
              <w:rPr>
                <w:rFonts w:ascii="Arial" w:hAnsi="Arial"/>
                <w:sz w:val="13"/>
              </w:rPr>
              <w:t>Hold-out MdAPE vs median benchmark (55.3%); prediction bands</w:t>
            </w:r>
          </w:p>
        </w:tc>
      </w:tr>
      <w:tr>
        <w:tc>
          <w:tcPr>
            <w:tcW w:type="dxa" w:w="1928"/>
          </w:tcPr>
          <w:p>
            <w:pPr>
              <w:spacing w:after="0"/>
            </w:pPr>
            <w:r/>
            <w:r>
              <w:rPr>
                <w:rFonts w:ascii="Arial" w:hAnsi="Arial"/>
                <w:sz w:val="13"/>
              </w:rPr>
              <w:t>Are conclusions robust?</w:t>
            </w:r>
          </w:p>
        </w:tc>
        <w:tc>
          <w:tcPr>
            <w:tcW w:type="dxa" w:w="794"/>
          </w:tcPr>
          <w:p>
            <w:pPr>
              <w:spacing w:after="0"/>
            </w:pPr>
            <w:r/>
            <w:r>
              <w:rPr>
                <w:rFonts w:ascii="Arial" w:hAnsi="Arial"/>
                <w:sz w:val="13"/>
              </w:rPr>
              <w:t>M2 + Final</w:t>
            </w:r>
          </w:p>
        </w:tc>
        <w:tc>
          <w:tcPr>
            <w:tcW w:type="dxa" w:w="4082"/>
          </w:tcPr>
          <w:p>
            <w:pPr>
              <w:spacing w:after="0"/>
            </w:pPr>
            <w:r/>
            <w:r>
              <w:rPr>
                <w:rFonts w:ascii="Arial" w:hAnsi="Arial"/>
                <w:sz w:val="13"/>
              </w:rPr>
              <w:t>Re-run with duplicates removed, Unknown removed, km caps 0.5m–none</w:t>
            </w:r>
          </w:p>
        </w:tc>
        <w:tc>
          <w:tcPr>
            <w:tcW w:type="dxa" w:w="3288"/>
          </w:tcPr>
          <w:p>
            <w:pPr>
              <w:spacing w:after="0"/>
            </w:pPr>
            <w:r/>
            <w:r>
              <w:rPr>
                <w:rFonts w:ascii="Arial" w:hAnsi="Arial"/>
                <w:sz w:val="13"/>
              </w:rPr>
              <w:t>Conclusions reported only if unchanged (Table A1)</w:t>
            </w:r>
          </w:p>
        </w:tc>
      </w:tr>
    </w:tbl>
    <w:p>
      <w:pPr>
        <w:spacing w:before="180"/>
      </w:pPr>
      <w:r>
        <w:rPr>
          <w:rFonts w:ascii="Arial" w:hAnsi="Arial"/>
          <w:b/>
          <w:sz w:val="23"/>
        </w:rPr>
        <w:t>References</w:t>
      </w:r>
    </w:p>
    <w:p>
      <w:pPr>
        <w:ind w:left="283" w:hanging="283"/>
      </w:pPr>
      <w:r>
        <w:rPr>
          <w:b w:val="0"/>
          <w:i w:val="0"/>
          <w:sz w:val="17"/>
        </w:rPr>
        <w:t xml:space="preserve">Cohen, J. (1988). </w:t>
      </w:r>
      <w:r>
        <w:rPr>
          <w:b w:val="0"/>
          <w:i/>
          <w:sz w:val="17"/>
        </w:rPr>
        <w:t>Statistical power analysis for the behavioral sciences</w:t>
      </w:r>
      <w:r>
        <w:rPr>
          <w:b w:val="0"/>
          <w:i w:val="0"/>
          <w:sz w:val="17"/>
        </w:rPr>
        <w:t xml:space="preserve"> (2nd ed.). Lawrence Erlbaum Associates. pp. 25–27.</w:t>
      </w:r>
    </w:p>
    <w:p>
      <w:pPr>
        <w:ind w:left="283" w:hanging="283"/>
      </w:pPr>
      <w:r>
        <w:rPr>
          <w:b w:val="0"/>
          <w:i w:val="0"/>
          <w:sz w:val="17"/>
        </w:rPr>
        <w:t xml:space="preserve">Mahindra First Choice &amp; Volkswagen Group India. (2025). </w:t>
      </w:r>
      <w:r>
        <w:rPr>
          <w:b w:val="0"/>
          <w:i/>
          <w:sz w:val="17"/>
        </w:rPr>
        <w:t>The used car ethos: India FY2024–25</w:t>
      </w:r>
      <w:r>
        <w:rPr>
          <w:b w:val="0"/>
          <w:i w:val="0"/>
          <w:sz w:val="17"/>
        </w:rPr>
        <w:t xml:space="preserve"> (Indian Blue Book report). pp. 6, 48, 53. https://www.volkswagen.co.in/idhub/content/dam/onehub_pkw/importers/in/pdf/ibb-report-fy-2024-25.pdf</w:t>
      </w:r>
    </w:p>
    <w:p>
      <w:pPr>
        <w:ind w:left="283" w:hanging="283"/>
      </w:pPr>
      <w:r>
        <w:rPr>
          <w:b w:val="0"/>
          <w:i w:val="0"/>
          <w:sz w:val="17"/>
        </w:rPr>
        <w:t xml:space="preserve">Stable Space. (2026). </w:t>
      </w:r>
      <w:r>
        <w:rPr>
          <w:b w:val="0"/>
          <w:i/>
          <w:sz w:val="17"/>
        </w:rPr>
        <w:t>Used car price prediction dataset</w:t>
      </w:r>
      <w:r>
        <w:rPr>
          <w:b w:val="0"/>
          <w:i w:val="0"/>
          <w:sz w:val="17"/>
        </w:rPr>
        <w:t xml:space="preserve"> [Data set]. Kaggle. Retrieved June 2026 from https://www.kaggle.com/datasets/sharmajicoder/used-car-price-prediction-dataset (supplied as COMM5000-Used_Car_Price_Prediction.xlsm, sheets Dataset and DATA).</w:t>
      </w:r>
    </w:p>
    <w:p>
      <w:pPr>
        <w:spacing w:before="180"/>
      </w:pPr>
      <w:r>
        <w:rPr>
          <w:rFonts w:ascii="Arial" w:hAnsi="Arial"/>
          <w:b/>
          <w:sz w:val="23"/>
        </w:rPr>
        <w:t>Appendix: robustness of key results</w:t>
      </w:r>
    </w:p>
    <w:p>
      <w:pPr>
        <w:keepNext/>
        <w:spacing w:before="120" w:after="40"/>
      </w:pPr>
      <w:r>
        <w:rPr>
          <w:rFonts w:ascii="Arial" w:hAnsi="Arial"/>
          <w:b/>
          <w:sz w:val="15"/>
        </w:rPr>
        <w:t>Table A1a. Sensitivity to cleaning choices</w:t>
      </w:r>
    </w:p>
    <w:tbl>
      <w:tblPr>
        <w:tblW w:type="auto" w:w="0"/>
        <w:jc w:val="center"/>
        <w:tblLayout w:type="fixed"/>
        <w:tblLook w:firstColumn="1" w:firstRow="1" w:lastColumn="0" w:lastRow="0" w:noHBand="0" w:noVBand="1" w:val="04A0"/>
        <w:tblBorders>
          <w:top w:val="single" w:sz="8" w:color="1f1f1d"/>
          <w:bottom w:val="single" w:sz="8" w:color="1f1f1d"/>
          <w:insideH w:val="single" w:sz="2" w:color="d9d8d3"/>
          <w:left w:val="nil" w:sz="0" w:color="ffffff"/>
          <w:right w:val="nil" w:sz="0" w:color="ffffff"/>
          <w:insideV w:val="nil" w:sz="0" w:color="ffffff"/>
        </w:tblBorders>
      </w:tblPr>
      <w:tblGrid>
        <w:gridCol w:w="1682"/>
        <w:gridCol w:w="1682"/>
        <w:gridCol w:w="1682"/>
        <w:gridCol w:w="1682"/>
        <w:gridCol w:w="1682"/>
        <w:gridCol w:w="1682"/>
      </w:tblGrid>
      <w:tr>
        <w:tc>
          <w:tcPr>
            <w:tcW w:type="dxa" w:w="2608"/>
            <w:shd w:val="clear" w:color="auto" w:fill="f4f3ef"/>
          </w:tcPr>
          <w:p>
            <w:r/>
            <w:r>
              <w:rPr>
                <w:rFonts w:ascii="Arial" w:hAnsi="Arial"/>
                <w:b/>
                <w:sz w:val="13"/>
              </w:rPr>
              <w:t>Scenario</w:t>
            </w:r>
          </w:p>
        </w:tc>
        <w:tc>
          <w:tcPr>
            <w:tcW w:type="dxa" w:w="1247"/>
            <w:shd w:val="clear" w:color="auto" w:fill="f4f3ef"/>
          </w:tcPr>
          <w:p>
            <w:pPr>
              <w:jc w:val="right"/>
            </w:pPr>
            <w:r/>
            <w:r>
              <w:rPr>
                <w:rFonts w:ascii="Arial" w:hAnsi="Arial"/>
                <w:b/>
                <w:sz w:val="13"/>
              </w:rPr>
              <w:t>n</w:t>
            </w:r>
          </w:p>
        </w:tc>
        <w:tc>
          <w:tcPr>
            <w:tcW w:type="dxa" w:w="1587"/>
            <w:shd w:val="clear" w:color="auto" w:fill="f4f3ef"/>
          </w:tcPr>
          <w:p>
            <w:pPr>
              <w:jc w:val="right"/>
            </w:pPr>
            <w:r/>
            <w:r>
              <w:rPr>
                <w:rFonts w:ascii="Arial" w:hAnsi="Arial"/>
                <w:b/>
                <w:sz w:val="13"/>
              </w:rPr>
              <w:t>Median price (INR)</w:t>
            </w:r>
          </w:p>
        </w:tc>
        <w:tc>
          <w:tcPr>
            <w:tcW w:type="dxa" w:w="1361"/>
            <w:shd w:val="clear" w:color="auto" w:fill="f4f3ef"/>
          </w:tcPr>
          <w:p>
            <w:pPr>
              <w:jc w:val="right"/>
            </w:pPr>
            <w:r/>
            <w:r>
              <w:rPr>
                <w:rFonts w:ascii="Arial" w:hAnsi="Arial"/>
                <w:b/>
                <w:sz w:val="13"/>
              </w:rPr>
              <w:t>r (price, age)</w:t>
            </w:r>
          </w:p>
        </w:tc>
        <w:tc>
          <w:tcPr>
            <w:tcW w:type="dxa" w:w="1474"/>
            <w:shd w:val="clear" w:color="auto" w:fill="f4f3ef"/>
          </w:tcPr>
          <w:p>
            <w:pPr>
              <w:jc w:val="right"/>
            </w:pPr>
            <w:r/>
            <w:r>
              <w:rPr>
                <w:rFonts w:ascii="Arial" w:hAnsi="Arial"/>
                <w:b/>
                <w:sz w:val="13"/>
              </w:rPr>
              <w:t>r (price, km ≤ 1m)</w:t>
            </w:r>
          </w:p>
        </w:tc>
        <w:tc>
          <w:tcPr>
            <w:tcW w:type="dxa" w:w="1474"/>
            <w:shd w:val="clear" w:color="auto" w:fill="f4f3ef"/>
          </w:tcPr>
          <w:p>
            <w:pPr>
              <w:jc w:val="right"/>
            </w:pPr>
            <w:r/>
            <w:r>
              <w:rPr>
                <w:rFonts w:ascii="Arial" w:hAnsi="Arial"/>
                <w:b/>
                <w:sz w:val="13"/>
              </w:rPr>
              <w:t>Luxury median gap</w:t>
            </w:r>
          </w:p>
        </w:tc>
      </w:tr>
      <w:tr>
        <w:tc>
          <w:tcPr>
            <w:tcW w:type="dxa" w:w="2608"/>
          </w:tcPr>
          <w:p>
            <w:pPr>
              <w:spacing w:after="0"/>
            </w:pPr>
            <w:r/>
            <w:r>
              <w:rPr>
                <w:rFonts w:ascii="Arial" w:hAnsi="Arial"/>
                <w:sz w:val="13"/>
              </w:rPr>
              <w:t>Baseline (all rows)</w:t>
            </w:r>
          </w:p>
        </w:tc>
        <w:tc>
          <w:tcPr>
            <w:tcW w:type="dxa" w:w="1247"/>
          </w:tcPr>
          <w:p>
            <w:pPr>
              <w:spacing w:after="0"/>
              <w:jc w:val="right"/>
            </w:pPr>
            <w:r/>
            <w:r>
              <w:rPr>
                <w:rFonts w:ascii="Arial" w:hAnsi="Arial"/>
                <w:sz w:val="13"/>
              </w:rPr>
              <w:t>1,005,000</w:t>
            </w:r>
          </w:p>
        </w:tc>
        <w:tc>
          <w:tcPr>
            <w:tcW w:type="dxa" w:w="1587"/>
          </w:tcPr>
          <w:p>
            <w:pPr>
              <w:spacing w:after="0"/>
              <w:jc w:val="right"/>
            </w:pPr>
            <w:r/>
            <w:r>
              <w:rPr>
                <w:rFonts w:ascii="Arial" w:hAnsi="Arial"/>
                <w:sz w:val="13"/>
              </w:rPr>
              <w:t>673,522</w:t>
            </w:r>
          </w:p>
        </w:tc>
        <w:tc>
          <w:tcPr>
            <w:tcW w:type="dxa" w:w="1361"/>
          </w:tcPr>
          <w:p>
            <w:pPr>
              <w:spacing w:after="0"/>
              <w:jc w:val="right"/>
            </w:pPr>
            <w:r/>
            <w:r>
              <w:rPr>
                <w:rFonts w:ascii="Arial" w:hAnsi="Arial"/>
                <w:sz w:val="13"/>
              </w:rPr>
              <w:t>+0.00007</w:t>
            </w:r>
          </w:p>
        </w:tc>
        <w:tc>
          <w:tcPr>
            <w:tcW w:type="dxa" w:w="1474"/>
          </w:tcPr>
          <w:p>
            <w:pPr>
              <w:spacing w:after="0"/>
              <w:jc w:val="right"/>
            </w:pPr>
            <w:r/>
            <w:r>
              <w:rPr>
                <w:rFonts w:ascii="Arial" w:hAnsi="Arial"/>
                <w:sz w:val="13"/>
              </w:rPr>
              <w:t>−0.0510</w:t>
            </w:r>
          </w:p>
        </w:tc>
        <w:tc>
          <w:tcPr>
            <w:tcW w:type="dxa" w:w="1474"/>
          </w:tcPr>
          <w:p>
            <w:pPr>
              <w:spacing w:after="0"/>
              <w:jc w:val="right"/>
            </w:pPr>
            <w:r/>
            <w:r>
              <w:rPr>
                <w:rFonts w:ascii="Arial" w:hAnsi="Arial"/>
                <w:sz w:val="13"/>
              </w:rPr>
              <w:t>−0.17%</w:t>
            </w:r>
          </w:p>
        </w:tc>
      </w:tr>
      <w:tr>
        <w:tc>
          <w:tcPr>
            <w:tcW w:type="dxa" w:w="2608"/>
          </w:tcPr>
          <w:p>
            <w:pPr>
              <w:spacing w:after="0"/>
            </w:pPr>
            <w:r/>
            <w:r>
              <w:rPr>
                <w:rFonts w:ascii="Arial" w:hAnsi="Arial"/>
                <w:sz w:val="13"/>
              </w:rPr>
              <w:t>Drop all 15-field repeats</w:t>
            </w:r>
          </w:p>
        </w:tc>
        <w:tc>
          <w:tcPr>
            <w:tcW w:type="dxa" w:w="1247"/>
          </w:tcPr>
          <w:p>
            <w:pPr>
              <w:spacing w:after="0"/>
              <w:jc w:val="right"/>
            </w:pPr>
            <w:r/>
            <w:r>
              <w:rPr>
                <w:rFonts w:ascii="Arial" w:hAnsi="Arial"/>
                <w:sz w:val="13"/>
              </w:rPr>
              <w:t>975,360</w:t>
            </w:r>
          </w:p>
        </w:tc>
        <w:tc>
          <w:tcPr>
            <w:tcW w:type="dxa" w:w="1587"/>
          </w:tcPr>
          <w:p>
            <w:pPr>
              <w:spacing w:after="0"/>
              <w:jc w:val="right"/>
            </w:pPr>
            <w:r/>
            <w:r>
              <w:rPr>
                <w:rFonts w:ascii="Arial" w:hAnsi="Arial"/>
                <w:sz w:val="13"/>
              </w:rPr>
              <w:t>673,436</w:t>
            </w:r>
          </w:p>
        </w:tc>
        <w:tc>
          <w:tcPr>
            <w:tcW w:type="dxa" w:w="1361"/>
          </w:tcPr>
          <w:p>
            <w:pPr>
              <w:spacing w:after="0"/>
              <w:jc w:val="right"/>
            </w:pPr>
            <w:r/>
            <w:r>
              <w:rPr>
                <w:rFonts w:ascii="Arial" w:hAnsi="Arial"/>
                <w:sz w:val="13"/>
              </w:rPr>
              <w:t>+0.00002</w:t>
            </w:r>
          </w:p>
        </w:tc>
        <w:tc>
          <w:tcPr>
            <w:tcW w:type="dxa" w:w="1474"/>
          </w:tcPr>
          <w:p>
            <w:pPr>
              <w:spacing w:after="0"/>
              <w:jc w:val="right"/>
            </w:pPr>
            <w:r/>
            <w:r>
              <w:rPr>
                <w:rFonts w:ascii="Arial" w:hAnsi="Arial"/>
                <w:sz w:val="13"/>
              </w:rPr>
              <w:t>−0.0513</w:t>
            </w:r>
          </w:p>
        </w:tc>
        <w:tc>
          <w:tcPr>
            <w:tcW w:type="dxa" w:w="1474"/>
          </w:tcPr>
          <w:p>
            <w:pPr>
              <w:spacing w:after="0"/>
              <w:jc w:val="right"/>
            </w:pPr>
            <w:r/>
            <w:r>
              <w:rPr>
                <w:rFonts w:ascii="Arial" w:hAnsi="Arial"/>
                <w:sz w:val="13"/>
              </w:rPr>
              <w:t>−0.19%</w:t>
            </w:r>
          </w:p>
        </w:tc>
      </w:tr>
      <w:tr>
        <w:tc>
          <w:tcPr>
            <w:tcW w:type="dxa" w:w="2608"/>
          </w:tcPr>
          <w:p>
            <w:pPr>
              <w:spacing w:after="0"/>
            </w:pPr>
            <w:r/>
            <w:r>
              <w:rPr>
                <w:rFonts w:ascii="Arial" w:hAnsi="Arial"/>
                <w:sz w:val="13"/>
              </w:rPr>
              <w:t>Drop rows with any Unknown</w:t>
            </w:r>
          </w:p>
        </w:tc>
        <w:tc>
          <w:tcPr>
            <w:tcW w:type="dxa" w:w="1247"/>
          </w:tcPr>
          <w:p>
            <w:pPr>
              <w:spacing w:after="0"/>
              <w:jc w:val="right"/>
            </w:pPr>
            <w:r/>
            <w:r>
              <w:rPr>
                <w:rFonts w:ascii="Arial" w:hAnsi="Arial"/>
                <w:sz w:val="13"/>
              </w:rPr>
              <w:t>721,352</w:t>
            </w:r>
          </w:p>
        </w:tc>
        <w:tc>
          <w:tcPr>
            <w:tcW w:type="dxa" w:w="1587"/>
          </w:tcPr>
          <w:p>
            <w:pPr>
              <w:spacing w:after="0"/>
              <w:jc w:val="right"/>
            </w:pPr>
            <w:r/>
            <w:r>
              <w:rPr>
                <w:rFonts w:ascii="Arial" w:hAnsi="Arial"/>
                <w:sz w:val="13"/>
              </w:rPr>
              <w:t>672,595</w:t>
            </w:r>
          </w:p>
        </w:tc>
        <w:tc>
          <w:tcPr>
            <w:tcW w:type="dxa" w:w="1361"/>
          </w:tcPr>
          <w:p>
            <w:pPr>
              <w:spacing w:after="0"/>
              <w:jc w:val="right"/>
            </w:pPr>
            <w:r/>
            <w:r>
              <w:rPr>
                <w:rFonts w:ascii="Arial" w:hAnsi="Arial"/>
                <w:sz w:val="13"/>
              </w:rPr>
              <w:t>+0.00057</w:t>
            </w:r>
          </w:p>
        </w:tc>
        <w:tc>
          <w:tcPr>
            <w:tcW w:type="dxa" w:w="1474"/>
          </w:tcPr>
          <w:p>
            <w:pPr>
              <w:spacing w:after="0"/>
              <w:jc w:val="right"/>
            </w:pPr>
            <w:r/>
            <w:r>
              <w:rPr>
                <w:rFonts w:ascii="Arial" w:hAnsi="Arial"/>
                <w:sz w:val="13"/>
              </w:rPr>
              <w:t>−0.0516</w:t>
            </w:r>
          </w:p>
        </w:tc>
        <w:tc>
          <w:tcPr>
            <w:tcW w:type="dxa" w:w="1474"/>
          </w:tcPr>
          <w:p>
            <w:pPr>
              <w:spacing w:after="0"/>
              <w:jc w:val="right"/>
            </w:pPr>
            <w:r/>
            <w:r>
              <w:rPr>
                <w:rFonts w:ascii="Arial" w:hAnsi="Arial"/>
                <w:sz w:val="13"/>
              </w:rPr>
              <w:t>+0.14%</w:t>
            </w:r>
          </w:p>
        </w:tc>
      </w:tr>
      <w:tr>
        <w:tc>
          <w:tcPr>
            <w:tcW w:type="dxa" w:w="2608"/>
          </w:tcPr>
          <w:p>
            <w:pPr>
              <w:spacing w:after="0"/>
            </w:pPr>
            <w:r/>
            <w:r>
              <w:rPr>
                <w:rFonts w:ascii="Arial" w:hAnsi="Arial"/>
                <w:sz w:val="13"/>
              </w:rPr>
              <w:t>Drop 3 extreme prices</w:t>
            </w:r>
          </w:p>
        </w:tc>
        <w:tc>
          <w:tcPr>
            <w:tcW w:type="dxa" w:w="1247"/>
          </w:tcPr>
          <w:p>
            <w:pPr>
              <w:spacing w:after="0"/>
              <w:jc w:val="right"/>
            </w:pPr>
            <w:r/>
            <w:r>
              <w:rPr>
                <w:rFonts w:ascii="Arial" w:hAnsi="Arial"/>
                <w:sz w:val="13"/>
              </w:rPr>
              <w:t>1,004,997</w:t>
            </w:r>
          </w:p>
        </w:tc>
        <w:tc>
          <w:tcPr>
            <w:tcW w:type="dxa" w:w="1587"/>
          </w:tcPr>
          <w:p>
            <w:pPr>
              <w:spacing w:after="0"/>
              <w:jc w:val="right"/>
            </w:pPr>
            <w:r/>
            <w:r>
              <w:rPr>
                <w:rFonts w:ascii="Arial" w:hAnsi="Arial"/>
                <w:sz w:val="13"/>
              </w:rPr>
              <w:t>673,521</w:t>
            </w:r>
          </w:p>
        </w:tc>
        <w:tc>
          <w:tcPr>
            <w:tcW w:type="dxa" w:w="1361"/>
          </w:tcPr>
          <w:p>
            <w:pPr>
              <w:spacing w:after="0"/>
              <w:jc w:val="right"/>
            </w:pPr>
            <w:r/>
            <w:r>
              <w:rPr>
                <w:rFonts w:ascii="Arial" w:hAnsi="Arial"/>
                <w:sz w:val="13"/>
              </w:rPr>
              <w:t>−0.00002</w:t>
            </w:r>
          </w:p>
        </w:tc>
        <w:tc>
          <w:tcPr>
            <w:tcW w:type="dxa" w:w="1474"/>
          </w:tcPr>
          <w:p>
            <w:pPr>
              <w:spacing w:after="0"/>
              <w:jc w:val="right"/>
            </w:pPr>
            <w:r/>
            <w:r>
              <w:rPr>
                <w:rFonts w:ascii="Arial" w:hAnsi="Arial"/>
                <w:sz w:val="13"/>
              </w:rPr>
              <w:t>−0.0513</w:t>
            </w:r>
          </w:p>
        </w:tc>
        <w:tc>
          <w:tcPr>
            <w:tcW w:type="dxa" w:w="1474"/>
          </w:tcPr>
          <w:p>
            <w:pPr>
              <w:spacing w:after="0"/>
              <w:jc w:val="right"/>
            </w:pPr>
            <w:r/>
            <w:r>
              <w:rPr>
                <w:rFonts w:ascii="Arial" w:hAnsi="Arial"/>
                <w:sz w:val="13"/>
              </w:rPr>
              <w:t>−0.17%</w:t>
            </w:r>
          </w:p>
        </w:tc>
      </w:tr>
    </w:tbl>
    <w:p>
      <w:pPr>
        <w:keepNext/>
        <w:spacing w:before="120" w:after="40"/>
      </w:pPr>
      <w:r>
        <w:rPr>
          <w:rFonts w:ascii="Arial" w:hAnsi="Arial"/>
          <w:b/>
          <w:sz w:val="15"/>
        </w:rPr>
        <w:t>Table A1b. Usage correlation under alternative km caps</w:t>
      </w:r>
    </w:p>
    <w:tbl>
      <w:tblPr>
        <w:tblW w:type="auto" w:w="0"/>
        <w:jc w:val="center"/>
        <w:tblLayout w:type="fixed"/>
        <w:tblLook w:firstColumn="1" w:firstRow="1" w:lastColumn="0" w:lastRow="0" w:noHBand="0" w:noVBand="1" w:val="04A0"/>
        <w:tblBorders>
          <w:top w:val="single" w:sz="8" w:color="1f1f1d"/>
          <w:bottom w:val="single" w:sz="8" w:color="1f1f1d"/>
          <w:insideH w:val="single" w:sz="2" w:color="d9d8d3"/>
          <w:left w:val="nil" w:sz="0" w:color="ffffff"/>
          <w:right w:val="nil" w:sz="0" w:color="ffffff"/>
          <w:insideV w:val="nil" w:sz="0" w:color="ffffff"/>
        </w:tblBorders>
      </w:tblPr>
      <w:tblGrid>
        <w:gridCol w:w="2523"/>
        <w:gridCol w:w="2523"/>
        <w:gridCol w:w="2523"/>
        <w:gridCol w:w="2523"/>
      </w:tblGrid>
      <w:tr>
        <w:tc>
          <w:tcPr>
            <w:tcW w:type="dxa" w:w="2835"/>
            <w:shd w:val="clear" w:color="auto" w:fill="f4f3ef"/>
          </w:tcPr>
          <w:p>
            <w:r/>
            <w:r>
              <w:rPr>
                <w:rFonts w:ascii="Arial" w:hAnsi="Arial"/>
                <w:b/>
                <w:sz w:val="13"/>
              </w:rPr>
              <w:t>Kms_Driven cap</w:t>
            </w:r>
          </w:p>
        </w:tc>
        <w:tc>
          <w:tcPr>
            <w:tcW w:type="dxa" w:w="1701"/>
            <w:shd w:val="clear" w:color="auto" w:fill="f4f3ef"/>
          </w:tcPr>
          <w:p>
            <w:pPr>
              <w:jc w:val="right"/>
            </w:pPr>
            <w:r/>
            <w:r>
              <w:rPr>
                <w:rFonts w:ascii="Arial" w:hAnsi="Arial"/>
                <w:b/>
                <w:sz w:val="13"/>
              </w:rPr>
              <w:t>n</w:t>
            </w:r>
          </w:p>
        </w:tc>
        <w:tc>
          <w:tcPr>
            <w:tcW w:type="dxa" w:w="1701"/>
            <w:shd w:val="clear" w:color="auto" w:fill="f4f3ef"/>
          </w:tcPr>
          <w:p>
            <w:pPr>
              <w:jc w:val="right"/>
            </w:pPr>
            <w:r/>
            <w:r>
              <w:rPr>
                <w:rFonts w:ascii="Arial" w:hAnsi="Arial"/>
                <w:b/>
                <w:sz w:val="13"/>
              </w:rPr>
              <w:t>r (raw)</w:t>
            </w:r>
          </w:p>
        </w:tc>
        <w:tc>
          <w:tcPr>
            <w:tcW w:type="dxa" w:w="1701"/>
            <w:shd w:val="clear" w:color="auto" w:fill="f4f3ef"/>
          </w:tcPr>
          <w:p>
            <w:pPr>
              <w:jc w:val="right"/>
            </w:pPr>
            <w:r/>
            <w:r>
              <w:rPr>
                <w:rFonts w:ascii="Arial" w:hAnsi="Arial"/>
                <w:b/>
                <w:sz w:val="13"/>
              </w:rPr>
              <w:t>r (log–log)</w:t>
            </w:r>
          </w:p>
        </w:tc>
      </w:tr>
      <w:tr>
        <w:tc>
          <w:tcPr>
            <w:tcW w:type="dxa" w:w="2835"/>
          </w:tcPr>
          <w:p>
            <w:pPr>
              <w:spacing w:after="0"/>
            </w:pPr>
            <w:r/>
            <w:r>
              <w:rPr>
                <w:rFonts w:ascii="Arial" w:hAnsi="Arial"/>
                <w:sz w:val="13"/>
              </w:rPr>
              <w:t>≤ 500,000 km</w:t>
            </w:r>
          </w:p>
        </w:tc>
        <w:tc>
          <w:tcPr>
            <w:tcW w:type="dxa" w:w="1701"/>
          </w:tcPr>
          <w:p>
            <w:pPr>
              <w:spacing w:after="0"/>
              <w:jc w:val="right"/>
            </w:pPr>
            <w:r/>
            <w:r>
              <w:rPr>
                <w:rFonts w:ascii="Arial" w:hAnsi="Arial"/>
                <w:sz w:val="13"/>
              </w:rPr>
              <w:t>947,751</w:t>
            </w:r>
          </w:p>
        </w:tc>
        <w:tc>
          <w:tcPr>
            <w:tcW w:type="dxa" w:w="1701"/>
          </w:tcPr>
          <w:p>
            <w:pPr>
              <w:spacing w:after="0"/>
              <w:jc w:val="right"/>
            </w:pPr>
            <w:r/>
            <w:r>
              <w:rPr>
                <w:rFonts w:ascii="Arial" w:hAnsi="Arial"/>
                <w:sz w:val="13"/>
              </w:rPr>
              <w:t>−0.0487</w:t>
            </w:r>
          </w:p>
        </w:tc>
        <w:tc>
          <w:tcPr>
            <w:tcW w:type="dxa" w:w="1701"/>
          </w:tcPr>
          <w:p>
            <w:pPr>
              <w:spacing w:after="0"/>
              <w:jc w:val="right"/>
            </w:pPr>
            <w:r/>
            <w:r>
              <w:rPr>
                <w:rFonts w:ascii="Arial" w:hAnsi="Arial"/>
                <w:sz w:val="13"/>
              </w:rPr>
              <w:t>−0.0646</w:t>
            </w:r>
          </w:p>
        </w:tc>
      </w:tr>
      <w:tr>
        <w:tc>
          <w:tcPr>
            <w:tcW w:type="dxa" w:w="2835"/>
          </w:tcPr>
          <w:p>
            <w:pPr>
              <w:spacing w:after="0"/>
            </w:pPr>
            <w:r/>
            <w:r>
              <w:rPr>
                <w:rFonts w:ascii="Arial" w:hAnsi="Arial"/>
                <w:sz w:val="13"/>
              </w:rPr>
              <w:t>≤ 750,000 km</w:t>
            </w:r>
          </w:p>
        </w:tc>
        <w:tc>
          <w:tcPr>
            <w:tcW w:type="dxa" w:w="1701"/>
          </w:tcPr>
          <w:p>
            <w:pPr>
              <w:spacing w:after="0"/>
              <w:jc w:val="right"/>
            </w:pPr>
            <w:r/>
            <w:r>
              <w:rPr>
                <w:rFonts w:ascii="Arial" w:hAnsi="Arial"/>
                <w:sz w:val="13"/>
              </w:rPr>
              <w:t>987,792</w:t>
            </w:r>
          </w:p>
        </w:tc>
        <w:tc>
          <w:tcPr>
            <w:tcW w:type="dxa" w:w="1701"/>
          </w:tcPr>
          <w:p>
            <w:pPr>
              <w:spacing w:after="0"/>
              <w:jc w:val="right"/>
            </w:pPr>
            <w:r/>
            <w:r>
              <w:rPr>
                <w:rFonts w:ascii="Arial" w:hAnsi="Arial"/>
                <w:sz w:val="13"/>
              </w:rPr>
              <w:t>−0.0503</w:t>
            </w:r>
          </w:p>
        </w:tc>
        <w:tc>
          <w:tcPr>
            <w:tcW w:type="dxa" w:w="1701"/>
          </w:tcPr>
          <w:p>
            <w:pPr>
              <w:spacing w:after="0"/>
              <w:jc w:val="right"/>
            </w:pPr>
            <w:r/>
            <w:r>
              <w:rPr>
                <w:rFonts w:ascii="Arial" w:hAnsi="Arial"/>
                <w:sz w:val="13"/>
              </w:rPr>
              <w:t>−0.0692</w:t>
            </w:r>
          </w:p>
        </w:tc>
      </w:tr>
      <w:tr>
        <w:tc>
          <w:tcPr>
            <w:tcW w:type="dxa" w:w="2835"/>
          </w:tcPr>
          <w:p>
            <w:pPr>
              <w:spacing w:after="0"/>
            </w:pPr>
            <w:r/>
            <w:r>
              <w:rPr>
                <w:rFonts w:ascii="Arial" w:hAnsi="Arial"/>
                <w:sz w:val="13"/>
              </w:rPr>
              <w:t>≤ 1,000,000 km (used)</w:t>
            </w:r>
          </w:p>
        </w:tc>
        <w:tc>
          <w:tcPr>
            <w:tcW w:type="dxa" w:w="1701"/>
          </w:tcPr>
          <w:p>
            <w:pPr>
              <w:spacing w:after="0"/>
              <w:jc w:val="right"/>
            </w:pPr>
            <w:r/>
            <w:r>
              <w:rPr>
                <w:rFonts w:ascii="Arial" w:hAnsi="Arial"/>
                <w:sz w:val="13"/>
              </w:rPr>
              <w:t>998,866</w:t>
            </w:r>
          </w:p>
        </w:tc>
        <w:tc>
          <w:tcPr>
            <w:tcW w:type="dxa" w:w="1701"/>
          </w:tcPr>
          <w:p>
            <w:pPr>
              <w:spacing w:after="0"/>
              <w:jc w:val="right"/>
            </w:pPr>
            <w:r/>
            <w:r>
              <w:rPr>
                <w:rFonts w:ascii="Arial" w:hAnsi="Arial"/>
                <w:sz w:val="13"/>
              </w:rPr>
              <w:t>−0.0510</w:t>
            </w:r>
          </w:p>
        </w:tc>
        <w:tc>
          <w:tcPr>
            <w:tcW w:type="dxa" w:w="1701"/>
          </w:tcPr>
          <w:p>
            <w:pPr>
              <w:spacing w:after="0"/>
              <w:jc w:val="right"/>
            </w:pPr>
            <w:r/>
            <w:r>
              <w:rPr>
                <w:rFonts w:ascii="Arial" w:hAnsi="Arial"/>
                <w:sz w:val="13"/>
              </w:rPr>
              <w:t>−0.0711</w:t>
            </w:r>
          </w:p>
        </w:tc>
      </w:tr>
      <w:tr>
        <w:tc>
          <w:tcPr>
            <w:tcW w:type="dxa" w:w="2835"/>
          </w:tcPr>
          <w:p>
            <w:pPr>
              <w:spacing w:after="0"/>
            </w:pPr>
            <w:r/>
            <w:r>
              <w:rPr>
                <w:rFonts w:ascii="Arial" w:hAnsi="Arial"/>
                <w:sz w:val="13"/>
              </w:rPr>
              <w:t>≤ 1,500,000 km</w:t>
            </w:r>
          </w:p>
        </w:tc>
        <w:tc>
          <w:tcPr>
            <w:tcW w:type="dxa" w:w="1701"/>
          </w:tcPr>
          <w:p>
            <w:pPr>
              <w:spacing w:after="0"/>
              <w:jc w:val="right"/>
            </w:pPr>
            <w:r/>
            <w:r>
              <w:rPr>
                <w:rFonts w:ascii="Arial" w:hAnsi="Arial"/>
                <w:sz w:val="13"/>
              </w:rPr>
              <w:t>1,003,790</w:t>
            </w:r>
          </w:p>
        </w:tc>
        <w:tc>
          <w:tcPr>
            <w:tcW w:type="dxa" w:w="1701"/>
          </w:tcPr>
          <w:p>
            <w:pPr>
              <w:spacing w:after="0"/>
              <w:jc w:val="right"/>
            </w:pPr>
            <w:r/>
            <w:r>
              <w:rPr>
                <w:rFonts w:ascii="Arial" w:hAnsi="Arial"/>
                <w:sz w:val="13"/>
              </w:rPr>
              <w:t>−0.0507</w:t>
            </w:r>
          </w:p>
        </w:tc>
        <w:tc>
          <w:tcPr>
            <w:tcW w:type="dxa" w:w="1701"/>
          </w:tcPr>
          <w:p>
            <w:pPr>
              <w:spacing w:after="0"/>
              <w:jc w:val="right"/>
            </w:pPr>
            <w:r/>
            <w:r>
              <w:rPr>
                <w:rFonts w:ascii="Arial" w:hAnsi="Arial"/>
                <w:sz w:val="13"/>
              </w:rPr>
              <w:t>−0.0724</w:t>
            </w:r>
          </w:p>
        </w:tc>
      </w:tr>
      <w:tr>
        <w:tc>
          <w:tcPr>
            <w:tcW w:type="dxa" w:w="2835"/>
          </w:tcPr>
          <w:p>
            <w:pPr>
              <w:spacing w:after="0"/>
            </w:pPr>
            <w:r/>
            <w:r>
              <w:rPr>
                <w:rFonts w:ascii="Arial" w:hAnsi="Arial"/>
                <w:sz w:val="13"/>
              </w:rPr>
              <w:t>No cap</w:t>
            </w:r>
          </w:p>
        </w:tc>
        <w:tc>
          <w:tcPr>
            <w:tcW w:type="dxa" w:w="1701"/>
          </w:tcPr>
          <w:p>
            <w:pPr>
              <w:spacing w:after="0"/>
              <w:jc w:val="right"/>
            </w:pPr>
            <w:r/>
            <w:r>
              <w:rPr>
                <w:rFonts w:ascii="Arial" w:hAnsi="Arial"/>
                <w:sz w:val="13"/>
              </w:rPr>
              <w:t>1,005,000</w:t>
            </w:r>
          </w:p>
        </w:tc>
        <w:tc>
          <w:tcPr>
            <w:tcW w:type="dxa" w:w="1701"/>
          </w:tcPr>
          <w:p>
            <w:pPr>
              <w:spacing w:after="0"/>
              <w:jc w:val="right"/>
            </w:pPr>
            <w:r/>
            <w:r>
              <w:rPr>
                <w:rFonts w:ascii="Arial" w:hAnsi="Arial"/>
                <w:sz w:val="13"/>
              </w:rPr>
              <w:t>−0.0493</w:t>
            </w:r>
          </w:p>
        </w:tc>
        <w:tc>
          <w:tcPr>
            <w:tcW w:type="dxa" w:w="1701"/>
          </w:tcPr>
          <w:p>
            <w:pPr>
              <w:spacing w:after="0"/>
              <w:jc w:val="right"/>
            </w:pPr>
            <w:r/>
            <w:r>
              <w:rPr>
                <w:rFonts w:ascii="Arial" w:hAnsi="Arial"/>
                <w:sz w:val="13"/>
              </w:rPr>
              <w:t>−0.0726</w:t>
            </w:r>
          </w:p>
        </w:tc>
      </w:tr>
    </w:tbl>
    <w:p>
      <w:pPr>
        <w:spacing w:after="120"/>
      </w:pPr>
      <w:r>
        <w:rPr>
          <w:rFonts w:ascii="Arial" w:hAnsi="Arial"/>
          <w:color w:val="52514E"/>
          <w:sz w:val="13"/>
        </w:rPr>
        <w:t>All statistics computed on the full saved dataset (no sampling) except the random-sample panels (Figure 2B; Figure 3A, 3C). Confidence intervals for medians use order statistics; for the segment median ratio, 200 bootstrap resamples. The companion Excel workbook lists every aggregate, the cleaning maps and the source row numbers of plotted samples.</w:t>
      </w:r>
    </w:p>
    <w:sectPr w:rsidR="00FC693F" w:rsidRPr="0006063C" w:rsidSect="00034616">
      <w:footerReference w:type="default" r:id="rId13"/>
      <w:pgSz w:w="11906" w:h="16838"/>
      <w:pgMar w:top="850"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2514E"/>
        <w:sz w:val="14"/>
      </w:rPr>
      <w:t xml:space="preserve">COMM5000 Milestone 1 · page </w:t>
    </w:r>
    <w:r>
      <w:rPr>
        <w:sz w:val="14"/>
      </w:rPr>
      <w:fldChar w:fldCharType="begin"/>
    </w:r>
    <w:r>
      <w:rPr>
        <w:sz w:val="14"/>
      </w:rPr>
      <w:instrText xml:space="preserve">PAGE</w:instrText>
    </w:r>
    <w:r>
      <w:rPr>
        <w:sz w:val="1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3" w:lineRule="auto"/>
    </w:pPr>
    <w:rPr>
      <w:rFonts w:ascii="Georgia" w:hAnsi="Georgia" w:eastAsia="Georgi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Listing to Offer</dc:title>
  <dc:subject/>
  <dc:creator/>
  <cp:keywords/>
  <dc:description/>
  <cp:lastModifiedBy/>
  <cp:revision>1</cp:revision>
  <dcterms:created xsi:type="dcterms:W3CDTF">2013-12-23T23:15:00Z</dcterms:created>
  <dcterms:modified xsi:type="dcterms:W3CDTF">2013-12-23T23:15:00Z</dcterms:modified>
  <cp:category/>
</cp:coreProperties>
</file>