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Broadcast Code 12</w:t>
        <w:br/>
        <w:t>赛事理解与报名准备手册</w:t>
      </w:r>
    </w:p>
    <w:p>
      <w:pPr>
        <w:pStyle w:val="Subtitle"/>
      </w:pPr>
      <w:r>
        <w:t>团队讨论版  2026 年 9 月 17 日</w:t>
      </w:r>
    </w:p>
    <w:p>
      <w:r>
        <w:t>这份手册帮助我们理解比赛任务，并准备真实、具体、与赛题相关的报名材料。当前首先要争取的是参赛资格；进入澳门 TOP 8 决赛，还需要在珠海初赛交付作品并通过评审。</w:t>
      </w:r>
    </w:p>
    <w:p>
      <w:r>
        <w:t>报名准备的核心是把能力与任务对应起来：我们做过什么、各自负责什么、有什么结果和证据，以及这些经验如何用于篮球视频与数据解读。报名筛选权重尚未公开，因此本文提供的是有依据的准备建议，而不是保证入围的公式。</w:t>
      </w:r>
    </w:p>
    <w:p>
      <w:pPr>
        <w:pStyle w:val="Heading1"/>
      </w:pPr>
      <w:r>
        <w:t>先看这些信息</w:t>
      </w:r>
    </w:p>
    <w:p>
      <w:pPr>
        <w:pStyle w:val="ListBullet"/>
      </w:pPr>
      <w:r>
        <w:t>报名与组队截止：9 月 23 日；参赛资格公布：9 月 24 日。</w:t>
      </w:r>
    </w:p>
    <w:p>
      <w:pPr>
        <w:pStyle w:val="ListBullet"/>
      </w:pPr>
      <w:r>
        <w:t>组队人数：每队 2 至 3 人；参赛总规模上限 120 人。</w:t>
      </w:r>
    </w:p>
    <w:p>
      <w:pPr>
        <w:pStyle w:val="ListBullet"/>
      </w:pPr>
      <w:r>
        <w:t>10 月 9 日抵达珠海；10 月 10 日初赛选出 TOP 8；10 月 11 日澳门决赛。</w:t>
      </w:r>
    </w:p>
    <w:p>
      <w:pPr>
        <w:pStyle w:val="ListBullet"/>
      </w:pPr>
      <w:r>
        <w:t>核心任务：比赛视频与深度数据分析、视觉标注叠加、与画面同步的篮球解说。</w:t>
      </w:r>
    </w:p>
    <w:p>
      <w:pPr>
        <w:pStyle w:val="ListBullet"/>
      </w:pPr>
      <w:r>
        <w:t>当前最值得准备的内容：个人简介、一次具体开发经历、真实 AWS 经验、篮球理解和线下参赛安排。</w:t>
      </w:r>
    </w:p>
    <w:p>
      <w:pPr>
        <w:pStyle w:val="Heading1"/>
      </w:pPr>
      <w:r>
        <w:t>阅读顺序</w:t>
      </w:r>
    </w:p>
    <w:p>
      <w:pPr/>
      <w:r>
        <w:t>1. 赛事要求与赛程：统一我们对比赛的理解。</w:t>
      </w:r>
    </w:p>
    <w:p>
      <w:pPr/>
      <w:r>
        <w:t>2. 报名表与准备指南：逐题梳理事实、经历和证据。</w:t>
      </w:r>
    </w:p>
    <w:p>
      <w:pPr/>
      <w:r>
        <w:t>3. NBA 数据与其他赛事经验：建立准确的知识背景。</w:t>
      </w:r>
    </w:p>
    <w:p>
      <w:pPr/>
      <w:r>
        <w:t>4. 奖项条款与待确认事项：识别需要核实的条件。</w:t>
      </w:r>
    </w:p>
    <w:p>
      <w:pPr/>
      <w:r>
        <w:t>5. 来源索引：需要时返回官方或原始页面。</w:t>
      </w:r>
    </w:p>
    <w:p>
      <w:r>
        <w:t>文中“官网要求”“外部赛事规则”“讨论建议”应分别理解。其他赛事的评分、工具限制和提前开发规则，不适用于本届，除非本届组委会另行确认。</w:t>
      </w:r>
    </w:p>
    <w:p>
      <w:r>
        <w:t>官方入口：</w:t>
      </w:r>
      <w:hyperlink r:id="rId10">
        <w:r>
          <w:rPr>
            <w:color w:val="175C91"/>
          </w:rPr>
          <w:t>赛事介绍</w:t>
        </w:r>
      </w:hyperlink>
      <w:r>
        <w:t xml:space="preserve">  </w:t>
      </w:r>
      <w:hyperlink r:id="rId11">
        <w:r>
          <w:rPr>
            <w:color w:val="175C91"/>
          </w:rPr>
          <w:t>报名表</w:t>
        </w:r>
      </w:hyperlink>
      <w:r/>
    </w:p>
    <w:p>
      <w:r>
        <w:br w:type="page"/>
      </w:r>
    </w:p>
    <w:p>
      <w:pPr>
        <w:pStyle w:val="Heading1"/>
      </w:pPr>
      <w:r>
        <w:t>一 赛事要求与赛程</w:t>
      </w:r>
    </w:p>
    <w:p>
      <w:pPr>
        <w:pStyle w:val="Heading2"/>
      </w:pPr>
      <w:r>
        <w:t>比赛做什么</w:t>
      </w:r>
    </w:p>
    <w:p>
      <w:pPr/>
      <w:r>
        <w:t>围绕官方提供的休斯顿火箭与达拉斯独行侠历史比赛视频和深度赛场数据，构建可运行 AI Agent：</w:t>
      </w:r>
    </w:p>
    <w:p>
      <w:pPr/>
      <w:r>
        <w:t>1. 读取比赛视频及投篮难度、球员引力、关键度等数据。</w:t>
      </w:r>
    </w:p>
    <w:p>
      <w:pPr/>
      <w:r>
        <w:t>2. 自动识别关键回合，解读跑位、进攻空档、防守变化和关键出手。</w:t>
      </w:r>
    </w:p>
    <w:p>
      <w:pPr/>
      <w:r>
        <w:t>3. 将箭头、色块、球员标注等分析叠加回原视频。</w:t>
      </w:r>
    </w:p>
    <w:p>
      <w:pPr/>
      <w:r>
        <w:t>4. 生成与画面、官方数据准确对应的篮球解说。</w:t>
      </w:r>
    </w:p>
    <w:p>
      <w:pPr/>
      <w:r>
        <w:t>官网明确“参考方向 / 不限于此”，也鼓励探索更多数据、模型与表达方式。但外部数据许可、模型限制及提前开发边界尚未公布，不能据此认定完全不受限制。</w:t>
      </w:r>
    </w:p>
    <w:p>
      <w:pPr>
        <w:pStyle w:val="Heading2"/>
      </w:pPr>
      <w:r>
        <w:t>资格与规模</w:t>
      </w:r>
    </w:p>
    <w:p>
      <w:pPr>
        <w:pStyle w:val="ListBullet"/>
      </w:pPr>
      <w:r>
        <w:t>欢迎 AI 开发者、算法工程师、产品设计师、视频创作者、篮球爱好者。</w:t>
      </w:r>
    </w:p>
    <w:p>
      <w:pPr>
        <w:pStyle w:val="ListBullet"/>
      </w:pPr>
      <w:r>
        <w:t>每队 2–3 人。</w:t>
      </w:r>
    </w:p>
    <w:p>
      <w:pPr>
        <w:pStyle w:val="ListBullet"/>
      </w:pPr>
      <w:r>
        <w:t>参赛规模上限 120 人（不是 120 支队伍）。</w:t>
      </w:r>
    </w:p>
    <w:p>
      <w:pPr>
        <w:pStyle w:val="ListBullet"/>
      </w:pPr>
      <w:r>
        <w:t>通过报名筛选才取得参赛资格；10 月 10 日初赛再选 TOP 8 晋级澳门决赛。</w:t>
      </w:r>
    </w:p>
    <w:p>
      <w:pPr>
        <w:pStyle w:val="ListBullet"/>
      </w:pPr>
      <w:r>
        <w:t>官网公开介绍没有列出年龄、国籍、学生身份或学历限制；这不代表专用条款中没有限制。</w:t>
      </w:r>
    </w:p>
    <w:p>
      <w:pPr>
        <w:pStyle w:val="ListBullet"/>
      </w:pPr>
      <w:r>
        <w:t>报名表询问港澳通行证是否办理且有效，以及能否全程参加。存在“否/不可以”选项不能被解读为自动淘汰规则，资格判定须以正式条款为准。</w:t>
      </w:r>
    </w:p>
    <w:p>
      <w:pPr>
        <w:pStyle w:val="Heading2"/>
      </w:pPr>
      <w:r>
        <w:t>赛程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7937"/>
      </w:tblGrid>
      <w:tr>
        <w:trPr>
          <w:cantSplit/>
          <w:tblHeader/>
        </w:trPr>
        <w:tc>
          <w:tcPr>
            <w:tcW w:type="dxa" w:w="1701"/>
            <w:vAlign w:val="center"/>
            <w:shd w:fill="E5EDF4"/>
            <w:tcMar>
              <w:top w:w="70" w:type="dxa"/>
              <w:bottom w:w="70" w:type="dxa"/>
              <w:left w:w="90" w:type="dxa"/>
              <w:right w:w="90" w:type="dxa"/>
            </w:tcMar>
          </w:tcPr>
          <w:p>
            <w:pPr>
              <w:keepNext/>
              <w:spacing w:after="0" w:line="259" w:lineRule="auto"/>
              <w:jc w:val="center"/>
            </w:pPr>
            <w:r>
              <w:rPr>
                <w:b/>
                <w:sz w:val="19"/>
              </w:rPr>
              <w:t>日期</w:t>
            </w:r>
          </w:p>
        </w:tc>
        <w:tc>
          <w:tcPr>
            <w:tcW w:type="dxa" w:w="7937"/>
            <w:vAlign w:val="center"/>
            <w:shd w:fill="E5EDF4"/>
            <w:tcMar>
              <w:top w:w="70" w:type="dxa"/>
              <w:bottom w:w="70" w:type="dxa"/>
              <w:left w:w="90" w:type="dxa"/>
              <w:right w:w="90" w:type="dxa"/>
            </w:tcMar>
          </w:tcPr>
          <w:p>
            <w:pPr>
              <w:keepNext/>
              <w:spacing w:after="0" w:line="259" w:lineRule="auto"/>
            </w:pPr>
            <w:r>
              <w:rPr>
                <w:b/>
                <w:sz w:val="19"/>
              </w:rPr>
              <w:t>事项</w:t>
            </w:r>
          </w:p>
        </w:tc>
      </w:tr>
      <w:tr>
        <w:trPr>
          <w:cantSplit/>
        </w:trPr>
        <w:tc>
          <w:tcPr>
            <w:tcW w:type="dxa" w:w="1701"/>
            <w:vAlign w:val="center"/>
            <w:shd w:fill="FFFFFF"/>
            <w:tcMar>
              <w:top w:w="70" w:type="dxa"/>
              <w:bottom w:w="70" w:type="dxa"/>
              <w:left w:w="90" w:type="dxa"/>
              <w:right w:w="90" w:type="dxa"/>
            </w:tcMar>
          </w:tcPr>
          <w:p>
            <w:pPr>
              <w:spacing w:after="0" w:line="259" w:lineRule="auto"/>
              <w:jc w:val="center"/>
            </w:pPr>
            <w:r>
              <w:rPr>
                <w:b w:val="0"/>
                <w:sz w:val="19"/>
              </w:rPr>
              <w:t>即日起至 09/23</w:t>
            </w:r>
          </w:p>
        </w:tc>
        <w:tc>
          <w:tcPr>
            <w:tcW w:type="dxa" w:w="7937"/>
            <w:vAlign w:val="center"/>
            <w:shd w:fill="FFFFFF"/>
            <w:tcMar>
              <w:top w:w="70" w:type="dxa"/>
              <w:bottom w:w="70" w:type="dxa"/>
              <w:left w:w="90" w:type="dxa"/>
              <w:right w:w="90" w:type="dxa"/>
            </w:tcMar>
          </w:tcPr>
          <w:p>
            <w:pPr>
              <w:spacing w:after="0" w:line="259" w:lineRule="auto"/>
            </w:pPr>
            <w:r>
              <w:rPr>
                <w:b w:val="0"/>
                <w:sz w:val="19"/>
              </w:rPr>
              <w:t>线上报名及组队截止；未公布具体截止时刻</w:t>
            </w:r>
          </w:p>
        </w:tc>
      </w:tr>
      <w:tr>
        <w:trPr>
          <w:cantSplit/>
        </w:trPr>
        <w:tc>
          <w:tcPr>
            <w:tcW w:type="dxa" w:w="1701"/>
            <w:vAlign w:val="center"/>
            <w:shd w:fill="F5F7F9"/>
            <w:tcMar>
              <w:top w:w="70" w:type="dxa"/>
              <w:bottom w:w="70" w:type="dxa"/>
              <w:left w:w="90" w:type="dxa"/>
              <w:right w:w="90" w:type="dxa"/>
            </w:tcMar>
          </w:tcPr>
          <w:p>
            <w:pPr>
              <w:spacing w:after="0" w:line="259" w:lineRule="auto"/>
              <w:jc w:val="center"/>
            </w:pPr>
            <w:r>
              <w:rPr>
                <w:b w:val="0"/>
                <w:sz w:val="19"/>
              </w:rPr>
              <w:t>09/24</w:t>
            </w:r>
          </w:p>
        </w:tc>
        <w:tc>
          <w:tcPr>
            <w:tcW w:type="dxa" w:w="7937"/>
            <w:vAlign w:val="center"/>
            <w:shd w:fill="F5F7F9"/>
            <w:tcMar>
              <w:top w:w="70" w:type="dxa"/>
              <w:bottom w:w="70" w:type="dxa"/>
              <w:left w:w="90" w:type="dxa"/>
              <w:right w:w="90" w:type="dxa"/>
            </w:tcMar>
          </w:tcPr>
          <w:p>
            <w:pPr>
              <w:spacing w:after="0" w:line="259" w:lineRule="auto"/>
            </w:pPr>
            <w:r>
              <w:rPr>
                <w:b w:val="0"/>
                <w:sz w:val="19"/>
              </w:rPr>
              <w:t>公布入围参赛资格</w:t>
            </w:r>
          </w:p>
        </w:tc>
      </w:tr>
      <w:tr>
        <w:trPr>
          <w:cantSplit/>
        </w:trPr>
        <w:tc>
          <w:tcPr>
            <w:tcW w:type="dxa" w:w="1701"/>
            <w:vAlign w:val="center"/>
            <w:shd w:fill="FFFFFF"/>
            <w:tcMar>
              <w:top w:w="70" w:type="dxa"/>
              <w:bottom w:w="70" w:type="dxa"/>
              <w:left w:w="90" w:type="dxa"/>
              <w:right w:w="90" w:type="dxa"/>
            </w:tcMar>
          </w:tcPr>
          <w:p>
            <w:pPr>
              <w:spacing w:after="0" w:line="259" w:lineRule="auto"/>
              <w:jc w:val="center"/>
            </w:pPr>
            <w:r>
              <w:rPr>
                <w:b w:val="0"/>
                <w:sz w:val="19"/>
              </w:rPr>
              <w:t>09/28（暂定）</w:t>
            </w:r>
          </w:p>
        </w:tc>
        <w:tc>
          <w:tcPr>
            <w:tcW w:type="dxa" w:w="7937"/>
            <w:vAlign w:val="center"/>
            <w:shd w:fill="FFFFFF"/>
            <w:tcMar>
              <w:top w:w="70" w:type="dxa"/>
              <w:bottom w:w="70" w:type="dxa"/>
              <w:left w:w="90" w:type="dxa"/>
              <w:right w:w="90" w:type="dxa"/>
            </w:tcMar>
          </w:tcPr>
          <w:p>
            <w:pPr>
              <w:spacing w:after="0" w:line="259" w:lineRule="auto"/>
            </w:pPr>
            <w:r>
              <w:rPr>
                <w:b w:val="0"/>
                <w:sz w:val="19"/>
              </w:rPr>
              <w:t>赛前培训、赛题说明、数据使用和提交要求</w:t>
            </w:r>
          </w:p>
        </w:tc>
      </w:tr>
      <w:tr>
        <w:trPr>
          <w:cantSplit/>
        </w:trPr>
        <w:tc>
          <w:tcPr>
            <w:tcW w:type="dxa" w:w="1701"/>
            <w:vAlign w:val="center"/>
            <w:shd w:fill="F5F7F9"/>
            <w:tcMar>
              <w:top w:w="70" w:type="dxa"/>
              <w:bottom w:w="70" w:type="dxa"/>
              <w:left w:w="90" w:type="dxa"/>
              <w:right w:w="90" w:type="dxa"/>
            </w:tcMar>
          </w:tcPr>
          <w:p>
            <w:pPr>
              <w:spacing w:after="0" w:line="259" w:lineRule="auto"/>
              <w:jc w:val="center"/>
            </w:pPr>
            <w:r>
              <w:rPr>
                <w:b w:val="0"/>
                <w:sz w:val="19"/>
              </w:rPr>
              <w:t>10/09</w:t>
            </w:r>
          </w:p>
        </w:tc>
        <w:tc>
          <w:tcPr>
            <w:tcW w:type="dxa" w:w="7937"/>
            <w:vAlign w:val="center"/>
            <w:shd w:fill="F5F7F9"/>
            <w:tcMar>
              <w:top w:w="70" w:type="dxa"/>
              <w:bottom w:w="70" w:type="dxa"/>
              <w:left w:w="90" w:type="dxa"/>
              <w:right w:w="90" w:type="dxa"/>
            </w:tcMar>
          </w:tcPr>
          <w:p>
            <w:pPr>
              <w:spacing w:after="0" w:line="259" w:lineRule="auto"/>
            </w:pPr>
            <w:r>
              <w:rPr>
                <w:b w:val="0"/>
                <w:sz w:val="19"/>
              </w:rPr>
              <w:t>抵达珠海、报到入住</w:t>
            </w:r>
          </w:p>
        </w:tc>
      </w:tr>
      <w:tr>
        <w:trPr>
          <w:cantSplit/>
        </w:trPr>
        <w:tc>
          <w:tcPr>
            <w:tcW w:type="dxa" w:w="1701"/>
            <w:vAlign w:val="center"/>
            <w:shd w:fill="FFFFFF"/>
            <w:tcMar>
              <w:top w:w="70" w:type="dxa"/>
              <w:bottom w:w="70" w:type="dxa"/>
              <w:left w:w="90" w:type="dxa"/>
              <w:right w:w="90" w:type="dxa"/>
            </w:tcMar>
          </w:tcPr>
          <w:p>
            <w:pPr>
              <w:spacing w:after="0" w:line="259" w:lineRule="auto"/>
              <w:jc w:val="center"/>
            </w:pPr>
            <w:r>
              <w:rPr>
                <w:b w:val="0"/>
                <w:sz w:val="19"/>
              </w:rPr>
              <w:t>10/10</w:t>
            </w:r>
          </w:p>
        </w:tc>
        <w:tc>
          <w:tcPr>
            <w:tcW w:type="dxa" w:w="7937"/>
            <w:vAlign w:val="center"/>
            <w:shd w:fill="FFFFFF"/>
            <w:tcMar>
              <w:top w:w="70" w:type="dxa"/>
              <w:bottom w:w="70" w:type="dxa"/>
              <w:left w:w="90" w:type="dxa"/>
              <w:right w:w="90" w:type="dxa"/>
            </w:tcMar>
          </w:tcPr>
          <w:p>
            <w:pPr>
              <w:spacing w:after="0" w:line="259" w:lineRule="auto"/>
            </w:pPr>
            <w:r>
              <w:rPr>
                <w:b w:val="0"/>
                <w:sz w:val="19"/>
              </w:rPr>
              <w:t>珠海初赛：签到、赛题抽签、开发与提交，当晚公布 TOP 8</w:t>
            </w:r>
          </w:p>
        </w:tc>
      </w:tr>
      <w:tr>
        <w:trPr>
          <w:cantSplit/>
        </w:trPr>
        <w:tc>
          <w:tcPr>
            <w:tcW w:type="dxa" w:w="1701"/>
            <w:vAlign w:val="center"/>
            <w:shd w:fill="F5F7F9"/>
            <w:tcMar>
              <w:top w:w="70" w:type="dxa"/>
              <w:bottom w:w="70" w:type="dxa"/>
              <w:left w:w="90" w:type="dxa"/>
              <w:right w:w="90" w:type="dxa"/>
            </w:tcMar>
          </w:tcPr>
          <w:p>
            <w:pPr>
              <w:spacing w:after="0" w:line="259" w:lineRule="auto"/>
              <w:jc w:val="center"/>
            </w:pPr>
            <w:r>
              <w:rPr>
                <w:b w:val="0"/>
                <w:sz w:val="19"/>
              </w:rPr>
              <w:t>10/11</w:t>
            </w:r>
          </w:p>
        </w:tc>
        <w:tc>
          <w:tcPr>
            <w:tcW w:type="dxa" w:w="7937"/>
            <w:vAlign w:val="center"/>
            <w:shd w:fill="F5F7F9"/>
            <w:tcMar>
              <w:top w:w="70" w:type="dxa"/>
              <w:bottom w:w="70" w:type="dxa"/>
              <w:left w:w="90" w:type="dxa"/>
              <w:right w:w="90" w:type="dxa"/>
            </w:tcMar>
          </w:tcPr>
          <w:p>
            <w:pPr>
              <w:spacing w:after="0" w:line="259" w:lineRule="auto"/>
            </w:pPr>
            <w:r>
              <w:rPr>
                <w:b w:val="0"/>
                <w:sz w:val="19"/>
              </w:rPr>
              <w:t>澳门决赛：TOP 8 现场路演、终评、颁奖与合影；其他参赛选手观赛</w:t>
            </w:r>
          </w:p>
        </w:tc>
      </w:tr>
    </w:tbl>
    <w:p>
      <w:pPr>
        <w:spacing w:after="0"/>
      </w:pPr>
    </w:p>
    <w:p>
      <w:pPr/>
      <w:r>
        <w:t>具体时间、交通、住宿、通关安排以组委会最终通知为准。</w:t>
      </w:r>
    </w:p>
    <w:p>
      <w:pPr>
        <w:pStyle w:val="Heading2"/>
      </w:pPr>
      <w:r>
        <w:t>已公布的评审方向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7937"/>
      </w:tblGrid>
      <w:tr>
        <w:trPr>
          <w:cantSplit/>
          <w:tblHeader/>
        </w:trPr>
        <w:tc>
          <w:tcPr>
            <w:tcW w:type="dxa" w:w="1701"/>
            <w:vAlign w:val="center"/>
            <w:shd w:fill="E5EDF4"/>
            <w:tcMar>
              <w:top w:w="70" w:type="dxa"/>
              <w:bottom w:w="70" w:type="dxa"/>
              <w:left w:w="90" w:type="dxa"/>
              <w:right w:w="90" w:type="dxa"/>
            </w:tcMar>
          </w:tcPr>
          <w:p>
            <w:pPr>
              <w:keepNext/>
              <w:spacing w:after="0" w:line="259" w:lineRule="auto"/>
              <w:jc w:val="center"/>
            </w:pPr>
            <w:r>
              <w:rPr>
                <w:b/>
                <w:sz w:val="19"/>
              </w:rPr>
              <w:t>阶段</w:t>
            </w:r>
          </w:p>
        </w:tc>
        <w:tc>
          <w:tcPr>
            <w:tcW w:type="dxa" w:w="7937"/>
            <w:vAlign w:val="center"/>
            <w:shd w:fill="E5EDF4"/>
            <w:tcMar>
              <w:top w:w="70" w:type="dxa"/>
              <w:bottom w:w="70" w:type="dxa"/>
              <w:left w:w="90" w:type="dxa"/>
              <w:right w:w="90" w:type="dxa"/>
            </w:tcMar>
          </w:tcPr>
          <w:p>
            <w:pPr>
              <w:keepNext/>
              <w:spacing w:after="0" w:line="259" w:lineRule="auto"/>
            </w:pPr>
            <w:r>
              <w:rPr>
                <w:b/>
                <w:sz w:val="19"/>
              </w:rPr>
              <w:t>官网列出的方向</w:t>
            </w:r>
          </w:p>
        </w:tc>
      </w:tr>
      <w:tr>
        <w:trPr>
          <w:cantSplit/>
        </w:trPr>
        <w:tc>
          <w:tcPr>
            <w:tcW w:type="dxa" w:w="1701"/>
            <w:vAlign w:val="center"/>
            <w:shd w:fill="FFFFFF"/>
            <w:tcMar>
              <w:top w:w="70" w:type="dxa"/>
              <w:bottom w:w="70" w:type="dxa"/>
              <w:left w:w="90" w:type="dxa"/>
              <w:right w:w="90" w:type="dxa"/>
            </w:tcMar>
          </w:tcPr>
          <w:p>
            <w:pPr>
              <w:spacing w:after="0" w:line="259" w:lineRule="auto"/>
              <w:jc w:val="center"/>
            </w:pPr>
            <w:r>
              <w:rPr>
                <w:b w:val="0"/>
                <w:sz w:val="19"/>
              </w:rPr>
              <w:t>珠海初赛</w:t>
            </w:r>
          </w:p>
        </w:tc>
        <w:tc>
          <w:tcPr>
            <w:tcW w:type="dxa" w:w="7937"/>
            <w:vAlign w:val="center"/>
            <w:shd w:fill="FFFFFF"/>
            <w:tcMar>
              <w:top w:w="70" w:type="dxa"/>
              <w:bottom w:w="70" w:type="dxa"/>
              <w:left w:w="90" w:type="dxa"/>
              <w:right w:w="90" w:type="dxa"/>
            </w:tcMar>
          </w:tcPr>
          <w:p>
            <w:pPr>
              <w:spacing w:after="0" w:line="259" w:lineRule="auto"/>
            </w:pPr>
            <w:r>
              <w:rPr>
                <w:b w:val="0"/>
                <w:sz w:val="19"/>
              </w:rPr>
              <w:t>技术完成度、数据运用、可视化效果、解说表现</w:t>
            </w:r>
          </w:p>
        </w:tc>
      </w:tr>
      <w:tr>
        <w:trPr>
          <w:cantSplit/>
        </w:trPr>
        <w:tc>
          <w:tcPr>
            <w:tcW w:type="dxa" w:w="1701"/>
            <w:vAlign w:val="center"/>
            <w:shd w:fill="F5F7F9"/>
            <w:tcMar>
              <w:top w:w="70" w:type="dxa"/>
              <w:bottom w:w="70" w:type="dxa"/>
              <w:left w:w="90" w:type="dxa"/>
              <w:right w:w="90" w:type="dxa"/>
            </w:tcMar>
          </w:tcPr>
          <w:p>
            <w:pPr>
              <w:spacing w:after="0" w:line="259" w:lineRule="auto"/>
              <w:jc w:val="center"/>
            </w:pPr>
            <w:r>
              <w:rPr>
                <w:b w:val="0"/>
                <w:sz w:val="19"/>
              </w:rPr>
              <w:t>澳门决赛</w:t>
            </w:r>
          </w:p>
        </w:tc>
        <w:tc>
          <w:tcPr>
            <w:tcW w:type="dxa" w:w="7937"/>
            <w:vAlign w:val="center"/>
            <w:shd w:fill="F5F7F9"/>
            <w:tcMar>
              <w:top w:w="70" w:type="dxa"/>
              <w:bottom w:w="70" w:type="dxa"/>
              <w:left w:w="90" w:type="dxa"/>
              <w:right w:w="90" w:type="dxa"/>
            </w:tcMar>
          </w:tcPr>
          <w:p>
            <w:pPr>
              <w:spacing w:after="0" w:line="259" w:lineRule="auto"/>
            </w:pPr>
            <w:r>
              <w:rPr>
                <w:b w:val="0"/>
                <w:sz w:val="19"/>
              </w:rPr>
              <w:t>技术方案、实现深度、数据准确性、可视化表达、篮球叙事、作品质感</w:t>
            </w:r>
          </w:p>
        </w:tc>
      </w:tr>
    </w:tbl>
    <w:p>
      <w:pPr>
        <w:spacing w:after="0"/>
      </w:pPr>
    </w:p>
    <w:p>
      <w:pPr/>
      <w:r>
        <w:t>官网未公布分值、权重、评分表、并列处理方式或报名筛选权重。不得将上述方向自行分配为“官方评分”。</w:t>
      </w:r>
    </w:p>
    <w:p>
      <w:pPr>
        <w:pStyle w:val="Heading2"/>
      </w:pPr>
      <w:r>
        <w:t>作品交付</w:t>
      </w:r>
    </w:p>
    <w:p>
      <w:pPr/>
      <w:r>
        <w:t>官网明确要求：可运行作品、代码仓库、说明文档、演示视频。</w:t>
      </w:r>
    </w:p>
    <w:p>
      <w:pPr/>
      <w:r>
        <w:t>完整赛题、数据说明、提交规范与评审细则均标记为“即将更新”。</w:t>
      </w:r>
    </w:p>
    <w:p>
      <w:pPr/>
      <w:r>
        <w:t>目前没有取得官方比赛数据文件、样例视频或数据下载链接；此次采集的是公开赛事资料。</w:t>
      </w:r>
    </w:p>
    <w:p>
      <w:pPr>
        <w:pStyle w:val="Heading1"/>
      </w:pPr>
      <w:r>
        <w:t>二 报名表与准备指南</w:t>
      </w:r>
    </w:p>
    <w:p>
      <w:pPr/>
      <w:r>
        <w:t>以下据 TinyFish 只读浏览采集，返回共 14 个必填项；未验证后台校验。未看到限制不等于不存在限制。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4989"/>
        <w:gridCol w:w="4082"/>
      </w:tblGrid>
      <w:tr>
        <w:trPr>
          <w:cantSplit/>
          <w:tblHeader/>
        </w:trPr>
        <w:tc>
          <w:tcPr>
            <w:tcW w:type="dxa" w:w="567"/>
            <w:vAlign w:val="center"/>
            <w:shd w:fill="E5EDF4"/>
            <w:tcMar>
              <w:top w:w="70" w:type="dxa"/>
              <w:bottom w:w="70" w:type="dxa"/>
              <w:left w:w="90" w:type="dxa"/>
              <w:right w:w="90" w:type="dxa"/>
            </w:tcMar>
          </w:tcPr>
          <w:p>
            <w:pPr>
              <w:keepNext/>
              <w:spacing w:after="0" w:line="259" w:lineRule="auto"/>
              <w:jc w:val="center"/>
            </w:pPr>
            <w:r>
              <w:rPr>
                <w:b/>
                <w:sz w:val="19"/>
              </w:rPr>
              <w:t>序号</w:t>
            </w:r>
          </w:p>
        </w:tc>
        <w:tc>
          <w:tcPr>
            <w:tcW w:type="dxa" w:w="4989"/>
            <w:vAlign w:val="center"/>
            <w:shd w:fill="E5EDF4"/>
            <w:tcMar>
              <w:top w:w="70" w:type="dxa"/>
              <w:bottom w:w="70" w:type="dxa"/>
              <w:left w:w="90" w:type="dxa"/>
              <w:right w:w="90" w:type="dxa"/>
            </w:tcMar>
          </w:tcPr>
          <w:p>
            <w:pPr>
              <w:keepNext/>
              <w:spacing w:after="0" w:line="259" w:lineRule="auto"/>
            </w:pPr>
            <w:r>
              <w:rPr>
                <w:b/>
                <w:sz w:val="19"/>
              </w:rPr>
              <w:t>问题</w:t>
            </w:r>
          </w:p>
        </w:tc>
        <w:tc>
          <w:tcPr>
            <w:tcW w:type="dxa" w:w="4082"/>
            <w:vAlign w:val="center"/>
            <w:shd w:fill="E5EDF4"/>
            <w:tcMar>
              <w:top w:w="70" w:type="dxa"/>
              <w:bottom w:w="70" w:type="dxa"/>
              <w:left w:w="90" w:type="dxa"/>
              <w:right w:w="90" w:type="dxa"/>
            </w:tcMar>
          </w:tcPr>
          <w:p>
            <w:pPr>
              <w:keepNext/>
              <w:spacing w:after="0" w:line="259" w:lineRule="auto"/>
            </w:pPr>
            <w:r>
              <w:rPr>
                <w:b/>
                <w:sz w:val="19"/>
              </w:rPr>
              <w:t>类型及已读取限制</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1</w:t>
            </w:r>
          </w:p>
        </w:tc>
        <w:tc>
          <w:tcPr>
            <w:tcW w:type="dxa" w:w="4989"/>
            <w:vAlign w:val="center"/>
            <w:shd w:fill="FFFFFF"/>
            <w:tcMar>
              <w:top w:w="70" w:type="dxa"/>
              <w:bottom w:w="70" w:type="dxa"/>
              <w:left w:w="90" w:type="dxa"/>
              <w:right w:w="90" w:type="dxa"/>
            </w:tcMar>
          </w:tcPr>
          <w:p>
            <w:pPr>
              <w:spacing w:after="0" w:line="259" w:lineRule="auto"/>
            </w:pPr>
            <w:r>
              <w:rPr>
                <w:b w:val="0"/>
                <w:sz w:val="19"/>
              </w:rPr>
              <w:t>姓名</w:t>
            </w:r>
          </w:p>
        </w:tc>
        <w:tc>
          <w:tcPr>
            <w:tcW w:type="dxa" w:w="4082"/>
            <w:vAlign w:val="center"/>
            <w:shd w:fill="FFFFFF"/>
            <w:tcMar>
              <w:top w:w="70" w:type="dxa"/>
              <w:bottom w:w="70" w:type="dxa"/>
              <w:left w:w="90" w:type="dxa"/>
              <w:right w:w="90" w:type="dxa"/>
            </w:tcMar>
          </w:tcPr>
          <w:p>
            <w:pPr>
              <w:spacing w:after="0" w:line="259" w:lineRule="auto"/>
            </w:pPr>
            <w:r>
              <w:rPr>
                <w:b w:val="0"/>
                <w:sz w:val="19"/>
              </w:rPr>
              <w:t>文本；未见字数限制说明</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2</w:t>
            </w:r>
          </w:p>
        </w:tc>
        <w:tc>
          <w:tcPr>
            <w:tcW w:type="dxa" w:w="4989"/>
            <w:vAlign w:val="center"/>
            <w:shd w:fill="F5F7F9"/>
            <w:tcMar>
              <w:top w:w="70" w:type="dxa"/>
              <w:bottom w:w="70" w:type="dxa"/>
              <w:left w:w="90" w:type="dxa"/>
              <w:right w:w="90" w:type="dxa"/>
            </w:tcMar>
          </w:tcPr>
          <w:p>
            <w:pPr>
              <w:spacing w:after="0" w:line="259" w:lineRule="auto"/>
            </w:pPr>
            <w:r>
              <w:rPr>
                <w:b w:val="0"/>
                <w:sz w:val="19"/>
              </w:rPr>
              <w:t>手机号</w:t>
            </w:r>
          </w:p>
        </w:tc>
        <w:tc>
          <w:tcPr>
            <w:tcW w:type="dxa" w:w="4082"/>
            <w:vAlign w:val="center"/>
            <w:shd w:fill="F5F7F9"/>
            <w:tcMar>
              <w:top w:w="70" w:type="dxa"/>
              <w:bottom w:w="70" w:type="dxa"/>
              <w:left w:w="90" w:type="dxa"/>
              <w:right w:w="90" w:type="dxa"/>
            </w:tcMar>
          </w:tcPr>
          <w:p>
            <w:pPr>
              <w:spacing w:after="0" w:line="259" w:lineRule="auto"/>
            </w:pPr>
            <w:r>
              <w:rPr>
                <w:b w:val="0"/>
                <w:sz w:val="19"/>
              </w:rPr>
              <w:t>文本</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3</w:t>
            </w:r>
          </w:p>
        </w:tc>
        <w:tc>
          <w:tcPr>
            <w:tcW w:type="dxa" w:w="4989"/>
            <w:vAlign w:val="center"/>
            <w:shd w:fill="FFFFFF"/>
            <w:tcMar>
              <w:top w:w="70" w:type="dxa"/>
              <w:bottom w:w="70" w:type="dxa"/>
              <w:left w:w="90" w:type="dxa"/>
              <w:right w:w="90" w:type="dxa"/>
            </w:tcMar>
          </w:tcPr>
          <w:p>
            <w:pPr>
              <w:spacing w:after="0" w:line="259" w:lineRule="auto"/>
            </w:pPr>
            <w:r>
              <w:rPr>
                <w:b w:val="0"/>
                <w:sz w:val="19"/>
              </w:rPr>
              <w:t>邮箱</w:t>
            </w:r>
          </w:p>
        </w:tc>
        <w:tc>
          <w:tcPr>
            <w:tcW w:type="dxa" w:w="4082"/>
            <w:vAlign w:val="center"/>
            <w:shd w:fill="FFFFFF"/>
            <w:tcMar>
              <w:top w:w="70" w:type="dxa"/>
              <w:bottom w:w="70" w:type="dxa"/>
              <w:left w:w="90" w:type="dxa"/>
              <w:right w:w="90" w:type="dxa"/>
            </w:tcMar>
          </w:tcPr>
          <w:p>
            <w:pPr>
              <w:spacing w:after="0" w:line="259" w:lineRule="auto"/>
            </w:pPr>
            <w:r>
              <w:rPr>
                <w:b w:val="0"/>
                <w:sz w:val="19"/>
              </w:rPr>
              <w:t>文本</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4</w:t>
            </w:r>
          </w:p>
        </w:tc>
        <w:tc>
          <w:tcPr>
            <w:tcW w:type="dxa" w:w="4989"/>
            <w:vAlign w:val="center"/>
            <w:shd w:fill="F5F7F9"/>
            <w:tcMar>
              <w:top w:w="70" w:type="dxa"/>
              <w:bottom w:w="70" w:type="dxa"/>
              <w:left w:w="90" w:type="dxa"/>
              <w:right w:w="90" w:type="dxa"/>
            </w:tcMar>
          </w:tcPr>
          <w:p>
            <w:pPr>
              <w:spacing w:after="0" w:line="259" w:lineRule="auto"/>
            </w:pPr>
            <w:r>
              <w:rPr>
                <w:b w:val="0"/>
                <w:sz w:val="19"/>
              </w:rPr>
              <w:t>当前身份</w:t>
            </w:r>
          </w:p>
        </w:tc>
        <w:tc>
          <w:tcPr>
            <w:tcW w:type="dxa" w:w="4082"/>
            <w:vAlign w:val="center"/>
            <w:shd w:fill="F5F7F9"/>
            <w:tcMar>
              <w:top w:w="70" w:type="dxa"/>
              <w:bottom w:w="70" w:type="dxa"/>
              <w:left w:w="90" w:type="dxa"/>
              <w:right w:w="90" w:type="dxa"/>
            </w:tcMar>
          </w:tcPr>
          <w:p>
            <w:pPr>
              <w:spacing w:after="0" w:line="259" w:lineRule="auto"/>
            </w:pPr>
            <w:r>
              <w:rPr>
                <w:b w:val="0"/>
                <w:sz w:val="19"/>
              </w:rPr>
              <w:t>下拉；实际完整选项未核实，不采用工具推测选项</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5</w:t>
            </w:r>
          </w:p>
        </w:tc>
        <w:tc>
          <w:tcPr>
            <w:tcW w:type="dxa" w:w="4989"/>
            <w:vAlign w:val="center"/>
            <w:shd w:fill="FFFFFF"/>
            <w:tcMar>
              <w:top w:w="70" w:type="dxa"/>
              <w:bottom w:w="70" w:type="dxa"/>
              <w:left w:w="90" w:type="dxa"/>
              <w:right w:w="90" w:type="dxa"/>
            </w:tcMar>
          </w:tcPr>
          <w:p>
            <w:pPr>
              <w:spacing w:after="0" w:line="259" w:lineRule="auto"/>
            </w:pPr>
            <w:r>
              <w:rPr>
                <w:b w:val="0"/>
                <w:sz w:val="19"/>
              </w:rPr>
              <w:t>公司/学校</w:t>
            </w:r>
          </w:p>
        </w:tc>
        <w:tc>
          <w:tcPr>
            <w:tcW w:type="dxa" w:w="4082"/>
            <w:vAlign w:val="center"/>
            <w:shd w:fill="FFFFFF"/>
            <w:tcMar>
              <w:top w:w="70" w:type="dxa"/>
              <w:bottom w:w="70" w:type="dxa"/>
              <w:left w:w="90" w:type="dxa"/>
              <w:right w:w="90" w:type="dxa"/>
            </w:tcMar>
          </w:tcPr>
          <w:p>
            <w:pPr>
              <w:spacing w:after="0" w:line="259" w:lineRule="auto"/>
            </w:pPr>
            <w:r>
              <w:rPr>
                <w:b w:val="0"/>
                <w:sz w:val="19"/>
              </w:rPr>
              <w:t>文本，50 字</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6</w:t>
            </w:r>
          </w:p>
        </w:tc>
        <w:tc>
          <w:tcPr>
            <w:tcW w:type="dxa" w:w="4989"/>
            <w:vAlign w:val="center"/>
            <w:shd w:fill="F5F7F9"/>
            <w:tcMar>
              <w:top w:w="70" w:type="dxa"/>
              <w:bottom w:w="70" w:type="dxa"/>
              <w:left w:w="90" w:type="dxa"/>
              <w:right w:w="90" w:type="dxa"/>
            </w:tcMar>
          </w:tcPr>
          <w:p>
            <w:pPr>
              <w:spacing w:after="0" w:line="259" w:lineRule="auto"/>
            </w:pPr>
            <w:r>
              <w:rPr>
                <w:b w:val="0"/>
                <w:sz w:val="19"/>
              </w:rPr>
              <w:t>所在地区</w:t>
            </w:r>
          </w:p>
        </w:tc>
        <w:tc>
          <w:tcPr>
            <w:tcW w:type="dxa" w:w="4082"/>
            <w:vAlign w:val="center"/>
            <w:shd w:fill="F5F7F9"/>
            <w:tcMar>
              <w:top w:w="70" w:type="dxa"/>
              <w:bottom w:w="70" w:type="dxa"/>
              <w:left w:w="90" w:type="dxa"/>
              <w:right w:w="90" w:type="dxa"/>
            </w:tcMar>
          </w:tcPr>
          <w:p>
            <w:pPr>
              <w:spacing w:after="0" w:line="259" w:lineRule="auto"/>
            </w:pPr>
            <w:r>
              <w:rPr>
                <w:b w:val="0"/>
                <w:sz w:val="19"/>
              </w:rPr>
              <w:t>地区级联选择</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7</w:t>
            </w:r>
          </w:p>
        </w:tc>
        <w:tc>
          <w:tcPr>
            <w:tcW w:type="dxa" w:w="4989"/>
            <w:vAlign w:val="center"/>
            <w:shd w:fill="FFFFFF"/>
            <w:tcMar>
              <w:top w:w="70" w:type="dxa"/>
              <w:bottom w:w="70" w:type="dxa"/>
              <w:left w:w="90" w:type="dxa"/>
              <w:right w:w="90" w:type="dxa"/>
            </w:tcMar>
          </w:tcPr>
          <w:p>
            <w:pPr>
              <w:spacing w:after="0" w:line="259" w:lineRule="auto"/>
            </w:pPr>
            <w:r>
              <w:rPr>
                <w:b w:val="0"/>
                <w:sz w:val="19"/>
              </w:rPr>
              <w:t>个人简介</w:t>
            </w:r>
          </w:p>
        </w:tc>
        <w:tc>
          <w:tcPr>
            <w:tcW w:type="dxa" w:w="4082"/>
            <w:vAlign w:val="center"/>
            <w:shd w:fill="FFFFFF"/>
            <w:tcMar>
              <w:top w:w="70" w:type="dxa"/>
              <w:bottom w:w="70" w:type="dxa"/>
              <w:left w:w="90" w:type="dxa"/>
              <w:right w:w="90" w:type="dxa"/>
            </w:tcMar>
          </w:tcPr>
          <w:p>
            <w:pPr>
              <w:spacing w:after="0" w:line="259" w:lineRule="auto"/>
            </w:pPr>
            <w:r>
              <w:rPr>
                <w:b w:val="0"/>
                <w:sz w:val="19"/>
              </w:rPr>
              <w:t>多行文本，1000 字</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8</w:t>
            </w:r>
          </w:p>
        </w:tc>
        <w:tc>
          <w:tcPr>
            <w:tcW w:type="dxa" w:w="4989"/>
            <w:vAlign w:val="center"/>
            <w:shd w:fill="F5F7F9"/>
            <w:tcMar>
              <w:top w:w="70" w:type="dxa"/>
              <w:bottom w:w="70" w:type="dxa"/>
              <w:left w:w="90" w:type="dxa"/>
              <w:right w:w="90" w:type="dxa"/>
            </w:tcMar>
          </w:tcPr>
          <w:p>
            <w:pPr>
              <w:spacing w:after="0" w:line="259" w:lineRule="auto"/>
            </w:pPr>
            <w:r>
              <w:rPr>
                <w:b w:val="0"/>
                <w:sz w:val="19"/>
              </w:rPr>
              <w:t>您是否已办理好港澳通行证且在有效期内？</w:t>
            </w:r>
          </w:p>
        </w:tc>
        <w:tc>
          <w:tcPr>
            <w:tcW w:type="dxa" w:w="4082"/>
            <w:vAlign w:val="center"/>
            <w:shd w:fill="F5F7F9"/>
            <w:tcMar>
              <w:top w:w="70" w:type="dxa"/>
              <w:bottom w:w="70" w:type="dxa"/>
              <w:left w:w="90" w:type="dxa"/>
              <w:right w:w="90" w:type="dxa"/>
            </w:tcMar>
          </w:tcPr>
          <w:p>
            <w:pPr>
              <w:spacing w:after="0" w:line="259" w:lineRule="auto"/>
            </w:pPr>
            <w:r>
              <w:rPr>
                <w:b w:val="0"/>
                <w:sz w:val="19"/>
              </w:rPr>
              <w:t>下拉：是 / 否</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9</w:t>
            </w:r>
          </w:p>
        </w:tc>
        <w:tc>
          <w:tcPr>
            <w:tcW w:type="dxa" w:w="4989"/>
            <w:vAlign w:val="center"/>
            <w:shd w:fill="FFFFFF"/>
            <w:tcMar>
              <w:top w:w="70" w:type="dxa"/>
              <w:bottom w:w="70" w:type="dxa"/>
              <w:left w:w="90" w:type="dxa"/>
              <w:right w:w="90" w:type="dxa"/>
            </w:tcMar>
          </w:tcPr>
          <w:p>
            <w:pPr>
              <w:spacing w:after="0" w:line="259" w:lineRule="auto"/>
            </w:pPr>
            <w:r>
              <w:rPr>
                <w:b w:val="0"/>
                <w:sz w:val="19"/>
              </w:rPr>
              <w:t>可体现个人的生活照</w:t>
            </w:r>
          </w:p>
        </w:tc>
        <w:tc>
          <w:tcPr>
            <w:tcW w:type="dxa" w:w="4082"/>
            <w:vAlign w:val="center"/>
            <w:shd w:fill="FFFFFF"/>
            <w:tcMar>
              <w:top w:w="70" w:type="dxa"/>
              <w:bottom w:w="70" w:type="dxa"/>
              <w:left w:w="90" w:type="dxa"/>
              <w:right w:w="90" w:type="dxa"/>
            </w:tcMar>
          </w:tcPr>
          <w:p>
            <w:pPr>
              <w:spacing w:after="0" w:line="259" w:lineRule="auto"/>
            </w:pPr>
            <w:r>
              <w:rPr>
                <w:b w:val="0"/>
                <w:sz w:val="19"/>
              </w:rPr>
              <w:t>上传；20MB；jpg / jpeg / png / gif / bmp</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10</w:t>
            </w:r>
          </w:p>
        </w:tc>
        <w:tc>
          <w:tcPr>
            <w:tcW w:type="dxa" w:w="4989"/>
            <w:vAlign w:val="center"/>
            <w:shd w:fill="F5F7F9"/>
            <w:tcMar>
              <w:top w:w="70" w:type="dxa"/>
              <w:bottom w:w="70" w:type="dxa"/>
              <w:left w:w="90" w:type="dxa"/>
              <w:right w:w="90" w:type="dxa"/>
            </w:tcMar>
          </w:tcPr>
          <w:p>
            <w:pPr>
              <w:spacing w:after="0" w:line="259" w:lineRule="auto"/>
            </w:pPr>
            <w:r>
              <w:rPr>
                <w:b w:val="0"/>
                <w:sz w:val="19"/>
              </w:rPr>
              <w:t>你使用过哪些 AWS 云服务？</w:t>
            </w:r>
          </w:p>
        </w:tc>
        <w:tc>
          <w:tcPr>
            <w:tcW w:type="dxa" w:w="4082"/>
            <w:vAlign w:val="center"/>
            <w:shd w:fill="F5F7F9"/>
            <w:tcMar>
              <w:top w:w="70" w:type="dxa"/>
              <w:bottom w:w="70" w:type="dxa"/>
              <w:left w:w="90" w:type="dxa"/>
              <w:right w:w="90" w:type="dxa"/>
            </w:tcMar>
          </w:tcPr>
          <w:p>
            <w:pPr>
              <w:spacing w:after="0" w:line="259" w:lineRule="auto"/>
            </w:pPr>
            <w:r>
              <w:rPr>
                <w:b w:val="0"/>
                <w:sz w:val="19"/>
              </w:rPr>
              <w:t>多选：从未使用过 / EC2 / S3 / Bedrock / QuickSight / 其他</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11</w:t>
            </w:r>
          </w:p>
        </w:tc>
        <w:tc>
          <w:tcPr>
            <w:tcW w:type="dxa" w:w="4989"/>
            <w:vAlign w:val="center"/>
            <w:shd w:fill="FFFFFF"/>
            <w:tcMar>
              <w:top w:w="70" w:type="dxa"/>
              <w:bottom w:w="70" w:type="dxa"/>
              <w:left w:w="90" w:type="dxa"/>
              <w:right w:w="90" w:type="dxa"/>
            </w:tcMar>
          </w:tcPr>
          <w:p>
            <w:pPr>
              <w:spacing w:after="0" w:line="259" w:lineRule="auto"/>
            </w:pPr>
            <w:r>
              <w:rPr>
                <w:b w:val="0"/>
                <w:sz w:val="19"/>
              </w:rPr>
              <w:t>你参加过黑客松或编程竞赛的次数？</w:t>
            </w:r>
          </w:p>
        </w:tc>
        <w:tc>
          <w:tcPr>
            <w:tcW w:type="dxa" w:w="4082"/>
            <w:vAlign w:val="center"/>
            <w:shd w:fill="FFFFFF"/>
            <w:tcMar>
              <w:top w:w="70" w:type="dxa"/>
              <w:bottom w:w="70" w:type="dxa"/>
              <w:left w:w="90" w:type="dxa"/>
              <w:right w:w="90" w:type="dxa"/>
            </w:tcMar>
          </w:tcPr>
          <w:p>
            <w:pPr>
              <w:spacing w:after="0" w:line="259" w:lineRule="auto"/>
            </w:pPr>
            <w:r>
              <w:rPr>
                <w:b w:val="0"/>
                <w:sz w:val="19"/>
              </w:rPr>
              <w:t>下拉；具体选项未完整读取</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12</w:t>
            </w:r>
          </w:p>
        </w:tc>
        <w:tc>
          <w:tcPr>
            <w:tcW w:type="dxa" w:w="4989"/>
            <w:vAlign w:val="center"/>
            <w:shd w:fill="F5F7F9"/>
            <w:tcMar>
              <w:top w:w="70" w:type="dxa"/>
              <w:bottom w:w="70" w:type="dxa"/>
              <w:left w:w="90" w:type="dxa"/>
              <w:right w:w="90" w:type="dxa"/>
            </w:tcMar>
          </w:tcPr>
          <w:p>
            <w:pPr>
              <w:spacing w:after="0" w:line="259" w:lineRule="auto"/>
            </w:pPr>
            <w:r>
              <w:rPr>
                <w:b w:val="0"/>
                <w:sz w:val="19"/>
              </w:rPr>
              <w:t>印象最深的一次黑客松或者开发经验是哪次？做了什么、结果如何？</w:t>
            </w:r>
          </w:p>
        </w:tc>
        <w:tc>
          <w:tcPr>
            <w:tcW w:type="dxa" w:w="4082"/>
            <w:vAlign w:val="center"/>
            <w:shd w:fill="F5F7F9"/>
            <w:tcMar>
              <w:top w:w="70" w:type="dxa"/>
              <w:bottom w:w="70" w:type="dxa"/>
              <w:left w:w="90" w:type="dxa"/>
              <w:right w:w="90" w:type="dxa"/>
            </w:tcMar>
          </w:tcPr>
          <w:p>
            <w:pPr>
              <w:spacing w:after="0" w:line="259" w:lineRule="auto"/>
            </w:pPr>
            <w:r>
              <w:rPr>
                <w:b w:val="0"/>
                <w:sz w:val="19"/>
              </w:rPr>
              <w:t>多行文本，1000 字</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13</w:t>
            </w:r>
          </w:p>
        </w:tc>
        <w:tc>
          <w:tcPr>
            <w:tcW w:type="dxa" w:w="4989"/>
            <w:vAlign w:val="center"/>
            <w:shd w:fill="FFFFFF"/>
            <w:tcMar>
              <w:top w:w="70" w:type="dxa"/>
              <w:bottom w:w="70" w:type="dxa"/>
              <w:left w:w="90" w:type="dxa"/>
              <w:right w:w="90" w:type="dxa"/>
            </w:tcMar>
          </w:tcPr>
          <w:p>
            <w:pPr>
              <w:spacing w:after="0" w:line="259" w:lineRule="auto"/>
            </w:pPr>
            <w:r>
              <w:rPr>
                <w:b w:val="0"/>
                <w:sz w:val="19"/>
              </w:rPr>
              <w:t>你认为哪些因素会影响一次投篮的命中概率？请列举至少3个。</w:t>
            </w:r>
          </w:p>
        </w:tc>
        <w:tc>
          <w:tcPr>
            <w:tcW w:type="dxa" w:w="4082"/>
            <w:vAlign w:val="center"/>
            <w:shd w:fill="FFFFFF"/>
            <w:tcMar>
              <w:top w:w="70" w:type="dxa"/>
              <w:bottom w:w="70" w:type="dxa"/>
              <w:left w:w="90" w:type="dxa"/>
              <w:right w:w="90" w:type="dxa"/>
            </w:tcMar>
          </w:tcPr>
          <w:p>
            <w:pPr>
              <w:spacing w:after="0" w:line="259" w:lineRule="auto"/>
            </w:pPr>
            <w:r>
              <w:rPr>
                <w:b w:val="0"/>
                <w:sz w:val="19"/>
              </w:rPr>
              <w:t>多行文本，100 字；至少 3 个因素</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14</w:t>
            </w:r>
          </w:p>
        </w:tc>
        <w:tc>
          <w:tcPr>
            <w:tcW w:type="dxa" w:w="4989"/>
            <w:vAlign w:val="center"/>
            <w:shd w:fill="F5F7F9"/>
            <w:tcMar>
              <w:top w:w="70" w:type="dxa"/>
              <w:bottom w:w="70" w:type="dxa"/>
              <w:left w:w="90" w:type="dxa"/>
              <w:right w:w="90" w:type="dxa"/>
            </w:tcMar>
          </w:tcPr>
          <w:p>
            <w:pPr>
              <w:spacing w:after="0" w:line="259" w:lineRule="auto"/>
            </w:pPr>
            <w:r>
              <w:rPr>
                <w:b w:val="0"/>
                <w:sz w:val="19"/>
              </w:rPr>
              <w:t>本次黑客松需要 10月10日-10月11日全程在珠海及澳门参赛（提供 9-10 日酒店），你是否确认可以全程参与？</w:t>
            </w:r>
          </w:p>
        </w:tc>
        <w:tc>
          <w:tcPr>
            <w:tcW w:type="dxa" w:w="4082"/>
            <w:vAlign w:val="center"/>
            <w:shd w:fill="F5F7F9"/>
            <w:tcMar>
              <w:top w:w="70" w:type="dxa"/>
              <w:bottom w:w="70" w:type="dxa"/>
              <w:left w:w="90" w:type="dxa"/>
              <w:right w:w="90" w:type="dxa"/>
            </w:tcMar>
          </w:tcPr>
          <w:p>
            <w:pPr>
              <w:spacing w:after="0" w:line="259" w:lineRule="auto"/>
            </w:pPr>
            <w:r>
              <w:rPr>
                <w:b w:val="0"/>
                <w:sz w:val="19"/>
              </w:rPr>
              <w:t>单选：可以 / 不可以</w:t>
            </w:r>
          </w:p>
        </w:tc>
      </w:tr>
    </w:tbl>
    <w:p>
      <w:pPr>
        <w:spacing w:after="0"/>
      </w:pPr>
    </w:p>
    <w:p>
      <w:pPr/>
      <w:r>
        <w:t>本次可见问题以个人为单位；没有采集到队名、队友关联或队长登记字段。队员是否逐人报名、如何确认组队尚待核实。</w:t>
      </w:r>
    </w:p>
    <w:p>
      <w:pPr>
        <w:pStyle w:val="Heading1"/>
      </w:pPr>
      <w:r>
        <w:t>报名材料要让读者看清什么</w:t>
      </w:r>
    </w:p>
    <w:p>
      <w:pPr/>
      <w:r>
        <w:t>报名阶段的目标是让组委会能够判断：我们理解赛题，有与任务相关的真实能力和交付经历，并且能完成组队与线下参赛。官网未公开报名筛选权重，下面是根据报名问题和作品要求提出的写作建议，不代表组委会内部标准，也不保证入围。</w:t>
      </w:r>
    </w:p>
    <w:p>
      <w:pPr/>
      <w:r>
        <w:t>作品需要把视频和深度数据转化为画面标注与同步解说。因此，材料中最有价值的内容不是技术名词数量，而是“做过什么、本人负责什么、怎样做、结果怎样、与本次任务有什么关联”。没有篮球或 AWS 经历也应如实说明，用可迁移的经历支撑能力。</w:t>
      </w:r>
    </w:p>
    <w:p>
      <w:pPr/>
      <w:r>
        <w:t>先区分两个目标：9 月 24 日公布的是入围参赛资格；澳门 TOP 8 决赛资格要在 10 月 10 日通过现场作品评审获得。报名材料和后续作品都重要，但二者不是同一轮评选。</w:t>
      </w:r>
    </w:p>
    <w:p>
      <w:pPr>
        <w:pStyle w:val="Heading1"/>
      </w:pPr>
      <w:r>
        <w:t>个人简介如何准备</w:t>
      </w:r>
    </w:p>
    <w:p>
      <w:pPr/>
      <w:r>
        <w:t>个人简介上限为 1000 字。建议先准备一份约 400 至 700 字的事实草稿，留出修改余地；这是内部写作建议，不是官方建议字数。组织顺序可以是：当前身份与主要方向、最相关的能力和项目、拟承担的角色、对比赛任务的理解。</w:t>
      </w:r>
    </w:p>
    <w:p>
      <w:pPr>
        <w:pStyle w:val="ListBullet"/>
      </w:pPr>
      <w:r>
        <w:t>开头说明真实背景与最相关能力，例如数据处理、视觉分析、视频工程、前端可视化、产品设计或篮球内容分析，优先保留与赛题有关的内容。</w:t>
      </w:r>
    </w:p>
    <w:p>
      <w:pPr>
        <w:pStyle w:val="ListBullet"/>
      </w:pPr>
      <w:r>
        <w:t>选择一至两个最有证据的项目，说明本人具体完成的模块。团队成果与个人贡献分别表述。</w:t>
      </w:r>
    </w:p>
    <w:p>
      <w:pPr>
        <w:pStyle w:val="ListBullet"/>
      </w:pPr>
      <w:r>
        <w:t>用已核验的信息体现成果，例如已上线功能、公开演示、测试样本数量、明确条件下的性能结果或真实用户反馈。没有测量就不要写精确提升比例。</w:t>
      </w:r>
    </w:p>
    <w:p>
      <w:pPr>
        <w:pStyle w:val="ListBullet"/>
      </w:pPr>
      <w:r>
        <w:t>说明这些经历能够支持本次哪一环：视频与数据接入、回合分析、视觉叠加、同步解说、产品整合或现场演示。</w:t>
      </w:r>
    </w:p>
    <w:p>
      <w:pPr>
        <w:pStyle w:val="ListBullet"/>
      </w:pPr>
      <w:r>
        <w:t>拟承担的角色用计划语气表达，不把尚未实现的能力或合作写成既成事实。</w:t>
      </w:r>
    </w:p>
    <w:p>
      <w:pPr/>
      <w:r>
        <w:t>供整理事实的结构：我目前从事或学习什么；最相关的项目是什么；我负责哪部分；有什么结果和证据；这些经验如何用于本次比赛。此结构不是可直接提交的个人简介，需由本人补充事实后再组织语言。</w:t>
      </w:r>
    </w:p>
    <w:p>
      <w:pPr/>
      <w:r>
        <w:t>避免“熟练掌握所有主流模型”“热爱 AI 并富有创新精神”一类没有证据的陈述。没有必要写满 1000 字，也不要把简介写成项目名和工具名堆积。</w:t>
      </w:r>
    </w:p>
    <w:p>
      <w:pPr>
        <w:pStyle w:val="Heading1"/>
      </w:pPr>
      <w:r>
        <w:t>开发经历如何选择和描述</w:t>
      </w:r>
    </w:p>
    <w:p>
      <w:pPr/>
      <w:r>
        <w:t>题目要求描述印象最深的一次黑客松或开发经验，包括做了什么、结果如何，上限 1000 字。它明确允许开发经验，不需要为了贴近赛事而虚构黑客松经历。</w:t>
      </w:r>
    </w:p>
    <w:p>
      <w:pPr/>
      <w:r>
        <w:t>优先选择能够同时说明本人贡献、技术或产品难点以及实际结果的一次经历。与视频、数据、可视化或 Agent 相关的项目更容易建立关联，但关联性应服从事实。</w:t>
      </w:r>
    </w:p>
    <w:p>
      <w:pPr/>
      <w:r>
        <w:t>可按以下顺序整理：</w:t>
      </w:r>
    </w:p>
    <w:p>
      <w:pPr/>
      <w:r>
        <w:t>1. 背景与目标：谁遇到什么问题，项目希望完成什么。</w:t>
      </w:r>
    </w:p>
    <w:p>
      <w:pPr/>
      <w:r>
        <w:t>2. 本人职责：负责哪些具体模块，与队友如何衔接。</w:t>
      </w:r>
    </w:p>
    <w:p>
      <w:pPr/>
      <w:r>
        <w:t>3. 关键难点：例如数据质量、同步误差、模型输出不稳定、部署或交互问题；写真实遇到的一项即可。</w:t>
      </w:r>
    </w:p>
    <w:p>
      <w:pPr/>
      <w:r>
        <w:t>4. 采取的办法：说明关键决策及原因，而非只列出技术栈。</w:t>
      </w:r>
    </w:p>
    <w:p>
      <w:pPr/>
      <w:r>
        <w:t>5. 结果与验证：交付物是什么，如何验证，仍有哪些局限。</w:t>
      </w:r>
    </w:p>
    <w:p>
      <w:pPr/>
      <w:r>
        <w:t>6. 与本次比赛的联系：哪些经验可以迁移到篮球视频与数据解读。</w:t>
      </w:r>
    </w:p>
    <w:p>
      <w:pPr/>
      <w:r>
        <w:t>有失败或未完成部分时，可以写清问题、定位过程和学习结果。可核查的有限成果，比没有依据的“大幅提升”“行业领先”更有说服力。</w:t>
      </w:r>
    </w:p>
    <w:p>
      <w:pPr>
        <w:pStyle w:val="Heading1"/>
      </w:pPr>
      <w:r>
        <w:t>AWS 使用经验和其他事实字段</w:t>
      </w:r>
    </w:p>
    <w:p>
      <w:pPr/>
      <w:r>
        <w:t>AWS 是多选题，当前可见选项包括从未使用过、EC2、S3、Bedrock、QuickSight、其他。按实际使用情况选择；阅读过文档、看过演示，不等于有实操经验。</w:t>
      </w:r>
    </w:p>
    <w:p>
      <w:pPr/>
      <w:r>
        <w:t>内部先整理每项服务的使用场景、本人操作、完成的结果和可证明材料。如只是教程练习，可以明确写为练习；如无 AWS 经历，选择真实选项，在简介中说明已有的相关工程经验，不能把将来的学习计划写成已完成经历。</w:t>
      </w:r>
    </w:p>
    <w:p>
      <w:pPr/>
      <w:r>
        <w:t>姓名、手机、邮箱、公司或学校、地区及竞赛次数应准确一致。当前身份、参赛次数的完整下拉选项仍需实际填写时核对。联系邮箱应由本人正常使用，避免漏收资格通知。</w:t>
      </w:r>
    </w:p>
    <w:p>
      <w:pPr/>
      <w:r>
        <w:t>港澳通行证问题与全程参与问题需要按真实状态回答。港澳通行证有效与具备实际通关条件不应混为一谈；具体签注和通关安排以赛事通知及有关官方要求为准。此处不作资格或出入境判定。</w:t>
      </w:r>
    </w:p>
    <w:p>
      <w:pPr/>
      <w:r>
        <w:t>生活照按表单格式和大小要求准备即可。照片清晰、内容真实；不把个人外貌作为竞争力论据。此类材料不需要放入团队公开作品仓库。</w:t>
      </w:r>
    </w:p>
    <w:p>
      <w:pPr>
        <w:pStyle w:val="Heading1"/>
      </w:pPr>
      <w:r>
        <w:t>篮球理解问题如何准备</w:t>
      </w:r>
    </w:p>
    <w:p>
      <w:pPr/>
      <w:r>
        <w:t>题目要求至少列举 3 个影响投篮命中概率的因素，上限 100 字。适合列出清晰、不同维度的因素，并保持表述准确，不需要写成长篇战术分析。</w:t>
      </w:r>
    </w:p>
    <w:p>
      <w:pPr/>
      <w:r>
        <w:t>用于理解的候选维度包括出手位置与距离、防守干扰、投篮姿态和平衡、移动与转身状态。NBA 官方 xFG% 说明涉及这些方向，可作为阅读材料；这不是要求照抄的报名答案。队员应选择自己能够解释的因素，用自己的语言完成最终回答。</w:t>
      </w:r>
    </w:p>
    <w:p>
      <w:pPr/>
      <w:r>
        <w:t>这里要分清两个问题：“哪些因素一般会影响命中”与“官方 xFG% 模型使用了哪些特征”。官方说明中的 xFG% 不纳入球员身份、进攻时钟和分差；不能把这些说成该模型现有输入。来源见后文 NBA 指标说明。</w:t>
      </w:r>
    </w:p>
    <w:p>
      <w:pPr>
        <w:pStyle w:val="Heading1"/>
      </w:pPr>
      <w:r>
        <w:t>团队内部先整理的证据</w:t>
      </w:r>
    </w:p>
    <w:p>
      <w:pPr/>
      <w:r>
        <w:t>下表用于讨论和检查，不是官网新增的提交材料要求。表单若没有附件或链接字段，不应假定必须额外提交。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969"/>
        <w:gridCol w:w="3402"/>
      </w:tblGrid>
      <w:tr>
        <w:trPr>
          <w:cantSplit/>
          <w:tblHeader/>
        </w:trPr>
        <w:tc>
          <w:tcPr>
            <w:tcW w:type="dxa" w:w="2268"/>
            <w:vAlign w:val="center"/>
            <w:shd w:fill="E5EDF4"/>
            <w:tcMar>
              <w:top w:w="70" w:type="dxa"/>
              <w:bottom w:w="70" w:type="dxa"/>
              <w:left w:w="90" w:type="dxa"/>
              <w:right w:w="90" w:type="dxa"/>
            </w:tcMar>
          </w:tcPr>
          <w:p>
            <w:pPr>
              <w:keepNext/>
              <w:spacing w:after="0" w:line="259" w:lineRule="auto"/>
              <w:jc w:val="left"/>
            </w:pPr>
            <w:r>
              <w:rPr>
                <w:b/>
                <w:sz w:val="19"/>
              </w:rPr>
              <w:t>材料</w:t>
            </w:r>
          </w:p>
        </w:tc>
        <w:tc>
          <w:tcPr>
            <w:tcW w:type="dxa" w:w="3969"/>
            <w:vAlign w:val="center"/>
            <w:shd w:fill="E5EDF4"/>
            <w:tcMar>
              <w:top w:w="70" w:type="dxa"/>
              <w:bottom w:w="70" w:type="dxa"/>
              <w:left w:w="90" w:type="dxa"/>
              <w:right w:w="90" w:type="dxa"/>
            </w:tcMar>
          </w:tcPr>
          <w:p>
            <w:pPr>
              <w:keepNext/>
              <w:spacing w:after="0" w:line="259" w:lineRule="auto"/>
              <w:jc w:val="left"/>
            </w:pPr>
            <w:r>
              <w:rPr>
                <w:b/>
                <w:sz w:val="19"/>
              </w:rPr>
              <w:t>建议记录的内容</w:t>
            </w:r>
          </w:p>
        </w:tc>
        <w:tc>
          <w:tcPr>
            <w:tcW w:type="dxa" w:w="3402"/>
            <w:vAlign w:val="center"/>
            <w:shd w:fill="E5EDF4"/>
            <w:tcMar>
              <w:top w:w="70" w:type="dxa"/>
              <w:bottom w:w="70" w:type="dxa"/>
              <w:left w:w="90" w:type="dxa"/>
              <w:right w:w="90" w:type="dxa"/>
            </w:tcMar>
          </w:tcPr>
          <w:p>
            <w:pPr>
              <w:keepNext/>
              <w:spacing w:after="0" w:line="259" w:lineRule="auto"/>
              <w:jc w:val="left"/>
            </w:pPr>
            <w:r>
              <w:rPr>
                <w:b/>
                <w:sz w:val="19"/>
              </w:rPr>
              <w:t>用于支持什么</w:t>
            </w:r>
          </w:p>
        </w:tc>
      </w:tr>
      <w:tr>
        <w:trPr>
          <w:cantSplit/>
        </w:trPr>
        <w:tc>
          <w:tcPr>
            <w:tcW w:type="dxa" w:w="2268"/>
            <w:vAlign w:val="center"/>
            <w:shd w:fill="FFFFFF"/>
            <w:tcMar>
              <w:top w:w="70" w:type="dxa"/>
              <w:bottom w:w="70" w:type="dxa"/>
              <w:left w:w="90" w:type="dxa"/>
              <w:right w:w="90" w:type="dxa"/>
            </w:tcMar>
          </w:tcPr>
          <w:p>
            <w:pPr>
              <w:spacing w:after="0" w:line="259" w:lineRule="auto"/>
              <w:jc w:val="left"/>
            </w:pPr>
            <w:r>
              <w:rPr>
                <w:b w:val="0"/>
                <w:sz w:val="19"/>
              </w:rPr>
              <w:t>成员能力记录</w:t>
            </w:r>
          </w:p>
        </w:tc>
        <w:tc>
          <w:tcPr>
            <w:tcW w:type="dxa" w:w="3969"/>
            <w:vAlign w:val="center"/>
            <w:shd w:fill="FFFFFF"/>
            <w:tcMar>
              <w:top w:w="70" w:type="dxa"/>
              <w:bottom w:w="70" w:type="dxa"/>
              <w:left w:w="90" w:type="dxa"/>
              <w:right w:w="90" w:type="dxa"/>
            </w:tcMar>
          </w:tcPr>
          <w:p>
            <w:pPr>
              <w:spacing w:after="0" w:line="259" w:lineRule="auto"/>
              <w:jc w:val="left"/>
            </w:pPr>
            <w:r>
              <w:rPr>
                <w:b w:val="0"/>
                <w:sz w:val="19"/>
              </w:rPr>
              <w:t>每人的主要能力、拟承担角色、可投入时间</w:t>
            </w:r>
          </w:p>
        </w:tc>
        <w:tc>
          <w:tcPr>
            <w:tcW w:type="dxa" w:w="3402"/>
            <w:vAlign w:val="center"/>
            <w:shd w:fill="FFFFFF"/>
            <w:tcMar>
              <w:top w:w="70" w:type="dxa"/>
              <w:bottom w:w="70" w:type="dxa"/>
              <w:left w:w="90" w:type="dxa"/>
              <w:right w:w="90" w:type="dxa"/>
            </w:tcMar>
          </w:tcPr>
          <w:p>
            <w:pPr>
              <w:spacing w:after="0" w:line="259" w:lineRule="auto"/>
              <w:jc w:val="left"/>
            </w:pPr>
            <w:r>
              <w:rPr>
                <w:b w:val="0"/>
                <w:sz w:val="19"/>
              </w:rPr>
              <w:t>分工是否覆盖赛题关键环节</w:t>
            </w:r>
          </w:p>
        </w:tc>
      </w:tr>
      <w:tr>
        <w:trPr>
          <w:cantSplit/>
        </w:trPr>
        <w:tc>
          <w:tcPr>
            <w:tcW w:type="dxa" w:w="2268"/>
            <w:vAlign w:val="center"/>
            <w:shd w:fill="F5F7F9"/>
            <w:tcMar>
              <w:top w:w="70" w:type="dxa"/>
              <w:bottom w:w="70" w:type="dxa"/>
              <w:left w:w="90" w:type="dxa"/>
              <w:right w:w="90" w:type="dxa"/>
            </w:tcMar>
          </w:tcPr>
          <w:p>
            <w:pPr>
              <w:spacing w:after="0" w:line="259" w:lineRule="auto"/>
              <w:jc w:val="left"/>
            </w:pPr>
            <w:r>
              <w:rPr>
                <w:b w:val="0"/>
                <w:sz w:val="19"/>
              </w:rPr>
              <w:t>项目事实卡</w:t>
            </w:r>
          </w:p>
        </w:tc>
        <w:tc>
          <w:tcPr>
            <w:tcW w:type="dxa" w:w="3969"/>
            <w:vAlign w:val="center"/>
            <w:shd w:fill="F5F7F9"/>
            <w:tcMar>
              <w:top w:w="70" w:type="dxa"/>
              <w:bottom w:w="70" w:type="dxa"/>
              <w:left w:w="90" w:type="dxa"/>
              <w:right w:w="90" w:type="dxa"/>
            </w:tcMar>
          </w:tcPr>
          <w:p>
            <w:pPr>
              <w:spacing w:after="0" w:line="259" w:lineRule="auto"/>
              <w:jc w:val="left"/>
            </w:pPr>
            <w:r>
              <w:rPr>
                <w:b w:val="0"/>
                <w:sz w:val="19"/>
              </w:rPr>
              <w:t>项目目标、本人职责、关键办法、结果、局限</w:t>
            </w:r>
          </w:p>
        </w:tc>
        <w:tc>
          <w:tcPr>
            <w:tcW w:type="dxa" w:w="3402"/>
            <w:vAlign w:val="center"/>
            <w:shd w:fill="F5F7F9"/>
            <w:tcMar>
              <w:top w:w="70" w:type="dxa"/>
              <w:bottom w:w="70" w:type="dxa"/>
              <w:left w:w="90" w:type="dxa"/>
              <w:right w:w="90" w:type="dxa"/>
            </w:tcMar>
          </w:tcPr>
          <w:p>
            <w:pPr>
              <w:spacing w:after="0" w:line="259" w:lineRule="auto"/>
              <w:jc w:val="left"/>
            </w:pPr>
            <w:r>
              <w:rPr>
                <w:b w:val="0"/>
                <w:sz w:val="19"/>
              </w:rPr>
              <w:t>个人简介与开发经历</w:t>
            </w:r>
          </w:p>
        </w:tc>
      </w:tr>
      <w:tr>
        <w:trPr>
          <w:cantSplit/>
        </w:trPr>
        <w:tc>
          <w:tcPr>
            <w:tcW w:type="dxa" w:w="2268"/>
            <w:vAlign w:val="center"/>
            <w:shd w:fill="FFFFFF"/>
            <w:tcMar>
              <w:top w:w="70" w:type="dxa"/>
              <w:bottom w:w="70" w:type="dxa"/>
              <w:left w:w="90" w:type="dxa"/>
              <w:right w:w="90" w:type="dxa"/>
            </w:tcMar>
          </w:tcPr>
          <w:p>
            <w:pPr>
              <w:spacing w:after="0" w:line="259" w:lineRule="auto"/>
              <w:jc w:val="left"/>
            </w:pPr>
            <w:r>
              <w:rPr>
                <w:b w:val="0"/>
                <w:sz w:val="19"/>
              </w:rPr>
              <w:t>可展示证据</w:t>
            </w:r>
          </w:p>
        </w:tc>
        <w:tc>
          <w:tcPr>
            <w:tcW w:type="dxa" w:w="3969"/>
            <w:vAlign w:val="center"/>
            <w:shd w:fill="FFFFFF"/>
            <w:tcMar>
              <w:top w:w="70" w:type="dxa"/>
              <w:bottom w:w="70" w:type="dxa"/>
              <w:left w:w="90" w:type="dxa"/>
              <w:right w:w="90" w:type="dxa"/>
            </w:tcMar>
          </w:tcPr>
          <w:p>
            <w:pPr>
              <w:spacing w:after="0" w:line="259" w:lineRule="auto"/>
              <w:jc w:val="left"/>
            </w:pPr>
            <w:r>
              <w:rPr>
                <w:b w:val="0"/>
                <w:sz w:val="19"/>
              </w:rPr>
              <w:t>合法可分享的仓库、演示、截图或项目说明</w:t>
            </w:r>
          </w:p>
        </w:tc>
        <w:tc>
          <w:tcPr>
            <w:tcW w:type="dxa" w:w="3402"/>
            <w:vAlign w:val="center"/>
            <w:shd w:fill="FFFFFF"/>
            <w:tcMar>
              <w:top w:w="70" w:type="dxa"/>
              <w:bottom w:w="70" w:type="dxa"/>
              <w:left w:w="90" w:type="dxa"/>
              <w:right w:w="90" w:type="dxa"/>
            </w:tcMar>
          </w:tcPr>
          <w:p>
            <w:pPr>
              <w:spacing w:after="0" w:line="259" w:lineRule="auto"/>
              <w:jc w:val="left"/>
            </w:pPr>
            <w:r>
              <w:rPr>
                <w:b w:val="0"/>
                <w:sz w:val="19"/>
              </w:rPr>
              <w:t>让经历可核查</w:t>
            </w:r>
          </w:p>
        </w:tc>
      </w:tr>
      <w:tr>
        <w:trPr>
          <w:cantSplit/>
        </w:trPr>
        <w:tc>
          <w:tcPr>
            <w:tcW w:type="dxa" w:w="2268"/>
            <w:vAlign w:val="center"/>
            <w:shd w:fill="F5F7F9"/>
            <w:tcMar>
              <w:top w:w="70" w:type="dxa"/>
              <w:bottom w:w="70" w:type="dxa"/>
              <w:left w:w="90" w:type="dxa"/>
              <w:right w:w="90" w:type="dxa"/>
            </w:tcMar>
          </w:tcPr>
          <w:p>
            <w:pPr>
              <w:spacing w:after="0" w:line="259" w:lineRule="auto"/>
              <w:jc w:val="left"/>
            </w:pPr>
            <w:r>
              <w:rPr>
                <w:b w:val="0"/>
                <w:sz w:val="19"/>
              </w:rPr>
              <w:t>指标记录</w:t>
            </w:r>
          </w:p>
        </w:tc>
        <w:tc>
          <w:tcPr>
            <w:tcW w:type="dxa" w:w="3969"/>
            <w:vAlign w:val="center"/>
            <w:shd w:fill="F5F7F9"/>
            <w:tcMar>
              <w:top w:w="70" w:type="dxa"/>
              <w:bottom w:w="70" w:type="dxa"/>
              <w:left w:w="90" w:type="dxa"/>
              <w:right w:w="90" w:type="dxa"/>
            </w:tcMar>
          </w:tcPr>
          <w:p>
            <w:pPr>
              <w:spacing w:after="0" w:line="259" w:lineRule="auto"/>
              <w:jc w:val="left"/>
            </w:pPr>
            <w:r>
              <w:rPr>
                <w:b w:val="0"/>
                <w:sz w:val="19"/>
              </w:rPr>
              <w:t>测试条件、样本范围、结果、测量时间</w:t>
            </w:r>
          </w:p>
        </w:tc>
        <w:tc>
          <w:tcPr>
            <w:tcW w:type="dxa" w:w="3402"/>
            <w:vAlign w:val="center"/>
            <w:shd w:fill="F5F7F9"/>
            <w:tcMar>
              <w:top w:w="70" w:type="dxa"/>
              <w:bottom w:w="70" w:type="dxa"/>
              <w:left w:w="90" w:type="dxa"/>
              <w:right w:w="90" w:type="dxa"/>
            </w:tcMar>
          </w:tcPr>
          <w:p>
            <w:pPr>
              <w:spacing w:after="0" w:line="259" w:lineRule="auto"/>
              <w:jc w:val="left"/>
            </w:pPr>
            <w:r>
              <w:rPr>
                <w:b w:val="0"/>
                <w:sz w:val="19"/>
              </w:rPr>
              <w:t>避免无依据的量化表达</w:t>
            </w:r>
          </w:p>
        </w:tc>
      </w:tr>
      <w:tr>
        <w:trPr>
          <w:cantSplit/>
        </w:trPr>
        <w:tc>
          <w:tcPr>
            <w:tcW w:type="dxa" w:w="2268"/>
            <w:vAlign w:val="center"/>
            <w:shd w:fill="FFFFFF"/>
            <w:tcMar>
              <w:top w:w="70" w:type="dxa"/>
              <w:bottom w:w="70" w:type="dxa"/>
              <w:left w:w="90" w:type="dxa"/>
              <w:right w:w="90" w:type="dxa"/>
            </w:tcMar>
          </w:tcPr>
          <w:p>
            <w:pPr>
              <w:spacing w:after="0" w:line="259" w:lineRule="auto"/>
              <w:jc w:val="left"/>
            </w:pPr>
            <w:r>
              <w:rPr>
                <w:b w:val="0"/>
                <w:sz w:val="19"/>
              </w:rPr>
              <w:t>篮球知识笔记</w:t>
            </w:r>
          </w:p>
        </w:tc>
        <w:tc>
          <w:tcPr>
            <w:tcW w:type="dxa" w:w="3969"/>
            <w:vAlign w:val="center"/>
            <w:shd w:fill="FFFFFF"/>
            <w:tcMar>
              <w:top w:w="70" w:type="dxa"/>
              <w:bottom w:w="70" w:type="dxa"/>
              <w:left w:w="90" w:type="dxa"/>
              <w:right w:w="90" w:type="dxa"/>
            </w:tcMar>
          </w:tcPr>
          <w:p>
            <w:pPr>
              <w:spacing w:after="0" w:line="259" w:lineRule="auto"/>
              <w:jc w:val="left"/>
            </w:pPr>
            <w:r>
              <w:rPr>
                <w:b w:val="0"/>
                <w:sz w:val="19"/>
              </w:rPr>
              <w:t>每个指标的含义、适用范围和容易混淆处</w:t>
            </w:r>
          </w:p>
        </w:tc>
        <w:tc>
          <w:tcPr>
            <w:tcW w:type="dxa" w:w="3402"/>
            <w:vAlign w:val="center"/>
            <w:shd w:fill="FFFFFF"/>
            <w:tcMar>
              <w:top w:w="70" w:type="dxa"/>
              <w:bottom w:w="70" w:type="dxa"/>
              <w:left w:w="90" w:type="dxa"/>
              <w:right w:w="90" w:type="dxa"/>
            </w:tcMar>
          </w:tcPr>
          <w:p>
            <w:pPr>
              <w:spacing w:after="0" w:line="259" w:lineRule="auto"/>
              <w:jc w:val="left"/>
            </w:pPr>
            <w:r>
              <w:rPr>
                <w:b w:val="0"/>
                <w:sz w:val="19"/>
              </w:rPr>
              <w:t>对赛题及篮球问题的理解</w:t>
            </w:r>
          </w:p>
        </w:tc>
      </w:tr>
      <w:tr>
        <w:trPr>
          <w:cantSplit/>
        </w:trPr>
        <w:tc>
          <w:tcPr>
            <w:tcW w:type="dxa" w:w="2268"/>
            <w:vAlign w:val="center"/>
            <w:shd w:fill="F5F7F9"/>
            <w:tcMar>
              <w:top w:w="70" w:type="dxa"/>
              <w:bottom w:w="70" w:type="dxa"/>
              <w:left w:w="90" w:type="dxa"/>
              <w:right w:w="90" w:type="dxa"/>
            </w:tcMar>
          </w:tcPr>
          <w:p>
            <w:pPr>
              <w:spacing w:after="0" w:line="259" w:lineRule="auto"/>
              <w:jc w:val="left"/>
            </w:pPr>
            <w:r>
              <w:rPr>
                <w:b w:val="0"/>
                <w:sz w:val="19"/>
              </w:rPr>
              <w:t>参赛安排</w:t>
            </w:r>
          </w:p>
        </w:tc>
        <w:tc>
          <w:tcPr>
            <w:tcW w:type="dxa" w:w="3969"/>
            <w:vAlign w:val="center"/>
            <w:shd w:fill="F5F7F9"/>
            <w:tcMar>
              <w:top w:w="70" w:type="dxa"/>
              <w:bottom w:w="70" w:type="dxa"/>
              <w:left w:w="90" w:type="dxa"/>
              <w:right w:w="90" w:type="dxa"/>
            </w:tcMar>
          </w:tcPr>
          <w:p>
            <w:pPr>
              <w:spacing w:after="0" w:line="259" w:lineRule="auto"/>
              <w:jc w:val="left"/>
            </w:pPr>
            <w:r>
              <w:rPr>
                <w:b w:val="0"/>
                <w:sz w:val="19"/>
              </w:rPr>
              <w:t>组队状态、到场时间、证件实际情况</w:t>
            </w:r>
          </w:p>
        </w:tc>
        <w:tc>
          <w:tcPr>
            <w:tcW w:type="dxa" w:w="3402"/>
            <w:vAlign w:val="center"/>
            <w:shd w:fill="F5F7F9"/>
            <w:tcMar>
              <w:top w:w="70" w:type="dxa"/>
              <w:bottom w:w="70" w:type="dxa"/>
              <w:left w:w="90" w:type="dxa"/>
              <w:right w:w="90" w:type="dxa"/>
            </w:tcMar>
          </w:tcPr>
          <w:p>
            <w:pPr>
              <w:spacing w:after="0" w:line="259" w:lineRule="auto"/>
              <w:jc w:val="left"/>
            </w:pPr>
            <w:r>
              <w:rPr>
                <w:b w:val="0"/>
                <w:sz w:val="19"/>
              </w:rPr>
              <w:t>判断能否完成线下活动</w:t>
            </w:r>
          </w:p>
        </w:tc>
      </w:tr>
    </w:tbl>
    <w:p>
      <w:pPr>
        <w:spacing w:after="0"/>
      </w:pPr>
    </w:p>
    <w:p>
      <w:pPr/>
      <w:r>
        <w:t>证据选择的内部优先顺序是：真实可展示的成果、清晰的本人贡献、与赛题的关联、可验证结果。没有公开链接的经历仍可描述，但不要泄露公司、客户或其他人的非公开资料。</w:t>
      </w:r>
    </w:p>
    <w:p>
      <w:pPr>
        <w:pStyle w:val="Heading1"/>
      </w:pPr>
      <w:r>
        <w:t>讨论后再定稿的检查顺序</w:t>
      </w:r>
    </w:p>
    <w:p>
      <w:pPr/>
      <w:r>
        <w:t>1. 每名队员先列事实，不急于润色；队内确认个人贡献和结果表述。</w:t>
      </w:r>
    </w:p>
    <w:p>
      <w:pPr/>
      <w:r>
        <w:t>2. 共同明确我们最能做好的部分，以及尚缺的能力。至少覆盖数据与分析、画面与产品呈现、整合交付，但不必一人只承担一个角色。</w:t>
      </w:r>
    </w:p>
    <w:p>
      <w:pPr/>
      <w:r>
        <w:t>3. 选出每人最相关的一次开发经历，避免多人写成完全相同的履历。</w:t>
      </w:r>
    </w:p>
    <w:p>
      <w:pPr/>
      <w:r>
        <w:t>4. 再压缩到表单上限，检查姓名、项目名、数字、职责及选项是否一致。</w:t>
      </w:r>
    </w:p>
    <w:p>
      <w:pPr/>
      <w:r>
        <w:t>5. 对照真实报名页检查最新问题、组队流程、条款与截止时间；讨论确认后再填写提交。</w:t>
      </w:r>
    </w:p>
    <w:p>
      <w:pPr/>
      <w:r>
        <w:t>以上步骤是内部准备建议。本轮文件只帮助理解与准备，不包含替任何成员填写的个人资料，也不进行报名提交。</w:t>
      </w:r>
    </w:p>
    <w:p>
      <w:pPr>
        <w:pStyle w:val="Heading1"/>
      </w:pPr>
      <w:r>
        <w:t>三 NBA 数据与外部赛事参考</w:t>
      </w:r>
    </w:p>
    <w:p>
      <w:r>
        <w:t>下面的资料用于帮助理解篮球指标、作品质量与展示方式。它们能支持准备过程，但不能证明本届组委会采用相同的筛选标准。</w:t>
      </w:r>
    </w:p>
    <w:p>
      <w:pPr>
        <w:pStyle w:val="Heading1"/>
      </w:pPr>
      <w:r>
        <w:t>NBA 官方指标说明</w:t>
      </w:r>
    </w:p>
    <w:p>
      <w:pPr>
        <w:pStyle w:val="Heading2"/>
      </w:pPr>
      <w:r>
        <w:t>投篮难度 xFG%</w:t>
      </w:r>
    </w:p>
    <w:p>
      <w:pPr/>
      <w:r>
        <w:t>xFG% 是在给定投篮追踪条件下，平均 NBA 球员的预期命中率；数值越低通常表示出手更难。它不是某位球员的个人命中概率，也不是实际命中率。官方模型说明列出投篮距离、身体朝向与平衡、移动速度、防守干扰等因素，并明确不纳入球员身份、进攻时钟和分差。</w:t>
      </w:r>
    </w:p>
    <w:p>
      <w:pPr/>
      <w:r>
        <w:t>讨论建议：解说应区分“这次出手条件有多难”和“这名球员投得有多好”。制作指标词典时，记录定义和排除项；不要把一般篮球常识直接说成官方模型的输入特征。</w:t>
      </w:r>
    </w:p>
    <w:p>
      <w:pPr/>
      <w:r>
        <w:t>来源：</w:t>
      </w:r>
      <w:hyperlink r:id="rId12">
        <w:r>
          <w:rPr>
            <w:color w:val="175C91"/>
          </w:rPr>
          <w:t>S01 官方词典</w:t>
        </w:r>
      </w:hyperlink>
      <w:r>
        <w:t>、</w:t>
      </w:r>
      <w:hyperlink r:id="rId13">
        <w:r>
          <w:rPr>
            <w:color w:val="175C91"/>
          </w:rPr>
          <w:t>S09 xFG% 模型说明</w:t>
        </w:r>
      </w:hyperlink>
      <w:r>
        <w:t>。</w:t>
      </w:r>
    </w:p>
    <w:p>
      <w:pPr>
        <w:pStyle w:val="Heading2"/>
      </w:pPr>
      <w:r>
        <w:t>球员引力 Gravity</w:t>
      </w:r>
    </w:p>
    <w:p>
      <w:pPr/>
      <w:r>
        <w:t>Gravity 比较球员实际吸引的防守压力与位置条件下的预期压力，衡量超出预期的防守关注。官方介绍采用 -100 至 100 的标准化尺度，0 对应联盟平均。指标词典还限定其计算场景：五名进攻球员和球在前场，篮板争抢场景不计入。</w:t>
      </w:r>
    </w:p>
    <w:p>
      <w:pPr/>
      <w:r>
        <w:t>讨论建议：展示某位无球队员如何吸引防守、给队友创造空间，比简单画一个“吸引范围圈”更有解释力；图形必须能对应到实际数据与时间点。</w:t>
      </w:r>
    </w:p>
    <w:p>
      <w:pPr/>
      <w:r>
        <w:t>来源：</w:t>
      </w:r>
      <w:hyperlink r:id="rId14">
        <w:r>
          <w:rPr>
            <w:color w:val="175C91"/>
          </w:rPr>
          <w:t>S03 Gravity 解释</w:t>
        </w:r>
      </w:hyperlink>
      <w:r>
        <w:t>、</w:t>
      </w:r>
      <w:hyperlink r:id="rId12">
        <w:r>
          <w:rPr>
            <w:color w:val="175C91"/>
          </w:rPr>
          <w:t>S01 官方词典</w:t>
        </w:r>
      </w:hyperlink>
      <w:r>
        <w:t>。</w:t>
      </w:r>
    </w:p>
    <w:p>
      <w:pPr>
        <w:pStyle w:val="Heading2"/>
      </w:pPr>
      <w:r>
        <w:t>防守压力 Defensive Pressure Score</w:t>
      </w:r>
    </w:p>
    <w:p>
      <w:pPr/>
      <w:r>
        <w:t>官方说明的分值范围为 0 至 1。它结合距离、传球线路、球员间遮挡、速度及移动方向等因素，而不只是最近防守人距离。高压力不必然代表整体防守更好：包夹持球人可能同时放空篮下队友。</w:t>
      </w:r>
    </w:p>
    <w:p>
      <w:pPr/>
      <w:r>
        <w:t>讨论建议：解说要同时观察“被压迫的人”和“因此获得机会的人”，避免将一个高数值直接评价为成功防守。</w:t>
      </w:r>
    </w:p>
    <w:p>
      <w:pPr/>
      <w:r>
        <w:t>来源：</w:t>
      </w:r>
      <w:hyperlink r:id="rId15">
        <w:r>
          <w:rPr>
            <w:color w:val="175C91"/>
          </w:rPr>
          <w:t>S10 防守压力说明</w:t>
        </w:r>
      </w:hyperlink>
      <w:r>
        <w:t>。</w:t>
      </w:r>
    </w:p>
    <w:p>
      <w:pPr>
        <w:pStyle w:val="Heading2"/>
      </w:pPr>
      <w:r>
        <w:t>关键度 Leverage</w:t>
      </w:r>
    </w:p>
    <w:p>
      <w:pPr/>
      <w:r>
        <w:t>Leverage 比较真实事件与相反结果对应的赢球概率，而不是简单用回合结束概率减去回合开始概率。NBA 举例：命中后三分球对应 75% 赢球概率，若投失且对手抢到篮板则是 55%，比较的是这两个结果之间的 20 个百分点。事件贡献还会分配给相关球员，并考虑创造机会、防守和前后事件。</w:t>
      </w:r>
    </w:p>
    <w:p>
      <w:pPr/>
      <w:r>
        <w:t>讨论建议：关键回合筛选不能只盯第四节最后两分钟；比赛较早阶段也可能发生高影响事件。若本届“关键度”字段实际采用其他定义，应服从赛事数据字典。</w:t>
      </w:r>
    </w:p>
    <w:p>
      <w:pPr/>
      <w:r>
        <w:t>来源：</w:t>
      </w:r>
      <w:hyperlink r:id="rId16">
        <w:r>
          <w:rPr>
            <w:color w:val="175C91"/>
          </w:rPr>
          <w:t>S02 Leverage 说明</w:t>
        </w:r>
      </w:hyperlink>
      <w:r>
        <w:t>。</w:t>
      </w:r>
    </w:p>
    <w:p>
      <w:pPr>
        <w:pStyle w:val="Heading2"/>
      </w:pPr>
      <w:r>
        <w:t>官方平台能力不等于参赛数据权限</w:t>
      </w:r>
    </w:p>
    <w:p>
      <w:pPr/>
      <w:r>
        <w:t>NBA 与 AWS 已介绍 Inside the Game 和 Play Finder，用于高级统计、相似回合检索及篮球理解。公开技术介绍提及每名球员 29 个身体点、每秒 60 次采集，但这不证明本届比赛会提供全部骨骼追踪数据、同样采样率或相关 API。公开介绍也不是数据下载授权。</w:t>
      </w:r>
    </w:p>
    <w:p>
      <w:pPr/>
      <w:r>
        <w:t>来源：</w:t>
      </w:r>
      <w:hyperlink r:id="rId17">
        <w:r>
          <w:rPr>
            <w:color w:val="175C91"/>
          </w:rPr>
          <w:t>S16 NBA 官方合作公告</w:t>
        </w:r>
      </w:hyperlink>
      <w:r>
        <w:t>、</w:t>
      </w:r>
      <w:hyperlink r:id="rId18">
        <w:r>
          <w:rPr>
            <w:color w:val="175C91"/>
          </w:rPr>
          <w:t>S11 AWS 中文介绍</w:t>
        </w:r>
      </w:hyperlink>
      <w:r>
        <w:t>。</w:t>
      </w:r>
    </w:p>
    <w:p>
      <w:pPr>
        <w:pStyle w:val="Heading1"/>
      </w:pPr>
      <w:r>
        <w:t>其他黑客松的规则比较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969"/>
        <w:gridCol w:w="3402"/>
      </w:tblGrid>
      <w:tr>
        <w:trPr>
          <w:cantSplit/>
          <w:tblHeader/>
        </w:trPr>
        <w:tc>
          <w:tcPr>
            <w:tcW w:type="dxa" w:w="2268"/>
            <w:vAlign w:val="center"/>
            <w:shd w:fill="E5EDF4"/>
            <w:tcMar>
              <w:top w:w="70" w:type="dxa"/>
              <w:bottom w:w="70" w:type="dxa"/>
              <w:left w:w="90" w:type="dxa"/>
              <w:right w:w="90" w:type="dxa"/>
            </w:tcMar>
          </w:tcPr>
          <w:p>
            <w:pPr>
              <w:keepNext/>
              <w:spacing w:after="0" w:line="259" w:lineRule="auto"/>
              <w:jc w:val="left"/>
            </w:pPr>
            <w:r>
              <w:rPr>
                <w:b/>
                <w:sz w:val="19"/>
              </w:rPr>
              <w:t>赛事或规则</w:t>
            </w:r>
          </w:p>
        </w:tc>
        <w:tc>
          <w:tcPr>
            <w:tcW w:type="dxa" w:w="3969"/>
            <w:vAlign w:val="center"/>
            <w:shd w:fill="E5EDF4"/>
            <w:tcMar>
              <w:top w:w="70" w:type="dxa"/>
              <w:bottom w:w="70" w:type="dxa"/>
              <w:left w:w="90" w:type="dxa"/>
              <w:right w:w="90" w:type="dxa"/>
            </w:tcMar>
          </w:tcPr>
          <w:p>
            <w:pPr>
              <w:keepNext/>
              <w:spacing w:after="0" w:line="259" w:lineRule="auto"/>
              <w:jc w:val="left"/>
            </w:pPr>
            <w:r>
              <w:rPr>
                <w:b/>
                <w:sz w:val="19"/>
              </w:rPr>
              <w:t>官方公布的评审重点</w:t>
            </w:r>
          </w:p>
        </w:tc>
        <w:tc>
          <w:tcPr>
            <w:tcW w:type="dxa" w:w="3402"/>
            <w:vAlign w:val="center"/>
            <w:shd w:fill="E5EDF4"/>
            <w:tcMar>
              <w:top w:w="70" w:type="dxa"/>
              <w:bottom w:w="70" w:type="dxa"/>
              <w:left w:w="90" w:type="dxa"/>
              <w:right w:w="90" w:type="dxa"/>
            </w:tcMar>
          </w:tcPr>
          <w:p>
            <w:pPr>
              <w:keepNext/>
              <w:spacing w:after="0" w:line="259" w:lineRule="auto"/>
              <w:jc w:val="left"/>
            </w:pPr>
            <w:r>
              <w:rPr>
                <w:b/>
                <w:sz w:val="19"/>
              </w:rPr>
              <w:t>能借鉴什么</w:t>
            </w:r>
          </w:p>
        </w:tc>
      </w:tr>
      <w:tr>
        <w:trPr>
          <w:cantSplit/>
        </w:trPr>
        <w:tc>
          <w:tcPr>
            <w:tcW w:type="dxa" w:w="2268"/>
            <w:vAlign w:val="center"/>
            <w:shd w:fill="FFFFFF"/>
            <w:tcMar>
              <w:top w:w="70" w:type="dxa"/>
              <w:bottom w:w="70" w:type="dxa"/>
              <w:left w:w="90" w:type="dxa"/>
              <w:right w:w="90" w:type="dxa"/>
            </w:tcMar>
          </w:tcPr>
          <w:p>
            <w:pPr>
              <w:spacing w:after="0" w:line="259" w:lineRule="auto"/>
              <w:jc w:val="left"/>
            </w:pPr>
            <w:r>
              <w:rPr>
                <w:b w:val="0"/>
                <w:sz w:val="19"/>
              </w:rPr>
              <w:t>AWS AI Agent Global Hackathon 2025</w:t>
            </w:r>
          </w:p>
        </w:tc>
        <w:tc>
          <w:tcPr>
            <w:tcW w:type="dxa" w:w="3969"/>
            <w:vAlign w:val="center"/>
            <w:shd w:fill="FFFFFF"/>
            <w:tcMar>
              <w:top w:w="70" w:type="dxa"/>
              <w:bottom w:w="70" w:type="dxa"/>
              <w:left w:w="90" w:type="dxa"/>
              <w:right w:w="90" w:type="dxa"/>
            </w:tcMar>
          </w:tcPr>
          <w:p>
            <w:pPr>
              <w:spacing w:after="0" w:line="259" w:lineRule="auto"/>
              <w:jc w:val="left"/>
            </w:pPr>
            <w:r>
              <w:rPr>
                <w:b w:val="0"/>
                <w:sz w:val="19"/>
              </w:rPr>
              <w:t>价值与影响 20%，创意 10%，技术实现 50%，功能 10%，演示 10%</w:t>
            </w:r>
          </w:p>
        </w:tc>
        <w:tc>
          <w:tcPr>
            <w:tcW w:type="dxa" w:w="3402"/>
            <w:vAlign w:val="center"/>
            <w:shd w:fill="FFFFFF"/>
            <w:tcMar>
              <w:top w:w="70" w:type="dxa"/>
              <w:bottom w:w="70" w:type="dxa"/>
              <w:left w:w="90" w:type="dxa"/>
              <w:right w:w="90" w:type="dxa"/>
            </w:tcMar>
          </w:tcPr>
          <w:p>
            <w:pPr>
              <w:spacing w:after="0" w:line="259" w:lineRule="auto"/>
              <w:jc w:val="left"/>
            </w:pPr>
            <w:r>
              <w:rPr>
                <w:b w:val="0"/>
                <w:sz w:val="19"/>
              </w:rPr>
              <w:t>架构、可复现性、真实运行及完整 Agent 流程</w:t>
            </w:r>
          </w:p>
        </w:tc>
      </w:tr>
      <w:tr>
        <w:trPr>
          <w:cantSplit/>
        </w:trPr>
        <w:tc>
          <w:tcPr>
            <w:tcW w:type="dxa" w:w="2268"/>
            <w:vAlign w:val="center"/>
            <w:shd w:fill="F5F7F9"/>
            <w:tcMar>
              <w:top w:w="70" w:type="dxa"/>
              <w:bottom w:w="70" w:type="dxa"/>
              <w:left w:w="90" w:type="dxa"/>
              <w:right w:w="90" w:type="dxa"/>
            </w:tcMar>
          </w:tcPr>
          <w:p>
            <w:pPr>
              <w:spacing w:after="0" w:line="259" w:lineRule="auto"/>
              <w:jc w:val="left"/>
            </w:pPr>
            <w:r>
              <w:rPr>
                <w:b w:val="0"/>
                <w:sz w:val="19"/>
              </w:rPr>
              <w:t>Amazon Nova AI Hackathon 2026</w:t>
            </w:r>
          </w:p>
        </w:tc>
        <w:tc>
          <w:tcPr>
            <w:tcW w:type="dxa" w:w="3969"/>
            <w:vAlign w:val="center"/>
            <w:shd w:fill="F5F7F9"/>
            <w:tcMar>
              <w:top w:w="70" w:type="dxa"/>
              <w:bottom w:w="70" w:type="dxa"/>
              <w:left w:w="90" w:type="dxa"/>
              <w:right w:w="90" w:type="dxa"/>
            </w:tcMar>
          </w:tcPr>
          <w:p>
            <w:pPr>
              <w:spacing w:after="0" w:line="259" w:lineRule="auto"/>
              <w:jc w:val="left"/>
            </w:pPr>
            <w:r>
              <w:rPr>
                <w:b w:val="0"/>
                <w:sz w:val="19"/>
              </w:rPr>
              <w:t>技术实现 60%，企业或社区影响 20%，创意创新 20%</w:t>
            </w:r>
          </w:p>
        </w:tc>
        <w:tc>
          <w:tcPr>
            <w:tcW w:type="dxa" w:w="3402"/>
            <w:vAlign w:val="center"/>
            <w:shd w:fill="F5F7F9"/>
            <w:tcMar>
              <w:top w:w="70" w:type="dxa"/>
              <w:bottom w:w="70" w:type="dxa"/>
              <w:left w:w="90" w:type="dxa"/>
              <w:right w:w="90" w:type="dxa"/>
            </w:tcMar>
          </w:tcPr>
          <w:p>
            <w:pPr>
              <w:spacing w:after="0" w:line="259" w:lineRule="auto"/>
              <w:jc w:val="left"/>
            </w:pPr>
            <w:r>
              <w:rPr>
                <w:b w:val="0"/>
                <w:sz w:val="19"/>
              </w:rPr>
              <w:t>技术集成和实际价值要有可验证证据</w:t>
            </w:r>
          </w:p>
        </w:tc>
      </w:tr>
      <w:tr>
        <w:trPr>
          <w:cantSplit/>
        </w:trPr>
        <w:tc>
          <w:tcPr>
            <w:tcW w:type="dxa" w:w="2268"/>
            <w:vAlign w:val="center"/>
            <w:shd w:fill="FFFFFF"/>
            <w:tcMar>
              <w:top w:w="70" w:type="dxa"/>
              <w:bottom w:w="70" w:type="dxa"/>
              <w:left w:w="90" w:type="dxa"/>
              <w:right w:w="90" w:type="dxa"/>
            </w:tcMar>
          </w:tcPr>
          <w:p>
            <w:pPr>
              <w:spacing w:after="0" w:line="259" w:lineRule="auto"/>
              <w:jc w:val="left"/>
            </w:pPr>
            <w:r>
              <w:rPr>
                <w:b w:val="0"/>
                <w:sz w:val="19"/>
              </w:rPr>
              <w:t>2026 云涌智生</w:t>
            </w:r>
          </w:p>
        </w:tc>
        <w:tc>
          <w:tcPr>
            <w:tcW w:type="dxa" w:w="3969"/>
            <w:vAlign w:val="center"/>
            <w:shd w:fill="FFFFFF"/>
            <w:tcMar>
              <w:top w:w="70" w:type="dxa"/>
              <w:bottom w:w="70" w:type="dxa"/>
              <w:left w:w="90" w:type="dxa"/>
              <w:right w:w="90" w:type="dxa"/>
            </w:tcMar>
          </w:tcPr>
          <w:p>
            <w:pPr>
              <w:spacing w:after="0" w:line="259" w:lineRule="auto"/>
              <w:jc w:val="left"/>
            </w:pPr>
            <w:r>
              <w:rPr>
                <w:b w:val="0"/>
                <w:sz w:val="19"/>
              </w:rPr>
              <w:t>创意度、技术可行性、商业应用性、主题切合度、完成度；各组权重在命题文件</w:t>
            </w:r>
          </w:p>
        </w:tc>
        <w:tc>
          <w:tcPr>
            <w:tcW w:type="dxa" w:w="3402"/>
            <w:vAlign w:val="center"/>
            <w:shd w:fill="FFFFFF"/>
            <w:tcMar>
              <w:top w:w="70" w:type="dxa"/>
              <w:bottom w:w="70" w:type="dxa"/>
              <w:left w:w="90" w:type="dxa"/>
              <w:right w:w="90" w:type="dxa"/>
            </w:tcMar>
          </w:tcPr>
          <w:p>
            <w:pPr>
              <w:spacing w:after="0" w:line="259" w:lineRule="auto"/>
              <w:jc w:val="left"/>
            </w:pPr>
            <w:r>
              <w:rPr>
                <w:b w:val="0"/>
                <w:sz w:val="19"/>
              </w:rPr>
              <w:t>主办方数据如何转化为可部署、可操作的展示</w:t>
            </w:r>
          </w:p>
        </w:tc>
      </w:tr>
      <w:tr>
        <w:trPr>
          <w:cantSplit/>
        </w:trPr>
        <w:tc>
          <w:tcPr>
            <w:tcW w:type="dxa" w:w="2268"/>
            <w:vAlign w:val="center"/>
            <w:shd w:fill="F5F7F9"/>
            <w:tcMar>
              <w:top w:w="70" w:type="dxa"/>
              <w:bottom w:w="70" w:type="dxa"/>
              <w:left w:w="90" w:type="dxa"/>
              <w:right w:w="90" w:type="dxa"/>
            </w:tcMar>
          </w:tcPr>
          <w:p>
            <w:pPr>
              <w:spacing w:after="0" w:line="259" w:lineRule="auto"/>
              <w:jc w:val="left"/>
            </w:pPr>
            <w:r>
              <w:rPr>
                <w:b w:val="0"/>
                <w:sz w:val="19"/>
              </w:rPr>
              <w:t>MLH 标准规则</w:t>
            </w:r>
          </w:p>
        </w:tc>
        <w:tc>
          <w:tcPr>
            <w:tcW w:type="dxa" w:w="3969"/>
            <w:vAlign w:val="center"/>
            <w:shd w:fill="F5F7F9"/>
            <w:tcMar>
              <w:top w:w="70" w:type="dxa"/>
              <w:bottom w:w="70" w:type="dxa"/>
              <w:left w:w="90" w:type="dxa"/>
              <w:right w:w="90" w:type="dxa"/>
            </w:tcMar>
          </w:tcPr>
          <w:p>
            <w:pPr>
              <w:spacing w:after="0" w:line="259" w:lineRule="auto"/>
              <w:jc w:val="left"/>
            </w:pPr>
            <w:r>
              <w:rPr>
                <w:b w:val="0"/>
                <w:sz w:val="19"/>
              </w:rPr>
              <w:t>在其指定适用场景下，技术、设计、完成度、学习四项等权</w:t>
            </w:r>
          </w:p>
        </w:tc>
        <w:tc>
          <w:tcPr>
            <w:tcW w:type="dxa" w:w="3402"/>
            <w:vAlign w:val="center"/>
            <w:shd w:fill="F5F7F9"/>
            <w:tcMar>
              <w:top w:w="70" w:type="dxa"/>
              <w:bottom w:w="70" w:type="dxa"/>
              <w:left w:w="90" w:type="dxa"/>
              <w:right w:w="90" w:type="dxa"/>
            </w:tcMar>
          </w:tcPr>
          <w:p>
            <w:pPr>
              <w:spacing w:after="0" w:line="259" w:lineRule="auto"/>
              <w:jc w:val="left"/>
            </w:pPr>
            <w:r>
              <w:rPr>
                <w:b w:val="0"/>
                <w:sz w:val="19"/>
              </w:rPr>
              <w:t>真实 Demo、用户体验及对新技术的掌握</w:t>
            </w:r>
          </w:p>
        </w:tc>
      </w:tr>
    </w:tbl>
    <w:p>
      <w:pPr>
        <w:spacing w:after="0"/>
      </w:pPr>
    </w:p>
    <w:p>
      <w:pPr/>
      <w:r>
        <w:t>来源：</w:t>
      </w:r>
      <w:hyperlink r:id="rId19">
        <w:r>
          <w:rPr>
            <w:color w:val="175C91"/>
          </w:rPr>
          <w:t>S04 AWS Agent 官方规则</w:t>
        </w:r>
      </w:hyperlink>
      <w:r>
        <w:t>、</w:t>
      </w:r>
      <w:hyperlink r:id="rId20">
        <w:r>
          <w:rPr>
            <w:color w:val="175C91"/>
          </w:rPr>
          <w:t>S05 Nova 官方规则</w:t>
        </w:r>
      </w:hyperlink>
      <w:r>
        <w:t>、</w:t>
      </w:r>
      <w:hyperlink r:id="rId21">
        <w:r>
          <w:rPr>
            <w:color w:val="175C91"/>
          </w:rPr>
          <w:t>S14 云涌智生官网</w:t>
        </w:r>
      </w:hyperlink>
      <w:r>
        <w:t>、</w:t>
      </w:r>
      <w:hyperlink r:id="rId22">
        <w:r>
          <w:rPr>
            <w:color w:val="175C91"/>
          </w:rPr>
          <w:t>S12 MLH 标准规则</w:t>
        </w:r>
      </w:hyperlink>
      <w:r>
        <w:t>。</w:t>
      </w:r>
    </w:p>
    <w:p>
      <w:pPr/>
      <w:r>
        <w:t>这些比赛中，AWS Agent 2025 的提交期已于 2025 年 10 月结束，Nova 2026 于 2026 年 3 月结束，云涌智生 2026 的线下赛安排在 8 月。本表用于研究，不表示它们目前仍可报名。</w:t>
      </w:r>
    </w:p>
    <w:p>
      <w:pPr>
        <w:pStyle w:val="Heading2"/>
      </w:pPr>
      <w:r>
        <w:t>具体交付要求有参考价值</w:t>
      </w:r>
    </w:p>
    <w:p>
      <w:pPr/>
      <w:r>
        <w:t>AWS Agent 2025 要求公开代码仓库、架构图、项目文字说明、约 3 分钟运行演示和已部署项目链接，并强调可安装和稳定运行。Nova 2026 也要求展示实际运行，评委无需观看超过 3 分钟的部分。上述时长、公开仓库和部署要求属于对应赛事，不能直接套用到 Broadcast Code 12。</w:t>
      </w:r>
    </w:p>
    <w:p>
      <w:pPr/>
      <w:r>
        <w:t>来源：</w:t>
      </w:r>
      <w:hyperlink r:id="rId19">
        <w:r>
          <w:rPr>
            <w:color w:val="175C91"/>
          </w:rPr>
          <w:t>S04</w:t>
        </w:r>
      </w:hyperlink>
      <w:r>
        <w:t>、</w:t>
      </w:r>
      <w:hyperlink r:id="rId20">
        <w:r>
          <w:rPr>
            <w:color w:val="175C91"/>
          </w:rPr>
          <w:t>S05</w:t>
        </w:r>
      </w:hyperlink>
      <w:r>
        <w:t>。</w:t>
      </w:r>
    </w:p>
    <w:p>
      <w:pPr>
        <w:pStyle w:val="Heading2"/>
      </w:pPr>
      <w:r>
        <w:t>不存在一套通用的获奖公式</w:t>
      </w:r>
    </w:p>
    <w:p>
      <w:pPr/>
      <w:r>
        <w:t>MLH 标准规则偏向学习与构建，对代码是否达到生产标准的要求不同于 AWS 的可复现性评分；MLH 也说明各活动可采用自己的规则。提前开发边界同样不同：MLH 标准通常要求比赛期间完成项目工作，而 AWS Agent 2025 允许符合条件的已有项目在赛期内显著更新。对本届能提前做什么，仍须单独确认。</w:t>
      </w:r>
    </w:p>
    <w:p>
      <w:pPr/>
      <w:r>
        <w:t>来源：</w:t>
      </w:r>
      <w:hyperlink r:id="rId22">
        <w:r>
          <w:rPr>
            <w:color w:val="175C91"/>
          </w:rPr>
          <w:t>S12</w:t>
        </w:r>
      </w:hyperlink>
      <w:r>
        <w:t>、</w:t>
      </w:r>
      <w:hyperlink r:id="rId19">
        <w:r>
          <w:rPr>
            <w:color w:val="175C91"/>
          </w:rPr>
          <w:t>S04</w:t>
        </w:r>
      </w:hyperlink>
      <w:r>
        <w:t>。</w:t>
      </w:r>
    </w:p>
    <w:p>
      <w:pPr/>
      <w:r>
        <w:t>讨论建议：先练习读数据、同步视频与生成标注，再确认哪些代码允许带入正式比赛；不要因为其他赛事允许，就默认本届也允许。</w:t>
      </w:r>
    </w:p>
    <w:p>
      <w:pPr>
        <w:pStyle w:val="Heading1"/>
      </w:pPr>
      <w:r>
        <w:t>值得阅读的获奖案例</w:t>
      </w:r>
    </w:p>
    <w:p>
      <w:pPr>
        <w:pStyle w:val="Heading2"/>
      </w:pPr>
      <w:r>
        <w:t>2019 NBA Hackathon 篮球分析冠军</w:t>
      </w:r>
    </w:p>
    <w:p>
      <w:pPr/>
      <w:r>
        <w:t>获奖者所在的圣母大学报道介绍了“何时使用教练挑战”的研究。团队用期望收益分析不同挑战情形，将结果表达为教练能实际使用的判断。报道列出的评审方向包括创意、统计严谨性和呈现质量。</w:t>
      </w:r>
    </w:p>
    <w:p>
      <w:pPr/>
      <w:r>
        <w:t>讨论价值：一个边界清楚、篮球意义明确的问题，也能构成有说服力的作品。对本届而言，可以讨论“这一回合为何产生空位”这样的具体问题，而不是一开始就覆盖所有战术。此为案例启发，不是对其获奖原因的独立因果验证。</w:t>
      </w:r>
    </w:p>
    <w:p>
      <w:pPr/>
      <w:r>
        <w:t>来源：</w:t>
      </w:r>
      <w:hyperlink r:id="rId23">
        <w:r>
          <w:rPr>
            <w:color w:val="175C91"/>
          </w:rPr>
          <w:t>S08 大学报道</w:t>
        </w:r>
      </w:hyperlink>
      <w:r>
        <w:t>。</w:t>
      </w:r>
    </w:p>
    <w:p>
      <w:pPr>
        <w:pStyle w:val="Heading2"/>
      </w:pPr>
      <w:r>
        <w:t>AWS Agent 2025 冠军 EcoLafaek</w:t>
      </w:r>
    </w:p>
    <w:p>
      <w:pPr/>
      <w:r>
        <w:t>官方获奖公告介绍，其将垃圾图片识别、数据分析和热点可视化连接成环境管理应用。项目作者文档进一步给出多轮工具调用流程，以及面向评委的快速试用入口、架构说明和组件文档。</w:t>
      </w:r>
    </w:p>
    <w:p>
      <w:pPr/>
      <w:r>
        <w:t>讨论价值：篮球作品也可以清楚展示“读取证据 → 分析 → 生成图形 → 给出解释”的过程。快速开始说明应告诉评委如何用一个输入复现一个结果。获奖身份由官方公告确认；技术实现细节来自作者文档，本轮未运行代码验证。</w:t>
      </w:r>
    </w:p>
    <w:p>
      <w:pPr/>
      <w:r>
        <w:t>作者明确声明代码虽公开可见，但未授予任意使用、修改和分发许可。因此这里用于研究呈现方式，不作为可直接复用的开源模板。</w:t>
      </w:r>
    </w:p>
    <w:p>
      <w:pPr/>
      <w:r>
        <w:t>来源：</w:t>
      </w:r>
      <w:hyperlink r:id="rId24">
        <w:r>
          <w:rPr>
            <w:color w:val="175C91"/>
          </w:rPr>
          <w:t>S06 官方获奖公告</w:t>
        </w:r>
      </w:hyperlink>
      <w:r>
        <w:t>、</w:t>
      </w:r>
      <w:hyperlink r:id="rId25">
        <w:r>
          <w:rPr>
            <w:color w:val="175C91"/>
          </w:rPr>
          <w:t>S17 项目文档</w:t>
        </w:r>
      </w:hyperlink>
      <w:r>
        <w:t>。</w:t>
      </w:r>
    </w:p>
    <w:p>
      <w:pPr>
        <w:pStyle w:val="Heading2"/>
      </w:pPr>
      <w:r>
        <w:t>AWS Agent 2025 亚军 AegisAgent</w:t>
      </w:r>
    </w:p>
    <w:p>
      <w:pPr/>
      <w:r>
        <w:t>官方公告描述了面向保险审核的证据整理、条款解释和合规推理流程。值得借鉴的是输出结论时保留依据，而不是只有一段回答；公告中的性能和开发速度描述未在本轮独立复测。</w:t>
      </w:r>
    </w:p>
    <w:p>
      <w:pPr/>
      <w:r>
        <w:t>讨论建议：每条篮球解说都可以关联回合编号、视频时间点及引用指标。对于证据不足的战术解释，应保留不确定性。</w:t>
      </w:r>
    </w:p>
    <w:p>
      <w:pPr/>
      <w:r>
        <w:t>来源：</w:t>
      </w:r>
      <w:hyperlink r:id="rId24">
        <w:r>
          <w:rPr>
            <w:color w:val="175C91"/>
          </w:rPr>
          <w:t>S06 官方获奖公告</w:t>
        </w:r>
      </w:hyperlink>
      <w:r>
        <w:t>。</w:t>
      </w:r>
    </w:p>
    <w:p>
      <w:pPr>
        <w:pStyle w:val="Heading2"/>
      </w:pPr>
      <w:r>
        <w:t>雄鹿队篮球分析黑客松</w:t>
      </w:r>
    </w:p>
    <w:p>
      <w:pPr/>
      <w:r>
        <w:t>雄鹿官方公告显示，其赛事围绕球队篮球与商业问题开展分析，并向球队管理人员展示结果。这提供了另一种受众定位：专业球队决策者与普通球迷需要不同的解释深度。该赛事并非本届，也不能用于推断本届年龄、学生身份或队伍人数限制。</w:t>
      </w:r>
    </w:p>
    <w:p>
      <w:pPr/>
      <w:r>
        <w:t>来源：</w:t>
      </w:r>
      <w:hyperlink r:id="rId26">
        <w:r>
          <w:rPr>
            <w:color w:val="175C91"/>
          </w:rPr>
          <w:t>S07 雄鹿官方公告</w:t>
        </w:r>
      </w:hyperlink>
      <w:r>
        <w:t>。</w:t>
      </w:r>
    </w:p>
    <w:p>
      <w:pPr>
        <w:pStyle w:val="Heading1"/>
      </w:pPr>
      <w:r>
        <w:t>演示和呈现可以提前学习什么</w:t>
      </w:r>
    </w:p>
    <w:p>
      <w:pPr/>
      <w:r>
        <w:t>MLH 主办方指南建议短时间内展示运行成果，并给出两分钟演示视频作为评审辅助材料的做法。它说明的是自身组织建议，不是本届路演时限。</w:t>
      </w:r>
    </w:p>
    <w:p>
      <w:pPr/>
      <w:r>
        <w:t>来源：</w:t>
      </w:r>
      <w:hyperlink r:id="rId27">
        <w:r>
          <w:rPr>
            <w:color w:val="175C91"/>
          </w:rPr>
          <w:t>S13 MLH 评审指南</w:t>
        </w:r>
      </w:hyperlink>
      <w:r>
        <w:t>。</w:t>
      </w:r>
    </w:p>
    <w:p>
      <w:pPr/>
      <w:r>
        <w:t>结合本届已公布的“数据准确性、可视化表达、篮球叙事”等方向，可讨论以下展示结构：</w:t>
      </w:r>
    </w:p>
    <w:p>
      <w:pPr/>
      <w:r>
        <w:t>1. 先让观众看一小段原始回合，明确“哪里看不懂”。</w:t>
      </w:r>
    </w:p>
    <w:p>
      <w:pPr/>
      <w:r>
        <w:t>2. 再展示相同回合的标注与同步解说。</w:t>
      </w:r>
    </w:p>
    <w:p>
      <w:pPr/>
      <w:r>
        <w:t>3. 选一处关键判断，打开数据依据和视频时间点。</w:t>
      </w:r>
    </w:p>
    <w:p>
      <w:pPr/>
      <w:r>
        <w:t>4. 展示从输入到输出的运行过程，而不只播放预先制作的效果片。</w:t>
      </w:r>
    </w:p>
    <w:p>
      <w:pPr/>
      <w:r>
        <w:t>5. 说明还存在的限制，例如遮挡、时间同步误差或数据缺失。</w:t>
      </w:r>
    </w:p>
    <w:p>
      <w:pPr/>
      <w:r>
        <w:t>以上是我们的讨论建议。展示时长、视频格式和现场联网条件，以本届正式规范为准。</w:t>
      </w:r>
    </w:p>
    <w:p>
      <w:pPr>
        <w:pStyle w:val="Heading1"/>
      </w:pPr>
      <w:r>
        <w:t>与本届接近但可信度不足的线索</w:t>
      </w:r>
    </w:p>
    <w:p>
      <w:pPr/>
      <w:r>
        <w:t>找到 2026 年 6 月“DraftCode NBA 模拟球探”相关媒体报道，题材为选秀预测。它可作为继续追踪历史赛事的入口，但不宜直接引用为官方规则：</w:t>
      </w:r>
    </w:p>
    <w:p>
      <w:pPr>
        <w:pStyle w:val="ListBullet"/>
      </w:pPr>
      <w:r>
        <w:t>参赛人数在同一篇文章中出现 60 人与 66 人两个口径。</w:t>
      </w:r>
    </w:p>
    <w:p>
      <w:pPr>
        <w:pStyle w:val="ListBullet"/>
      </w:pPr>
      <w:r>
        <w:t>前文评审维度包含输出速度，后文改为路演呈现，未解释是否为不同阶段。</w:t>
      </w:r>
    </w:p>
    <w:p>
      <w:pPr>
        <w:pStyle w:val="ListBullet"/>
      </w:pPr>
      <w:r>
        <w:t>文中称 NBA 与 AWS 于 2026 年 5 月宣布合作，而 NBA 官方对应的多年合作公告发表于 2025 年 10 月 1 日；两者关系需要进一步确认。</w:t>
      </w:r>
    </w:p>
    <w:p>
      <w:pPr>
        <w:pStyle w:val="ListBullet"/>
      </w:pPr>
      <w:r>
        <w:t>本轮未找到可相互核验的原始评分表、官方冠军榜单或获奖项目仓库。</w:t>
      </w:r>
    </w:p>
    <w:p>
      <w:pPr/>
      <w:r>
        <w:t>因此没有将报道中的名次、得分、导师人数或评分方式纳入“已确认事实”。多个网站转载同一篇稿件，也不构成多份独立证据。</w:t>
      </w:r>
    </w:p>
    <w:p>
      <w:pPr/>
      <w:r>
        <w:t>来源：</w:t>
      </w:r>
      <w:hyperlink r:id="rId28">
        <w:r>
          <w:rPr>
            <w:color w:val="175C91"/>
          </w:rPr>
          <w:t>S15 媒体线索</w:t>
        </w:r>
      </w:hyperlink>
      <w:r>
        <w:t>、</w:t>
      </w:r>
      <w:hyperlink r:id="rId17">
        <w:r>
          <w:rPr>
            <w:color w:val="175C91"/>
          </w:rPr>
          <w:t>S16 NBA 官方公告</w:t>
        </w:r>
      </w:hyperlink>
      <w:r>
        <w:t>。</w:t>
      </w:r>
    </w:p>
    <w:p>
      <w:pPr>
        <w:pStyle w:val="Heading1"/>
      </w:pPr>
      <w:r>
        <w:t>团队下一次讨论可以聚焦的问题</w:t>
      </w:r>
    </w:p>
    <w:p>
      <w:pPr/>
      <w:r>
        <w:t>以下是讨论问题，不是报名答案或已确定方案。</w:t>
      </w:r>
    </w:p>
    <w:p>
      <w:pPr>
        <w:pStyle w:val="ListBullet"/>
      </w:pPr>
      <w:r>
        <w:t>目标观众是谁：普通球迷、资深球迷还是解说员？</w:t>
      </w:r>
    </w:p>
    <w:p>
      <w:pPr>
        <w:pStyle w:val="ListBullet"/>
      </w:pPr>
      <w:r>
        <w:t>最想解释哪一种现象：高难度投篮、无球牵制、轮转失位还是关键回合贡献？</w:t>
      </w:r>
    </w:p>
    <w:p>
      <w:pPr>
        <w:pStyle w:val="ListBullet"/>
      </w:pPr>
      <w:r>
        <w:t>若只拿到事件级指标、没有球员坐标，是否仍能完成可信的可视化？</w:t>
      </w:r>
    </w:p>
    <w:p>
      <w:pPr>
        <w:pStyle w:val="ListBullet"/>
      </w:pPr>
      <w:r>
        <w:t>我们如何证明解说内容来自数据，而不是模型补写？</w:t>
      </w:r>
    </w:p>
    <w:p>
      <w:pPr>
        <w:pStyle w:val="ListBullet"/>
      </w:pPr>
      <w:r>
        <w:t>一段演示中最能体现优势的前后对比是什么？</w:t>
      </w:r>
    </w:p>
    <w:p>
      <w:pPr>
        <w:pStyle w:val="ListBullet"/>
      </w:pPr>
      <w:r>
        <w:t>需要准备哪些核验记录：时间偏差、球员匹配错误、事实性错误、生成耗时、重复运行结果？</w:t>
      </w:r>
    </w:p>
    <w:p>
      <w:pPr>
        <w:pStyle w:val="ListBullet"/>
      </w:pPr>
      <w:r>
        <w:t>哪些内容必须等组委会确认：数据格式、外部模型、提前开发、资产许可、代码公开与路演时长？</w:t>
      </w:r>
    </w:p>
    <w:p>
      <w:pPr/>
      <w:r>
        <w:t>建议先读 NBA 的四个指标说明，再比较 AWS 的两份规则，最后看获奖案例的呈现方式。这一阅读顺序能让讨论先建立在正确的数据含义上。</w:t>
      </w:r>
    </w:p>
    <w:p>
      <w:pPr>
        <w:pStyle w:val="Heading1"/>
      </w:pPr>
      <w:r>
        <w:t>四 奖项条款与待确认事项</w:t>
      </w:r>
    </w:p>
    <w:p>
      <w:pPr>
        <w:pStyle w:val="Heading2"/>
      </w:pPr>
      <w:r>
        <w:t>奖项与保障</w:t>
      </w:r>
    </w:p>
    <w:p>
      <w:pPr>
        <w:pStyle w:val="ListBullet"/>
      </w:pPr>
      <w:r>
        <w:t>TOP 1：2026 亚马逊云科技 re:Invent 门票、常住地至拉斯维加斯往返机票、当地 4 晚酒店；冠军队球衣。官网列出库里、爱德华兹、约基奇款式，数量、尺码、发放方式待通知。</w:t>
      </w:r>
    </w:p>
    <w:p>
      <w:pPr>
        <w:pStyle w:val="ListBullet"/>
      </w:pPr>
      <w:r>
        <w:t>TOP 2–4：获奖者每人 1 台电子产品，另任选 Wilson 联盟篮球或 NBA Style 黑色短袖一项。</w:t>
      </w:r>
    </w:p>
    <w:p>
      <w:pPr>
        <w:pStyle w:val="ListBullet"/>
      </w:pPr>
      <w:r>
        <w:t>TOP 5–8：获奖者每人 1 台电子产品及 1 个 NBA 双肩包。</w:t>
      </w:r>
    </w:p>
    <w:p>
      <w:pPr>
        <w:pStyle w:val="ListBullet"/>
      </w:pPr>
      <w:r>
        <w:t>通过筛选的入围选手：赛事装备包及 10/09、10/10 两晚珠海酒店住宿。</w:t>
      </w:r>
    </w:p>
    <w:p>
      <w:pPr>
        <w:pStyle w:val="ListBullet"/>
      </w:pPr>
      <w:r>
        <w:t>所有参赛者有资格前往澳门 NBA House 观看本赛事路演决赛；这不是 NBA 球赛门票承诺。</w:t>
      </w:r>
    </w:p>
    <w:p>
      <w:pPr>
        <w:pStyle w:val="ListBullet"/>
      </w:pPr>
      <w:r>
        <w:t>按时提交合格作品有机会获得完赛周边；分享参赛过程有机会获社交媒体互动奖，均不是人人保证获得。</w:t>
      </w:r>
    </w:p>
    <w:p>
      <w:pPr>
        <w:pStyle w:val="ListBullet"/>
      </w:pPr>
      <w:r>
        <w:t>奖品可能微调，以最终通知为准。未见珠海往返交通、签注费用或澳门住宿报销承诺。</w:t>
      </w:r>
    </w:p>
    <w:p>
      <w:pPr>
        <w:pStyle w:val="Heading2"/>
      </w:pPr>
      <w:r>
        <w:t>报名条款</w:t>
      </w:r>
    </w:p>
    <w:p>
      <w:pPr>
        <w:pStyle w:val="ListBullet"/>
      </w:pPr>
      <w:r/>
      <w:hyperlink r:id="rId29">
        <w:r>
          <w:rPr>
            <w:color w:val="175C91"/>
          </w:rPr>
          <w:t>亚马逊云科技活动条款和条件</w:t>
        </w:r>
      </w:hyperlink>
      <w:r/>
    </w:p>
    <w:p>
      <w:pPr>
        <w:pStyle w:val="ListBullet"/>
      </w:pPr>
      <w:r/>
      <w:hyperlink r:id="rId30">
        <w:r>
          <w:rPr>
            <w:color w:val="175C91"/>
          </w:rPr>
          <w:t>亚马逊云科技行为规范</w:t>
        </w:r>
      </w:hyperlink>
      <w:r/>
    </w:p>
    <w:p>
      <w:pPr>
        <w:pStyle w:val="ListBullet"/>
      </w:pPr>
      <w:r>
        <w:t>《Broadcast Code 12 黑客松极限赛条款和条件》：本次未取得直达链接及正文。</w:t>
      </w:r>
    </w:p>
    <w:p>
      <w:pPr/>
      <w:r>
        <w:t>以上仅记录条款入口，未分析条款正文。页面出现 CSDN 登录入口，不能据此断言必须登录、能够修改报名或查看审核状态。未核实到赛事专用邮箱、电话或联系群。</w:t>
      </w:r>
    </w:p>
    <w:p>
      <w:pPr>
        <w:pStyle w:val="Heading2"/>
      </w:pPr>
      <w:r>
        <w:t>需要向组委会核实的问题</w:t>
      </w:r>
    </w:p>
    <w:p>
      <w:pPr/>
      <w:r>
        <w:t>1. 报名筛选依据与权重，当前身份及参赛次数的完整选项。</w:t>
      </w:r>
    </w:p>
    <w:p>
      <w:pPr/>
      <w:r>
        <w:t>2. 组队确认流程、是否每位成员单独提交、报名是否可修改。</w:t>
      </w:r>
    </w:p>
    <w:p>
      <w:pPr/>
      <w:r>
        <w:t>3. 年龄等资格限制及比赛专用条款全文。</w:t>
      </w:r>
    </w:p>
    <w:p>
      <w:pPr/>
      <w:r>
        <w:t>4. 视频与数据格式、采样频率、坐标系、同步方式、字段定义、数据许可。</w:t>
      </w:r>
    </w:p>
    <w:p>
      <w:pPr/>
      <w:r>
        <w:t>5. 是否必须使用 AWS、提供何种账号/额度、允许使用哪些外部模型与服务。</w:t>
      </w:r>
    </w:p>
    <w:p>
      <w:pPr/>
      <w:r>
        <w:t>6. 允许提前准备哪些代码，外部资产及开源项目的使用边界。</w:t>
      </w:r>
    </w:p>
    <w:p>
      <w:pPr/>
      <w:r>
        <w:t>7. 现场开发时长、提交入口、代码开放要求、视频及路演时长、网络与算力条件。</w:t>
      </w:r>
    </w:p>
    <w:p>
      <w:pPr/>
      <w:r>
        <w:t>8. 官方评分细则及权重。</w:t>
      </w:r>
    </w:p>
    <w:p>
      <w:pPr/>
      <w:r>
        <w:t>9. 集合地点、交通安排、通关要求与赛事联系渠道。</w:t>
      </w:r>
    </w:p>
    <w:p>
      <w:pPr/>
      <w:r>
        <w:t>这些是后续核实问题，不是已经公布的规则。本资料不包含报名答案或团队能力假设。</w:t>
      </w:r>
    </w:p>
    <w:p>
      <w:r>
        <w:t>报名截止前优先确认组队流程、最新字段、参赛条件和条款；取得参赛资格后，优先确认数据接口、技术限制、提前开发边界和作品提交规范。此为团队工作顺序建议。</w:t>
      </w:r>
    </w:p>
    <w:p>
      <w:r>
        <w:br w:type="page"/>
      </w:r>
    </w:p>
    <w:p>
      <w:pPr>
        <w:pStyle w:val="Heading1"/>
      </w:pPr>
      <w:r>
        <w:t>五 来源索引</w:t>
      </w:r>
    </w:p>
    <w:p>
      <w:r>
        <w:t>本手册综合赛事官网、报名页及 17 个扩展来源。网页可能更新，以下链接用于复核。发布时间为空的页面没有统一补写日期。采集日期为 2026 年 9 月 17 日；官网赛程以月日显示，按当前 2026 年招募背景整理。</w:t>
      </w:r>
    </w:p>
    <w:p>
      <w:pPr>
        <w:pStyle w:val="ListBullet"/>
      </w:pPr>
      <w:r/>
      <w:hyperlink r:id="rId10">
        <w:r>
          <w:rPr>
            <w:color w:val="175C91"/>
          </w:rPr>
          <w:t>本届赛事官网</w:t>
        </w:r>
      </w:hyperlink>
      <w:r/>
    </w:p>
    <w:p>
      <w:pPr>
        <w:pStyle w:val="ListBullet"/>
      </w:pPr>
      <w:r/>
      <w:hyperlink r:id="rId11">
        <w:r>
          <w:rPr>
            <w:color w:val="175C91"/>
          </w:rPr>
          <w:t>本届报名表</w:t>
        </w:r>
      </w:hyperlink>
      <w:r/>
    </w:p>
    <w:p>
      <w:pPr>
        <w:pStyle w:val="ListBullet"/>
      </w:pPr>
      <w:r/>
      <w:hyperlink r:id="rId29">
        <w:r>
          <w:rPr>
            <w:color w:val="175C91"/>
          </w:rPr>
          <w:t>亚马逊云科技活动条款和条件</w:t>
        </w:r>
      </w:hyperlink>
      <w:r/>
    </w:p>
    <w:p>
      <w:pPr>
        <w:pStyle w:val="ListBullet"/>
      </w:pPr>
      <w:r/>
      <w:hyperlink r:id="rId30">
        <w:r>
          <w:rPr>
            <w:color w:val="175C91"/>
          </w:rPr>
          <w:t>亚马逊云科技行为规范</w:t>
        </w:r>
      </w:hyperlink>
      <w:r/>
    </w:p>
    <w:p>
      <w:pPr>
        <w:keepNext/>
      </w:pPr>
      <w:r>
        <w:t xml:space="preserve">S01  </w:t>
      </w:r>
      <w:hyperlink r:id="rId12">
        <w:r>
          <w:rPr>
            <w:color w:val="175C91"/>
          </w:rPr>
          <w:t>Inside The Game: Stat Glossary | NBA.com</w:t>
        </w:r>
      </w:hyperlink>
      <w:r/>
    </w:p>
    <w:p>
      <w:pPr>
        <w:spacing w:after="160"/>
      </w:pPr>
      <w:r>
        <w:rPr>
          <w:sz w:val="18"/>
        </w:rPr>
        <w:t>官方或主办方页面；页面发布时间 2025-10-20</w:t>
      </w:r>
    </w:p>
    <w:p>
      <w:pPr>
        <w:keepNext/>
      </w:pPr>
      <w:r>
        <w:t xml:space="preserve">S02  </w:t>
      </w:r>
      <w:hyperlink r:id="rId16">
        <w:r>
          <w:rPr>
            <w:color w:val="175C91"/>
          </w:rPr>
          <w:t>Leverage Score aims to quantify high-impact moments in games | NBA.com</w:t>
        </w:r>
      </w:hyperlink>
      <w:r/>
    </w:p>
    <w:p>
      <w:pPr>
        <w:spacing w:after="160"/>
      </w:pPr>
      <w:r>
        <w:rPr>
          <w:sz w:val="18"/>
        </w:rPr>
        <w:t>官方或主办方页面；页面发布时间 2026-01-22</w:t>
      </w:r>
    </w:p>
    <w:p>
      <w:pPr>
        <w:keepNext/>
      </w:pPr>
      <w:r>
        <w:t xml:space="preserve">S03  </w:t>
      </w:r>
      <w:hyperlink r:id="rId14">
        <w:r>
          <w:rPr>
            <w:color w:val="175C91"/>
          </w:rPr>
          <w:t>Intro to Gravity | NBA.com</w:t>
        </w:r>
      </w:hyperlink>
      <w:r/>
    </w:p>
    <w:p>
      <w:pPr>
        <w:spacing w:after="160"/>
      </w:pPr>
      <w:r>
        <w:rPr>
          <w:sz w:val="18"/>
        </w:rPr>
        <w:t>官方或主办方页面；页面发布时间 2025-12-16</w:t>
      </w:r>
    </w:p>
    <w:p>
      <w:pPr>
        <w:keepNext/>
      </w:pPr>
      <w:r>
        <w:t xml:space="preserve">S04  </w:t>
      </w:r>
      <w:hyperlink r:id="rId19">
        <w:r>
          <w:rPr>
            <w:color w:val="175C91"/>
          </w:rPr>
          <w:t>AWS AI Agent Global Hackathon</w:t>
        </w:r>
      </w:hyperlink>
      <w:r/>
    </w:p>
    <w:p>
      <w:pPr>
        <w:spacing w:after="160"/>
      </w:pPr>
      <w:r>
        <w:rPr>
          <w:sz w:val="18"/>
        </w:rPr>
        <w:t>官方或主办方页面</w:t>
      </w:r>
    </w:p>
    <w:p>
      <w:pPr>
        <w:keepNext/>
      </w:pPr>
      <w:r>
        <w:t xml:space="preserve">S05  </w:t>
      </w:r>
      <w:hyperlink r:id="rId20">
        <w:r>
          <w:rPr>
            <w:color w:val="175C91"/>
          </w:rPr>
          <w:t>Amazon Nova AI Hackathon</w:t>
        </w:r>
      </w:hyperlink>
      <w:r/>
    </w:p>
    <w:p>
      <w:pPr>
        <w:spacing w:after="160"/>
      </w:pPr>
      <w:r>
        <w:rPr>
          <w:sz w:val="18"/>
        </w:rPr>
        <w:t>官方或主办方页面</w:t>
      </w:r>
    </w:p>
    <w:p>
      <w:pPr>
        <w:keepNext/>
      </w:pPr>
      <w:r>
        <w:t xml:space="preserve">S06  </w:t>
      </w:r>
      <w:hyperlink r:id="rId24">
        <w:r>
          <w:rPr>
            <w:color w:val="175C91"/>
          </w:rPr>
          <w:t>AWS AI Agent Global Hackathon</w:t>
        </w:r>
      </w:hyperlink>
      <w:r/>
    </w:p>
    <w:p>
      <w:pPr>
        <w:spacing w:after="160"/>
      </w:pPr>
      <w:r>
        <w:rPr>
          <w:sz w:val="18"/>
        </w:rPr>
        <w:t>官方或主办方页面</w:t>
      </w:r>
    </w:p>
    <w:p>
      <w:pPr>
        <w:keepNext/>
      </w:pPr>
      <w:r>
        <w:t xml:space="preserve">S07  </w:t>
      </w:r>
      <w:hyperlink r:id="rId26">
        <w:r>
          <w:rPr>
            <w:color w:val="175C91"/>
          </w:rPr>
          <w:t>Milwaukee Bucks To Host Second Annual Analytics Hackathon | Milwaukee Bucks</w:t>
        </w:r>
      </w:hyperlink>
      <w:r/>
    </w:p>
    <w:p>
      <w:pPr>
        <w:spacing w:after="160"/>
      </w:pPr>
      <w:r>
        <w:rPr>
          <w:sz w:val="18"/>
        </w:rPr>
        <w:t>官方或主办方页面</w:t>
      </w:r>
    </w:p>
    <w:p>
      <w:pPr>
        <w:keepNext/>
      </w:pPr>
      <w:r>
        <w:t xml:space="preserve">S08  </w:t>
      </w:r>
      <w:hyperlink r:id="rId23">
        <w:r>
          <w:rPr>
            <w:color w:val="175C91"/>
          </w:rPr>
          <w:t>Notre Dame business student wins NBA Hackathon - Notre Dame Business Mendoza College of Business</w:t>
        </w:r>
      </w:hyperlink>
      <w:r/>
    </w:p>
    <w:p>
      <w:pPr>
        <w:spacing w:after="160"/>
      </w:pPr>
      <w:r>
        <w:rPr>
          <w:sz w:val="18"/>
        </w:rPr>
        <w:t>获奖者所在大学报道；页面发布时间 2019-09-25</w:t>
      </w:r>
    </w:p>
    <w:p>
      <w:pPr>
        <w:keepNext/>
      </w:pPr>
      <w:r>
        <w:t xml:space="preserve">S09  </w:t>
      </w:r>
      <w:hyperlink r:id="rId13">
        <w:r>
          <w:rPr>
            <w:color w:val="175C91"/>
          </w:rPr>
          <w:t>Intro to Expected Field Goal Percentage | NBA.com</w:t>
        </w:r>
      </w:hyperlink>
      <w:r/>
    </w:p>
    <w:p>
      <w:pPr>
        <w:spacing w:after="160"/>
      </w:pPr>
      <w:r>
        <w:rPr>
          <w:sz w:val="18"/>
        </w:rPr>
        <w:t>官方或主办方页面；页面发布时间 2025-10-01</w:t>
      </w:r>
    </w:p>
    <w:p>
      <w:pPr>
        <w:keepNext/>
      </w:pPr>
      <w:r>
        <w:t xml:space="preserve">S10  </w:t>
      </w:r>
      <w:hyperlink r:id="rId15">
        <w:r>
          <w:rPr>
            <w:color w:val="175C91"/>
          </w:rPr>
          <w:t>Intro to Defensive Pressure Score | NBA.com</w:t>
        </w:r>
      </w:hyperlink>
      <w:r/>
    </w:p>
    <w:p>
      <w:pPr>
        <w:spacing w:after="160"/>
      </w:pPr>
      <w:r>
        <w:rPr>
          <w:sz w:val="18"/>
        </w:rPr>
        <w:t>官方或主办方页面；页面发布时间 2025-10-01</w:t>
      </w:r>
    </w:p>
    <w:p>
      <w:pPr>
        <w:keepNext/>
      </w:pPr>
      <w:r>
        <w:t xml:space="preserve">S11  </w:t>
      </w:r>
      <w:hyperlink r:id="rId18">
        <w:r>
          <w:rPr>
            <w:color w:val="175C91"/>
          </w:rPr>
          <w:t>AWS 上的 NBA</w:t>
        </w:r>
      </w:hyperlink>
      <w:r/>
    </w:p>
    <w:p>
      <w:pPr>
        <w:spacing w:after="160"/>
      </w:pPr>
      <w:r>
        <w:rPr>
          <w:sz w:val="18"/>
        </w:rPr>
        <w:t>官方或主办方页面</w:t>
      </w:r>
    </w:p>
    <w:p>
      <w:pPr>
        <w:keepNext/>
      </w:pPr>
      <w:r>
        <w:t xml:space="preserve">S12  </w:t>
      </w:r>
      <w:hyperlink r:id="rId22">
        <w:r>
          <w:rPr>
            <w:color w:val="175C91"/>
          </w:rPr>
          <w:t>mlh-policies/standard-hackathon-rules.md at main · MLH/mlh-policies</w:t>
        </w:r>
      </w:hyperlink>
      <w:r/>
    </w:p>
    <w:p>
      <w:pPr>
        <w:spacing w:after="160"/>
      </w:pPr>
      <w:r>
        <w:rPr>
          <w:sz w:val="18"/>
        </w:rPr>
        <w:t>官方或主办方页面</w:t>
      </w:r>
    </w:p>
    <w:p>
      <w:pPr>
        <w:keepNext/>
      </w:pPr>
      <w:r>
        <w:t xml:space="preserve">S13  </w:t>
      </w:r>
      <w:hyperlink r:id="rId27">
        <w:r>
          <w:rPr>
            <w:color w:val="175C91"/>
          </w:rPr>
          <w:t>Judging Plan | Hackathon Organizer Guide</w:t>
        </w:r>
      </w:hyperlink>
      <w:r/>
    </w:p>
    <w:p>
      <w:pPr>
        <w:spacing w:after="160"/>
      </w:pPr>
      <w:r>
        <w:rPr>
          <w:sz w:val="18"/>
        </w:rPr>
        <w:t>官方或主办方页面；页面发布时间 2026-03-09</w:t>
      </w:r>
    </w:p>
    <w:p>
      <w:pPr>
        <w:keepNext/>
      </w:pPr>
      <w:r>
        <w:t xml:space="preserve">S14  </w:t>
      </w:r>
      <w:hyperlink r:id="rId21">
        <w:r>
          <w:rPr>
            <w:color w:val="175C91"/>
          </w:rPr>
          <w:t>雲湧智生｜臺灣生成式AI應用黑客松競賽</w:t>
        </w:r>
      </w:hyperlink>
      <w:r/>
    </w:p>
    <w:p>
      <w:pPr>
        <w:spacing w:after="160"/>
      </w:pPr>
      <w:r>
        <w:rPr>
          <w:sz w:val="18"/>
        </w:rPr>
        <w:t>官方或主办方页面</w:t>
      </w:r>
    </w:p>
    <w:p>
      <w:pPr>
        <w:keepNext/>
      </w:pPr>
      <w:r>
        <w:t xml:space="preserve">S15  </w:t>
      </w:r>
      <w:hyperlink r:id="rId28">
        <w:r>
          <w:rPr>
            <w:color w:val="175C91"/>
          </w:rPr>
          <w:t>从代码到赛场：亚马逊云科技用黑客松打开了体育科技的想象空间</w:t>
        </w:r>
      </w:hyperlink>
      <w:r/>
    </w:p>
    <w:p>
      <w:pPr>
        <w:spacing w:after="160"/>
      </w:pPr>
      <w:r>
        <w:rPr>
          <w:sz w:val="18"/>
        </w:rPr>
        <w:t>第三方自媒体报道 待核实；页面发布时间 2026-06-26</w:t>
      </w:r>
    </w:p>
    <w:p>
      <w:pPr>
        <w:keepNext/>
      </w:pPr>
      <w:r>
        <w:t xml:space="preserve">S16  </w:t>
      </w:r>
      <w:hyperlink r:id="rId17">
        <w:r>
          <w:rPr>
            <w:color w:val="175C91"/>
          </w:rPr>
          <w:t>NBA and AWS announce new multi-year partnership to power the next era of basketball innovation | NBA.com</w:t>
        </w:r>
      </w:hyperlink>
      <w:r/>
    </w:p>
    <w:p>
      <w:pPr>
        <w:spacing w:after="160"/>
      </w:pPr>
      <w:r>
        <w:rPr>
          <w:sz w:val="18"/>
        </w:rPr>
        <w:t>官方或主办方页面；页面发布时间 2025-10-01</w:t>
      </w:r>
    </w:p>
    <w:p>
      <w:pPr>
        <w:keepNext/>
      </w:pPr>
      <w:r>
        <w:t xml:space="preserve">S17  </w:t>
      </w:r>
      <w:hyperlink r:id="rId25">
        <w:r>
          <w:rPr>
            <w:color w:val="175C91"/>
          </w:rPr>
          <w:t>EcoLafaek Documentation</w:t>
        </w:r>
      </w:hyperlink>
      <w:r/>
    </w:p>
    <w:p>
      <w:pPr>
        <w:spacing w:after="160"/>
      </w:pPr>
      <w:r>
        <w:rPr>
          <w:sz w:val="18"/>
        </w:rPr>
        <w:t>项目作者文档</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Broadcast Code 12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Microsoft YaHei" w:hAnsi="Microsoft YaHe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Microsoft YaHei" w:hAnsi="Microsoft YaHei" w:eastAsia="Microsoft YaHei"/>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pPr>
    <w:rPr>
      <w:rFonts w:ascii="Microsoft YaHei" w:hAnsi="Microsoft YaHei" w:eastAsia="Microsoft YaHe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contextualSpacing/>
    </w:pPr>
    <w:rPr>
      <w:rFonts w:ascii="Microsoft YaHei" w:hAnsi="Microsoft YaHei" w:eastAsia="Microsoft YaHe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uilderx.csdn.net/bcast-code?from=yaofoundation#eligibility" TargetMode="External"/><Relationship Id="rId11" Type="http://schemas.openxmlformats.org/officeDocument/2006/relationships/hyperlink" Target="https://marketing.csdn.net/questions/Q2609071804379567473?from=yaofoundation" TargetMode="External"/><Relationship Id="rId12" Type="http://schemas.openxmlformats.org/officeDocument/2006/relationships/hyperlink" Target="https://www.nba.com/news/inside-the-game-stat-glossary" TargetMode="External"/><Relationship Id="rId13" Type="http://schemas.openxmlformats.org/officeDocument/2006/relationships/hyperlink" Target="https://www.nba.com/news/intro-to-expected-field-goal-percentage" TargetMode="External"/><Relationship Id="rId14" Type="http://schemas.openxmlformats.org/officeDocument/2006/relationships/hyperlink" Target="https://www.nba.com/news/intro-to-gravity-stat-nba-2025" TargetMode="External"/><Relationship Id="rId15" Type="http://schemas.openxmlformats.org/officeDocument/2006/relationships/hyperlink" Target="https://www.nba.com/news/understanding-defensive-pressure-score" TargetMode="External"/><Relationship Id="rId16" Type="http://schemas.openxmlformats.org/officeDocument/2006/relationships/hyperlink" Target="https://www.nba.com/news/leverage-stat-explainer" TargetMode="External"/><Relationship Id="rId17" Type="http://schemas.openxmlformats.org/officeDocument/2006/relationships/hyperlink" Target="https://www.nba.com/news/nba-aws-partnership" TargetMode="External"/><Relationship Id="rId18" Type="http://schemas.openxmlformats.org/officeDocument/2006/relationships/hyperlink" Target="https://aws.amazon.com/cn/sports/nba/" TargetMode="External"/><Relationship Id="rId19" Type="http://schemas.openxmlformats.org/officeDocument/2006/relationships/hyperlink" Target="https://aws-agent-hackathon.devpost.com/rules" TargetMode="External"/><Relationship Id="rId20" Type="http://schemas.openxmlformats.org/officeDocument/2006/relationships/hyperlink" Target="https://amazon-nova.devpost.com/rules" TargetMode="External"/><Relationship Id="rId21" Type="http://schemas.openxmlformats.org/officeDocument/2006/relationships/hyperlink" Target="https://www.digitimes.com.tw/seminar/generativeai_hackathon_2026/" TargetMode="External"/><Relationship Id="rId22" Type="http://schemas.openxmlformats.org/officeDocument/2006/relationships/hyperlink" Target="https://github.com/MLH/mlh-policies/blob/main/standard-hackathon-rules.md" TargetMode="External"/><Relationship Id="rId23" Type="http://schemas.openxmlformats.org/officeDocument/2006/relationships/hyperlink" Target="https://mendoza.nd.edu/news/notre-dame-business-student-wins-nba-hackathon/" TargetMode="External"/><Relationship Id="rId24" Type="http://schemas.openxmlformats.org/officeDocument/2006/relationships/hyperlink" Target="https://aws-agent-hackathon.devpost.com/updates/38140-congratulations-to-the-winners-of-the-aws-ai-agent-global-hackathon" TargetMode="External"/><Relationship Id="rId25" Type="http://schemas.openxmlformats.org/officeDocument/2006/relationships/hyperlink" Target="https://docs.ecolafaek.com/getting-started.html" TargetMode="External"/><Relationship Id="rId26" Type="http://schemas.openxmlformats.org/officeDocument/2006/relationships/hyperlink" Target="https://www.nba.com/bucks/news/milwaukee-bucks-to-host-second-annual-analytics-hackathon" TargetMode="External"/><Relationship Id="rId27" Type="http://schemas.openxmlformats.org/officeDocument/2006/relationships/hyperlink" Target="https://guide.mlh.com/general-information/judging-and-submissions/judging-plan" TargetMode="External"/><Relationship Id="rId28" Type="http://schemas.openxmlformats.org/officeDocument/2006/relationships/hyperlink" Target="https://www.163.com/dy/article/L0C2GD3U0511FQO9.html" TargetMode="External"/><Relationship Id="rId29" Type="http://schemas.openxmlformats.org/officeDocument/2006/relationships/hyperlink" Target="https://amazoncloud.cn/legal/eventterms" TargetMode="External"/><Relationship Id="rId30" Type="http://schemas.openxmlformats.org/officeDocument/2006/relationships/hyperlink" Target="https://amazoncloud.cn/legal/codeofcon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Broadcast Code 12 赛事理解与报名准备手册</dc:title>
  <dc:subject>比赛规则 报名准备 真实经历与证据 NBA数据指标 外部赛事参考</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