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6bd9de27-8e33-4741-895b-d44fcf0e9ff6.png"/>
            <wp:cNvGraphicFramePr>
              <a:graphicFrameLocks noChangeAspect="true"/>
            </wp:cNvGraphicFramePr>
            <a:graphic>
              <a:graphicData uri="http://schemas.openxmlformats.org/drawingml/2006/picture">
                <pic:pic xmlns:pic="http://schemas.openxmlformats.org/drawingml/2006/picture">
                  <pic:nvPicPr>
                    <pic:cNvPr id="0" name="Picture 0" descr="16bd9de27-8e33-4741-895b-d44fcf0e9ff6.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Open Sans Bold" w:hAnsi="Open Sans Bold" w:cs="Open Sans Bold" w:eastAsia="Open Sans Bold"/>
          <w:b/>
          <w:bCs/>
          <w:color w:val="bfc3c8"/>
          <w:sz w:val="36"/>
          <w:szCs w:val="36"/>
        </w:rPr>
        <w:t>Lionel A. Martínez</w:t>
      </w:r>
      <w:r>
        <w:rPr>
          <w:rFonts w:ascii="Open Sans" w:hAnsi="Open Sans" w:cs="Open Sans" w:eastAsia="Open Sans"/>
          <w:color w:val="000000"/>
          <w:sz w:val="24"/>
          <w:szCs w:val="24"/>
        </w:rPr>
        <w:t xml:space="preserve"> </w:t>
        <w:br/>
      </w:r>
      <w:r>
        <w:rPr>
          <w:rFonts w:ascii="Open Sans Italics" w:hAnsi="Open Sans Italics" w:cs="Open Sans Italics" w:eastAsia="Open Sans Italics"/>
          <w:i/>
          <w:iCs/>
          <w:color w:val="000000"/>
          <w:sz w:val="24"/>
          <w:szCs w:val="24"/>
        </w:rPr>
        <w:t>Aprendizaje Automático – Clase 9</w:t>
      </w:r>
      <w:r>
        <w:rPr>
          <w:rFonts w:ascii="Open Sans" w:hAnsi="Open Sans" w:cs="Open Sans" w:eastAsia="Open Sans"/>
          <w:color w:val="000000"/>
          <w:sz w:val="24"/>
          <w:szCs w:val="24"/>
        </w:rPr>
        <w:t xml:space="preserve"> </w:t>
        <w:br/>
      </w:r>
      <w:r>
        <w:rPr>
          <w:rFonts w:ascii="Open Sans Italics" w:hAnsi="Open Sans Italics" w:cs="Open Sans Italics" w:eastAsia="Open Sans Italics"/>
          <w:i/>
          <w:iCs/>
          <w:color w:val="000000"/>
          <w:sz w:val="24"/>
          <w:szCs w:val="24"/>
        </w:rPr>
        <w:t xml:space="preserve">1 de junio de 2026 – 23:00 hs
</w:t>
      </w:r>
    </w:p>
    <w:p>
      <w:pPr>
        <w:spacing w:after="120" w:before="120" w:line="336" w:lineRule="auto"/>
        <w:ind w:firstLine="0" w:start="0"/>
        <w:jc w:val="start"/>
      </w:pPr>
      <w:r>
        <w:rPr>
          <w:rFonts w:ascii="Open Sans Bold Italics" w:hAnsi="Open Sans Bold Italics" w:cs="Open Sans Bold Italics" w:eastAsia="Open Sans Bold Italics"/>
          <w:b/>
          <w:bCs/>
          <w:i/>
          <w:iCs/>
          <w:color w:val="bfc3c8"/>
          <w:sz w:val="36"/>
          <w:szCs w:val="36"/>
        </w:rPr>
        <w:t xml:space="preserve">Centro Politécnico Superior Malvinas Argentinas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000000"/>
          <w:sz w:val="32"/>
          <w:szCs w:val="32"/>
        </w:rPr>
        <w:t xml:space="preserve">Índice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1. Descripción del proyecto ............................................1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2. Objetivo general ......................................................... 2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3. Objetivos específicos ...................................................3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4. Contexto y relevancia ..................................................4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5. Tipo de problema ......................................................... 5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6. Modelos posibles a utilizar ..........................................6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7. Fuentes de datos .......................................................... 7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8. Resultados esperados .................................................. 8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9. Conclusiones ..................................................................9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10. Referencias .................................................................10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000000"/>
          <w:sz w:val="32"/>
          <w:szCs w:val="32"/>
        </w:rPr>
        <w:t xml:space="preserve">1. Descripción del Proyecto
</w:t>
      </w:r>
    </w:p>
    <w:p>
      <w:pPr>
        <w:spacing w:after="120" w:before="120" w:line="336" w:lineRule="auto"/>
        <w:ind w:firstLine="0" w:start="0"/>
        <w:jc w:val="start"/>
      </w:pPr>
      <w:r>
        <w:rPr>
          <w:rFonts w:ascii="Open Sans" w:hAnsi="Open Sans" w:cs="Open Sans" w:eastAsia="Open Sans"/>
          <w:color w:val="000000"/>
          <w:sz w:val="24"/>
          <w:szCs w:val="24"/>
        </w:rPr>
        <w:t xml:space="preserve">Este documento explora el uso de técnicas de aprendizaje automático para predecir los precios de alquileres en la ciudad de Río Grande, ubicada en Tierra del Fuego. El enfoque se centra en analizar datos históricos y aplicar modelos predictivos para proporcionar estimaciones precisas.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000000"/>
          <w:sz w:val="32"/>
          <w:szCs w:val="32"/>
        </w:rPr>
        <w:t xml:space="preserve">2. Objetivo general
</w:t>
      </w:r>
    </w:p>
    <w:p>
      <w:pPr>
        <w:spacing w:after="120" w:before="120" w:line="336" w:lineRule="auto"/>
        <w:ind w:firstLine="0" w:start="0"/>
        <w:jc w:val="start"/>
      </w:pPr>
      <w:r>
        <w:rPr>
          <w:rFonts w:ascii="Open Sans" w:hAnsi="Open Sans" w:cs="Open Sans" w:eastAsia="Open Sans"/>
          <w:color w:val="000000"/>
          <w:sz w:val="24"/>
          <w:szCs w:val="24"/>
        </w:rPr>
        <w:t>Desarrollar un modelo de aprendizaje automático que permita “</w:t>
      </w:r>
      <w:r>
        <w:rPr>
          <w:rFonts w:ascii="Open Sans Bold Italics" w:hAnsi="Open Sans Bold Italics" w:cs="Open Sans Bold Italics" w:eastAsia="Open Sans Bold Italics"/>
          <w:b/>
          <w:bCs/>
          <w:i/>
          <w:iCs/>
          <w:color w:val="000000"/>
          <w:sz w:val="24"/>
          <w:szCs w:val="24"/>
        </w:rPr>
        <w:t>Estimar el precio de alquiler de propiedades en Río Grande</w:t>
      </w:r>
      <w:r>
        <w:rPr>
          <w:rFonts w:ascii="Open Sans" w:hAnsi="Open Sans" w:cs="Open Sans" w:eastAsia="Open Sans"/>
          <w:color w:val="000000"/>
          <w:sz w:val="24"/>
          <w:szCs w:val="24"/>
        </w:rPr>
        <w:t xml:space="preserve">” en función de sus características físicas y de ubicación.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000000"/>
          <w:sz w:val="32"/>
          <w:szCs w:val="32"/>
        </w:rPr>
        <w:t xml:space="preserve">3. Objetivos específicos
</w:t>
      </w:r>
    </w:p>
    <w:p>
      <w:pPr>
        <w:numPr>
          <w:ilvl w:val="0"/>
          <w:numId w:val="1"/>
        </w:numPr>
        <w:spacing w:after="0" w:before="0" w:line="336" w:lineRule="auto"/>
        <w:jc w:val="start"/>
      </w:pPr>
      <w:r>
        <w:rPr>
          <w:rFonts w:ascii="Open Sans" w:hAnsi="Open Sans" w:cs="Open Sans" w:eastAsia="Open Sans"/>
          <w:color w:val="000000"/>
          <w:sz w:val="24"/>
          <w:szCs w:val="24"/>
        </w:rPr>
        <w:t xml:space="preserve">Construir y ampliar un dataset manual de propiedades en alquiler. </w:t>
      </w:r>
      <w:r>
        <w:rPr>
          <w:rFonts w:ascii="Open Sans" w:hAnsi="Open Sans" w:cs="Open Sans" w:eastAsia="Open Sans"/>
          <w:color w:val="000000"/>
          <w:sz w:val="24"/>
          <w:szCs w:val="24"/>
        </w:rPr>
        <w:t xml:space="preserve">
</w:t>
      </w:r>
    </w:p>
    <w:p>
      <w:pPr>
        <w:numPr>
          <w:ilvl w:val="0"/>
          <w:numId w:val="1"/>
        </w:numPr>
        <w:spacing w:after="0" w:before="0" w:line="336" w:lineRule="auto"/>
        <w:jc w:val="start"/>
      </w:pPr>
      <w:r>
        <w:rPr>
          <w:rFonts w:ascii="Open Sans" w:hAnsi="Open Sans" w:cs="Open Sans" w:eastAsia="Open Sans"/>
          <w:color w:val="000000"/>
          <w:sz w:val="24"/>
          <w:szCs w:val="24"/>
        </w:rPr>
        <w:t xml:space="preserve">Realizar un análisis exploratorio de las variables principales.  </w:t>
      </w:r>
      <w:r>
        <w:rPr>
          <w:rFonts w:ascii="Open Sans" w:hAnsi="Open Sans" w:cs="Open Sans" w:eastAsia="Open Sans"/>
          <w:color w:val="000000"/>
          <w:sz w:val="24"/>
          <w:szCs w:val="24"/>
        </w:rPr>
        <w:t xml:space="preserve">
</w:t>
      </w:r>
    </w:p>
    <w:p>
      <w:pPr>
        <w:numPr>
          <w:ilvl w:val="0"/>
          <w:numId w:val="1"/>
        </w:numPr>
        <w:spacing w:after="0" w:before="0" w:line="336" w:lineRule="auto"/>
        <w:jc w:val="start"/>
      </w:pPr>
      <w:r>
        <w:rPr>
          <w:rFonts w:ascii="Open Sans" w:hAnsi="Open Sans" w:cs="Open Sans" w:eastAsia="Open Sans"/>
          <w:color w:val="000000"/>
          <w:sz w:val="24"/>
          <w:szCs w:val="24"/>
        </w:rPr>
        <w:t xml:space="preserve">Entrenar y comparar modelos de regresión y árboles de decisión.  </w:t>
      </w:r>
      <w:r>
        <w:rPr>
          <w:rFonts w:ascii="Open Sans" w:hAnsi="Open Sans" w:cs="Open Sans" w:eastAsia="Open Sans"/>
          <w:color w:val="000000"/>
          <w:sz w:val="24"/>
          <w:szCs w:val="24"/>
        </w:rPr>
        <w:t xml:space="preserve">
</w:t>
      </w:r>
    </w:p>
    <w:p>
      <w:pPr>
        <w:numPr>
          <w:ilvl w:val="0"/>
          <w:numId w:val="1"/>
        </w:numPr>
        <w:spacing w:after="0" w:before="0" w:line="336" w:lineRule="auto"/>
        <w:jc w:val="start"/>
      </w:pPr>
      <w:r>
        <w:rPr>
          <w:rFonts w:ascii="Open Sans" w:hAnsi="Open Sans" w:cs="Open Sans" w:eastAsia="Open Sans"/>
          <w:color w:val="000000"/>
          <w:sz w:val="24"/>
          <w:szCs w:val="24"/>
        </w:rPr>
        <w:t xml:space="preserve">Evaluar el desempeño de los modelos mediante métricas como RMSE y R². </w:t>
      </w:r>
      <w:r>
        <w:rPr>
          <w:rFonts w:ascii="Open Sans" w:hAnsi="Open Sans" w:cs="Open Sans" w:eastAsia="Open Sans"/>
          <w:color w:val="000000"/>
          <w:sz w:val="24"/>
          <w:szCs w:val="24"/>
        </w:rPr>
        <w:t xml:space="preserve">
</w:t>
      </w:r>
    </w:p>
    <w:p>
      <w:pPr>
        <w:numPr>
          <w:ilvl w:val="0"/>
          <w:numId w:val="1"/>
        </w:numPr>
        <w:spacing w:after="0" w:before="0" w:line="336" w:lineRule="auto"/>
        <w:jc w:val="start"/>
      </w:pPr>
      <w:r>
        <w:rPr>
          <w:rFonts w:ascii="Open Sans" w:hAnsi="Open Sans" w:cs="Open Sans" w:eastAsia="Open Sans"/>
          <w:color w:val="000000"/>
          <w:sz w:val="24"/>
          <w:szCs w:val="24"/>
        </w:rPr>
        <w:t>Documentar el proceso y reflexionar sobre la utilidad práctica del modelo.</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000000"/>
          <w:sz w:val="32"/>
          <w:szCs w:val="32"/>
        </w:rPr>
        <w:t xml:space="preserve">4. Contexto y relevancia
</w:t>
      </w:r>
    </w:p>
    <w:p>
      <w:pPr>
        <w:spacing w:after="120" w:before="120" w:line="336" w:lineRule="auto"/>
        <w:ind w:firstLine="0" w:start="0"/>
        <w:jc w:val="start"/>
      </w:pPr>
      <w:r>
        <w:rPr>
          <w:rFonts w:ascii="Open Sans" w:hAnsi="Open Sans" w:cs="Open Sans" w:eastAsia="Open Sans"/>
          <w:color w:val="000000"/>
          <w:sz w:val="24"/>
          <w:szCs w:val="24"/>
        </w:rPr>
        <w:t xml:space="preserve">La ciudad de Río Grande presenta un mercado inmobiliario en crecimiento, pero carece de bases de datos públicas sobre alquileres.  
</w:t>
      </w:r>
    </w:p>
    <w:p>
      <w:pPr>
        <w:spacing w:after="120" w:before="120" w:line="336" w:lineRule="auto"/>
        <w:ind w:firstLine="0" w:start="0"/>
        <w:jc w:val="start"/>
      </w:pPr>
      <w:r>
        <w:rPr>
          <w:rFonts w:ascii="Open Sans" w:hAnsi="Open Sans" w:cs="Open Sans" w:eastAsia="Open Sans"/>
          <w:color w:val="000000"/>
          <w:sz w:val="24"/>
          <w:szCs w:val="24"/>
        </w:rPr>
        <w:t xml:space="preserve">Este proyecto aporta un dataset original y un análisis predictivo que puede resultar útil para inmobiliarias, propietarios e inversores.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000000"/>
          <w:sz w:val="30"/>
          <w:szCs w:val="30"/>
        </w:rPr>
        <w:t xml:space="preserve">5. Tipo de problema
</w:t>
      </w:r>
    </w:p>
    <w:p>
      <w:pPr>
        <w:spacing w:after="120" w:before="120" w:line="336" w:lineRule="auto"/>
        <w:ind w:firstLine="0" w:start="0"/>
        <w:jc w:val="start"/>
      </w:pPr>
      <w:r>
        <w:rPr>
          <w:rFonts w:ascii="Open Sans" w:hAnsi="Open Sans" w:cs="Open Sans" w:eastAsia="Open Sans"/>
          <w:color w:val="000000"/>
          <w:sz w:val="24"/>
          <w:szCs w:val="24"/>
        </w:rPr>
        <w:t xml:space="preserve">Se trata de un “problema de regresión supervisada”, donde la variable objetivo es el precio de alquiler y las variables predictoras incluyen superficie, ubicación y tipo de propiedad.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000000"/>
          <w:sz w:val="32"/>
          <w:szCs w:val="32"/>
        </w:rPr>
        <w:t>6. Modelos posibles a utilizar</w:t>
      </w:r>
      <w:r>
        <w:rPr>
          <w:rFonts w:ascii="Open Sans" w:hAnsi="Open Sans" w:cs="Open Sans" w:eastAsia="Open Sans"/>
          <w:color w:val="000000"/>
          <w:sz w:val="32"/>
          <w:szCs w:val="32"/>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6. Modelos posibles a utilizar
</w:t>
      </w:r>
    </w:p>
    <w:p>
      <w:pPr>
        <w:spacing w:after="120" w:before="120" w:line="336" w:lineRule="auto"/>
        <w:ind w:firstLine="0" w:start="0"/>
        <w:jc w:val="start"/>
      </w:pPr>
      <w:r>
        <w:rPr>
          <w:rFonts w:ascii="Open Sans" w:hAnsi="Open Sans" w:cs="Open Sans" w:eastAsia="Open Sans"/>
          <w:color w:val="000000"/>
          <w:sz w:val="24"/>
          <w:szCs w:val="24"/>
        </w:rPr>
        <w:t xml:space="preserve">Para la predicción de precios de alquileres en Río Grande se consideran distintos enfoques de aprendizaje supervisado:
</w:t>
      </w:r>
    </w:p>
    <w:p>
      <w:pPr>
        <w:numPr>
          <w:ilvl w:val="0"/>
          <w:numId w:val="2"/>
        </w:numPr>
        <w:spacing w:after="0" w:before="0" w:line="336" w:lineRule="auto"/>
        <w:jc w:val="start"/>
      </w:pPr>
      <w:r>
        <w:rPr>
          <w:rFonts w:ascii="Open Sans Bold" w:hAnsi="Open Sans Bold" w:cs="Open Sans Bold" w:eastAsia="Open Sans Bold"/>
          <w:b/>
          <w:bCs/>
          <w:color w:val="000000"/>
          <w:sz w:val="24"/>
          <w:szCs w:val="24"/>
        </w:rPr>
        <w:t>Regresión Lineal</w:t>
      </w:r>
      <w:r>
        <w:rPr>
          <w:rFonts w:ascii="Open Sans" w:hAnsi="Open Sans" w:cs="Open Sans" w:eastAsia="Open Sans"/>
          <w:color w:val="000000"/>
          <w:sz w:val="24"/>
          <w:szCs w:val="24"/>
        </w:rPr>
        <w:t>: modelo base para establecer relaciones directas entre variables numéricas como superficie y precio.</w:t>
      </w:r>
      <w:r>
        <w:rPr>
          <w:rFonts w:ascii="Open Sans" w:hAnsi="Open Sans" w:cs="Open Sans" w:eastAsia="Open Sans"/>
          <w:color w:val="000000"/>
          <w:sz w:val="24"/>
          <w:szCs w:val="24"/>
        </w:rPr>
        <w:t xml:space="preserve">
</w:t>
      </w:r>
    </w:p>
    <w:p>
      <w:pPr>
        <w:numPr>
          <w:ilvl w:val="0"/>
          <w:numId w:val="2"/>
        </w:numPr>
        <w:spacing w:after="0" w:before="0" w:line="336" w:lineRule="auto"/>
        <w:jc w:val="start"/>
      </w:pPr>
      <w:r>
        <w:rPr>
          <w:rFonts w:ascii="Open Sans Bold" w:hAnsi="Open Sans Bold" w:cs="Open Sans Bold" w:eastAsia="Open Sans Bold"/>
          <w:b/>
          <w:bCs/>
          <w:color w:val="000000"/>
          <w:sz w:val="24"/>
          <w:szCs w:val="24"/>
        </w:rPr>
        <w:t>Árboles de Decisión</w:t>
      </w:r>
      <w:r>
        <w:rPr>
          <w:rFonts w:ascii="Open Sans" w:hAnsi="Open Sans" w:cs="Open Sans" w:eastAsia="Open Sans"/>
          <w:color w:val="000000"/>
          <w:sz w:val="24"/>
          <w:szCs w:val="24"/>
        </w:rPr>
        <w:t>: permiten manejar variables categóricas y capturar relaciones no lineales.</w:t>
      </w:r>
      <w:r>
        <w:rPr>
          <w:rFonts w:ascii="Open Sans" w:hAnsi="Open Sans" w:cs="Open Sans" w:eastAsia="Open Sans"/>
          <w:color w:val="000000"/>
          <w:sz w:val="24"/>
          <w:szCs w:val="24"/>
        </w:rPr>
        <w:t xml:space="preserve">
</w:t>
      </w:r>
    </w:p>
    <w:p>
      <w:pPr>
        <w:numPr>
          <w:ilvl w:val="0"/>
          <w:numId w:val="2"/>
        </w:numPr>
        <w:spacing w:after="0" w:before="0" w:line="336" w:lineRule="auto"/>
        <w:jc w:val="start"/>
      </w:pPr>
      <w:r>
        <w:rPr>
          <w:rFonts w:ascii="Open Sans Bold" w:hAnsi="Open Sans Bold" w:cs="Open Sans Bold" w:eastAsia="Open Sans Bold"/>
          <w:b/>
          <w:bCs/>
          <w:color w:val="000000"/>
          <w:sz w:val="24"/>
          <w:szCs w:val="24"/>
        </w:rPr>
        <w:t>Random Forest</w:t>
      </w:r>
      <w:r>
        <w:rPr>
          <w:rFonts w:ascii="Open Sans" w:hAnsi="Open Sans" w:cs="Open Sans" w:eastAsia="Open Sans"/>
          <w:color w:val="000000"/>
          <w:sz w:val="24"/>
          <w:szCs w:val="24"/>
        </w:rPr>
        <w:t>: combina múltiples árboles de decisión, reduciendo el sobreajuste y mejorando la precisión.</w:t>
      </w:r>
      <w:r>
        <w:rPr>
          <w:rFonts w:ascii="Open Sans" w:hAnsi="Open Sans" w:cs="Open Sans" w:eastAsia="Open Sans"/>
          <w:color w:val="000000"/>
          <w:sz w:val="24"/>
          <w:szCs w:val="24"/>
        </w:rPr>
        <w:t xml:space="preserve">
</w:t>
      </w:r>
    </w:p>
    <w:p>
      <w:pPr>
        <w:numPr>
          <w:ilvl w:val="0"/>
          <w:numId w:val="2"/>
        </w:numPr>
        <w:spacing w:after="0" w:before="0" w:line="336" w:lineRule="auto"/>
        <w:jc w:val="start"/>
      </w:pPr>
      <w:r>
        <w:rPr>
          <w:rFonts w:ascii="Open Sans Bold" w:hAnsi="Open Sans Bold" w:cs="Open Sans Bold" w:eastAsia="Open Sans Bold"/>
          <w:b/>
          <w:bCs/>
          <w:color w:val="000000"/>
          <w:sz w:val="24"/>
          <w:szCs w:val="24"/>
        </w:rPr>
        <w:t>Gradient Boosting</w:t>
      </w:r>
      <w:r>
        <w:rPr>
          <w:rFonts w:ascii="Open Sans" w:hAnsi="Open Sans" w:cs="Open Sans" w:eastAsia="Open Sans"/>
          <w:color w:val="000000"/>
          <w:sz w:val="24"/>
          <w:szCs w:val="24"/>
        </w:rPr>
        <w:t>: optimiza el rendimiento ajustando errores de manera secuencial.</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El modelo principal propuesto para esta etapa es “</w:t>
      </w:r>
      <w:r>
        <w:rPr>
          <w:rFonts w:ascii="Open Sans Bold" w:hAnsi="Open Sans Bold" w:cs="Open Sans Bold" w:eastAsia="Open Sans Bold"/>
          <w:b/>
          <w:bCs/>
          <w:color w:val="000000"/>
          <w:sz w:val="24"/>
          <w:szCs w:val="24"/>
        </w:rPr>
        <w:t>Random Forest</w:t>
      </w:r>
      <w:r>
        <w:rPr>
          <w:rFonts w:ascii="Open Sans" w:hAnsi="Open Sans" w:cs="Open Sans" w:eastAsia="Open Sans"/>
          <w:color w:val="000000"/>
          <w:sz w:val="24"/>
          <w:szCs w:val="24"/>
        </w:rPr>
        <w:t xml:space="preserve">”, por su equilibrio entre precisión y capacidad de generalización.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1a62ff"/>
                <w:sz w:val="24"/>
                <w:szCs w:val="24"/>
                <w:u w:val="single" w:color="1a62ff"/>
              </w:rPr>
              <w:t>Modelo</w:t>
            </w:r>
            <w:r>
              <w:rPr>
                <w:rFonts w:ascii="Open Sans" w:hAnsi="Open Sans" w:cs="Open Sans" w:eastAsia="Open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Ventajas</w:t>
            </w:r>
            <w:r>
              <w:rPr>
                <w:rFonts w:ascii="Open Sans" w:hAnsi="Open Sans" w:cs="Open Sans" w:eastAsia="Open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Limitaciones</w:t>
            </w:r>
            <w:r>
              <w:rPr>
                <w:rFonts w:ascii="Open Sans" w:hAnsi="Open Sans" w:cs="Open Sans" w:eastAsia="Open San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1a62ff"/>
                <w:sz w:val="24"/>
                <w:szCs w:val="24"/>
                <w:u w:val="single" w:color="1a62ff"/>
              </w:rPr>
              <w:t>Regresión Lineal</w:t>
            </w:r>
            <w:r>
              <w:rPr>
                <w:rFonts w:ascii="Open Sans" w:hAnsi="Open Sans" w:cs="Open Sans" w:eastAsia="Open Sans"/>
                <w:color w:val="1a62ff"/>
                <w:sz w:val="24"/>
                <w:szCs w:val="24"/>
                <w:u w:val="single" w:color="1a62ff"/>
              </w:rPr>
              <w:t xml:space="preserve">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4"/>
                <w:szCs w:val="24"/>
              </w:rPr>
              <w:t xml:space="preserve">Fácil de interpretar, rápido de entrenar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4"/>
                <w:szCs w:val="24"/>
              </w:rPr>
              <w:t xml:space="preserve">No captura relaciones no lineales
</w:t>
            </w:r>
          </w:p>
        </w:tc>
      </w:tr>
      <w:tr>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1a62ff"/>
                <w:sz w:val="24"/>
                <w:szCs w:val="24"/>
                <w:u w:val="single" w:color="1a62ff"/>
              </w:rPr>
              <w:t>Árboles de Decisión</w:t>
            </w:r>
            <w:r>
              <w:rPr>
                <w:rFonts w:ascii="Open Sans" w:hAnsi="Open Sans" w:cs="Open Sans" w:eastAsia="Open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4"/>
                <w:szCs w:val="24"/>
              </w:rPr>
              <w:t xml:space="preserve">Maneja variables categóricas, visualmente intuitivo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4"/>
                <w:szCs w:val="24"/>
              </w:rPr>
              <w:t xml:space="preserve">Puede sobre ajustar si no se controla la profundidad
</w:t>
            </w:r>
          </w:p>
        </w:tc>
      </w:tr>
      <w:tr>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1a62ff"/>
                <w:sz w:val="24"/>
                <w:szCs w:val="24"/>
                <w:u w:val="single" w:color="1a62ff"/>
              </w:rPr>
              <w:t>Random Forest</w:t>
            </w:r>
            <w:r>
              <w:rPr>
                <w:rFonts w:ascii="Open Sans" w:hAnsi="Open Sans" w:cs="Open Sans" w:eastAsia="Open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4"/>
                <w:szCs w:val="24"/>
              </w:rPr>
              <w:t xml:space="preserve">Alta precisión, reduce sobreajuste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4"/>
                <w:szCs w:val="24"/>
              </w:rPr>
              <w:t xml:space="preserve">Menos interpretable, más costoso computacionalmente
</w:t>
            </w:r>
          </w:p>
        </w:tc>
      </w:tr>
      <w:tr>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1a62ff"/>
                <w:sz w:val="24"/>
                <w:szCs w:val="24"/>
                <w:u w:val="single" w:color="1a62ff"/>
              </w:rPr>
              <w:t>Gradient Boosting</w:t>
            </w:r>
            <w:r>
              <w:rPr>
                <w:rFonts w:ascii="Open Sans" w:hAnsi="Open Sans" w:cs="Open Sans" w:eastAsia="Open Sans"/>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4"/>
                <w:szCs w:val="24"/>
              </w:rPr>
              <w:t xml:space="preserve">Excelente rendimiento en datasets complejos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4"/>
                <w:szCs w:val="24"/>
              </w:rPr>
              <w:t xml:space="preserve">Requiere ajuste fino de hiper parámetros
</w:t>
            </w:r>
          </w:p>
        </w:tc>
      </w:tr>
    </w:tbl>
    <w:p>
      <w:pPr>
        <w:spacing w:after="120" w:before="120" w:line="336" w:lineRule="auto"/>
        <w:ind w:firstLine="0" w:start="0"/>
        <w:jc w:val="start"/>
      </w:pPr>
      <w:r>
        <w:rPr>
          <w:rFonts w:ascii="Open Sans" w:hAnsi="Open Sans" w:cs="Open Sans" w:eastAsia="Open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000000"/>
          <w:sz w:val="36"/>
          <w:szCs w:val="36"/>
        </w:rPr>
        <w:t xml:space="preserve">7. Fuentes de datos
</w:t>
      </w:r>
    </w:p>
    <w:p>
      <w:pPr>
        <w:spacing w:after="120" w:before="120" w:line="336" w:lineRule="auto"/>
        <w:ind w:firstLine="0" w:start="0"/>
        <w:jc w:val="start"/>
      </w:pPr>
      <w:r>
        <w:rPr>
          <w:rFonts w:ascii="Open Sans" w:hAnsi="Open Sans" w:cs="Open Sans" w:eastAsia="Open Sans"/>
          <w:color w:val="000000"/>
          <w:sz w:val="24"/>
          <w:szCs w:val="24"/>
        </w:rPr>
        <w:t xml:space="preserve">El dataset utilizado en este proyecto fue construido de manera “manual”, debido a la ausencia de bases públicas sobre alquileres en la ciudad de Río Grande, Tierra del Fuego.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Origen de los datos
</w:t>
      </w:r>
    </w:p>
    <w:p>
      <w:pPr>
        <w:numPr>
          <w:ilvl w:val="0"/>
          <w:numId w:val="3"/>
        </w:numPr>
        <w:spacing w:after="0" w:before="0" w:line="336" w:lineRule="auto"/>
        <w:jc w:val="start"/>
      </w:pPr>
      <w:r>
        <w:rPr>
          <w:rFonts w:ascii="Open Sans" w:hAnsi="Open Sans" w:cs="Open Sans" w:eastAsia="Open Sans"/>
          <w:color w:val="000000"/>
          <w:sz w:val="24"/>
          <w:szCs w:val="24"/>
        </w:rPr>
        <w:t xml:space="preserve">Publicaciones en “portales inmobiliarios locales”.  </w:t>
      </w:r>
      <w:r>
        <w:rPr>
          <w:rFonts w:ascii="Open Sans" w:hAnsi="Open Sans" w:cs="Open Sans" w:eastAsia="Open Sans"/>
          <w:color w:val="000000"/>
          <w:sz w:val="24"/>
          <w:szCs w:val="24"/>
        </w:rPr>
        <w:t xml:space="preserve">
</w:t>
      </w:r>
    </w:p>
    <w:p>
      <w:pPr>
        <w:numPr>
          <w:ilvl w:val="0"/>
          <w:numId w:val="3"/>
        </w:numPr>
        <w:spacing w:after="0" w:before="0" w:line="336" w:lineRule="auto"/>
        <w:jc w:val="start"/>
      </w:pPr>
      <w:r>
        <w:rPr>
          <w:rFonts w:ascii="Open Sans" w:hAnsi="Open Sans" w:cs="Open Sans" w:eastAsia="Open Sans"/>
          <w:color w:val="000000"/>
          <w:sz w:val="24"/>
          <w:szCs w:val="24"/>
        </w:rPr>
        <w:t xml:space="preserve">Sitios web de inmobiliarias de Río Grande.  </w:t>
      </w:r>
      <w:r>
        <w:rPr>
          <w:rFonts w:ascii="Open Sans" w:hAnsi="Open Sans" w:cs="Open Sans" w:eastAsia="Open Sans"/>
          <w:color w:val="000000"/>
          <w:sz w:val="24"/>
          <w:szCs w:val="24"/>
        </w:rPr>
        <w:t xml:space="preserve">
</w:t>
      </w:r>
    </w:p>
    <w:p>
      <w:pPr>
        <w:numPr>
          <w:ilvl w:val="0"/>
          <w:numId w:val="3"/>
        </w:numPr>
        <w:spacing w:after="0" w:before="0" w:line="336" w:lineRule="auto"/>
        <w:jc w:val="start"/>
      </w:pPr>
      <w:r>
        <w:rPr>
          <w:rFonts w:ascii="Open Sans" w:hAnsi="Open Sans" w:cs="Open Sans" w:eastAsia="Open Sans"/>
          <w:color w:val="000000"/>
          <w:sz w:val="24"/>
          <w:szCs w:val="24"/>
        </w:rPr>
        <w:t xml:space="preserve">Plataformas de anuncios como “Mercado Libre” y “Argenprop”.  </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Italics" w:hAnsi="Open Sans Italics" w:cs="Open Sans Italics" w:eastAsia="Open Sans Italics"/>
          <w:i/>
          <w:iCs/>
          <w:color w:val="000000"/>
          <w:sz w:val="24"/>
          <w:szCs w:val="24"/>
        </w:rPr>
        <w:t xml:space="preserve">Registros recopilados entre mayo y junio de 2026. </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r>
        <w:rPr>
          <w:rFonts w:ascii="Open Sans Bold" w:hAnsi="Open Sans Bold" w:cs="Open Sans Bold" w:eastAsia="Open Sans Bold"/>
          <w:b/>
          <w:bCs/>
          <w:color w:val="000000"/>
          <w:sz w:val="24"/>
          <w:szCs w:val="24"/>
        </w:rPr>
        <w:t xml:space="preserve">Características del dataset
</w:t>
      </w:r>
    </w:p>
    <w:p>
      <w:pPr>
        <w:numPr>
          <w:ilvl w:val="0"/>
          <w:numId w:val="4"/>
        </w:numPr>
        <w:spacing w:after="0" w:before="0" w:line="336" w:lineRule="auto"/>
        <w:jc w:val="start"/>
      </w:pPr>
      <w:r>
        <w:rPr>
          <w:rFonts w:ascii="Open Sans" w:hAnsi="Open Sans" w:cs="Open Sans" w:eastAsia="Open Sans"/>
          <w:color w:val="000000"/>
          <w:sz w:val="24"/>
          <w:szCs w:val="24"/>
        </w:rPr>
        <w:t xml:space="preserve">Registros actuales: 167 propiedades en alquiler.  </w:t>
      </w:r>
      <w:r>
        <w:rPr>
          <w:rFonts w:ascii="Open Sans" w:hAnsi="Open Sans" w:cs="Open Sans" w:eastAsia="Open Sans"/>
          <w:color w:val="000000"/>
          <w:sz w:val="24"/>
          <w:szCs w:val="24"/>
        </w:rPr>
        <w:t xml:space="preserve">
</w:t>
      </w:r>
    </w:p>
    <w:p>
      <w:pPr>
        <w:numPr>
          <w:ilvl w:val="0"/>
          <w:numId w:val="4"/>
        </w:numPr>
        <w:spacing w:after="0" w:before="0" w:line="336" w:lineRule="auto"/>
        <w:jc w:val="start"/>
      </w:pPr>
      <w:r>
        <w:rPr>
          <w:rFonts w:ascii="Open Sans" w:hAnsi="Open Sans" w:cs="Open Sans" w:eastAsia="Open Sans"/>
          <w:color w:val="000000"/>
          <w:sz w:val="24"/>
          <w:szCs w:val="24"/>
        </w:rPr>
        <w:t xml:space="preserve">Variables principales: precio, ubicación, tipo de propiedad, superficie, latitud y longitud.  </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Bold" w:hAnsi="Open Sans Bold" w:cs="Open Sans Bold" w:eastAsia="Open Sans Bold"/>
          <w:b/>
          <w:bCs/>
          <w:color w:val="000000"/>
          <w:sz w:val="24"/>
          <w:szCs w:val="24"/>
        </w:rPr>
        <w:t>Formato</w:t>
      </w:r>
      <w:r>
        <w:rPr>
          <w:rFonts w:ascii="Open Sans" w:hAnsi="Open Sans" w:cs="Open Sans" w:eastAsia="Open Sans"/>
          <w:color w:val="000000"/>
          <w:sz w:val="24"/>
          <w:szCs w:val="24"/>
        </w:rPr>
        <w:t xml:space="preserve">: archivo CSV delimitado por punto y coma (`;`).  
</w:t>
      </w:r>
    </w:p>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Plan de ampliación
</w:t>
      </w:r>
    </w:p>
    <w:p>
      <w:pPr>
        <w:spacing w:after="120" w:before="120" w:line="336" w:lineRule="auto"/>
        <w:ind w:firstLine="0" w:start="0"/>
        <w:jc w:val="start"/>
      </w:pPr>
      <w:r>
        <w:rPr>
          <w:rFonts w:ascii="Open Sans" w:hAnsi="Open Sans" w:cs="Open Sans" w:eastAsia="Open Sans"/>
          <w:color w:val="000000"/>
          <w:sz w:val="24"/>
          <w:szCs w:val="24"/>
        </w:rPr>
        <w:t xml:space="preserve">Para la “entrega final del proyecto” se prevé ampliar el dataset a un mínimo de “500 registros”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000000"/>
          <w:sz w:val="32"/>
          <w:szCs w:val="32"/>
        </w:rPr>
        <w:t xml:space="preserve">8. Resultados esperados
</w:t>
      </w:r>
    </w:p>
    <w:p>
      <w:pPr>
        <w:spacing w:after="120" w:before="120" w:line="336" w:lineRule="auto"/>
        <w:ind w:firstLine="0" w:start="0"/>
        <w:jc w:val="start"/>
      </w:pPr>
      <w:r>
        <w:rPr>
          <w:rFonts w:ascii="Open Sans" w:hAnsi="Open Sans" w:cs="Open Sans" w:eastAsia="Open Sans"/>
          <w:color w:val="000000"/>
          <w:sz w:val="24"/>
          <w:szCs w:val="24"/>
        </w:rPr>
        <w:t xml:space="preserve">En esta etapa no se presentan resultados, ya que el proyecto se encuentra en definición.  
</w:t>
      </w:r>
    </w:p>
    <w:p>
      <w:pPr>
        <w:spacing w:after="120" w:before="120" w:line="336" w:lineRule="auto"/>
        <w:ind w:firstLine="0" w:start="0"/>
        <w:jc w:val="start"/>
      </w:pPr>
      <w:r>
        <w:rPr>
          <w:rFonts w:ascii="Open Sans" w:hAnsi="Open Sans" w:cs="Open Sans" w:eastAsia="Open Sans"/>
          <w:color w:val="000000"/>
          <w:sz w:val="24"/>
          <w:szCs w:val="24"/>
        </w:rPr>
        <w:t xml:space="preserve">Se espera que en la entrega final los modelos sean evaluados mediante métricas como RMSE y R², y que se obtenga un modelo consistente con al menos 500 registros.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000000"/>
          <w:sz w:val="32"/>
          <w:szCs w:val="32"/>
        </w:rPr>
        <w:t xml:space="preserve">9. Conclusiones
</w:t>
      </w:r>
    </w:p>
    <w:p>
      <w:pPr>
        <w:spacing w:after="120" w:before="120" w:line="336" w:lineRule="auto"/>
        <w:ind w:firstLine="0" w:start="0"/>
        <w:jc w:val="start"/>
      </w:pPr>
      <w:r>
        <w:rPr>
          <w:rFonts w:ascii="Open Sans" w:hAnsi="Open Sans" w:cs="Open Sans" w:eastAsia="Open Sans"/>
          <w:color w:val="000000"/>
          <w:sz w:val="24"/>
          <w:szCs w:val="24"/>
        </w:rPr>
        <w:t xml:space="preserve">Se espera que el uso de técnicas de aprendizaje automático aporte estimaciones más precisas y útiles para el mercado de alquileres en Río Grande.  
</w:t>
      </w:r>
    </w:p>
    <w:p>
      <w:pPr>
        <w:spacing w:after="120" w:before="120" w:line="336" w:lineRule="auto"/>
        <w:ind w:firstLine="0" w:start="0"/>
        <w:jc w:val="start"/>
      </w:pPr>
      <w:r>
        <w:rPr>
          <w:rFonts w:ascii="Open Sans" w:hAnsi="Open Sans" w:cs="Open Sans" w:eastAsia="Open Sans"/>
          <w:color w:val="000000"/>
          <w:sz w:val="24"/>
          <w:szCs w:val="24"/>
        </w:rPr>
        <w:t xml:space="preserve">La ampliación del dataset y la comparación de modelos permitirá validar la utilidad práctica del enfoque.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000000"/>
          <w:sz w:val="32"/>
          <w:szCs w:val="32"/>
        </w:rPr>
        <w:t xml:space="preserve">10. Referencias
</w:t>
      </w:r>
    </w:p>
    <w:p>
      <w:pPr>
        <w:spacing w:after="120" w:before="120" w:line="336" w:lineRule="auto"/>
        <w:ind w:firstLine="0" w:start="0"/>
        <w:jc w:val="start"/>
      </w:pPr>
      <w:r>
        <w:rPr>
          <w:rFonts w:ascii="Open Sans" w:hAnsi="Open Sans" w:cs="Open Sans" w:eastAsia="Open Sans"/>
          <w:color w:val="000000"/>
          <w:sz w:val="24"/>
          <w:szCs w:val="24"/>
        </w:rPr>
        <w:t xml:space="preserve">Para fundamentar el desarrollo del proyecto se consultaron materiales académicos y técnicos que aportan validez metodológica y respaldo conceptual: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numPr>
          <w:ilvl w:val="0"/>
          <w:numId w:val="5"/>
        </w:numPr>
        <w:spacing w:after="0" w:before="0" w:line="336" w:lineRule="auto"/>
        <w:jc w:val="start"/>
      </w:pPr>
      <w:r>
        <w:rPr>
          <w:rFonts w:ascii="Open Sans" w:hAnsi="Open Sans" w:cs="Open Sans" w:eastAsia="Open Sans"/>
          <w:color w:val="000000"/>
          <w:sz w:val="24"/>
          <w:szCs w:val="24"/>
        </w:rPr>
        <w:t xml:space="preserve">Documentación oficial de </w:t>
      </w:r>
      <w:r>
        <w:rPr>
          <w:rFonts w:ascii="Open Sans Bold Italics" w:hAnsi="Open Sans Bold Italics" w:cs="Open Sans Bold Italics" w:eastAsia="Open Sans Bold Italics"/>
          <w:b/>
          <w:bCs/>
          <w:i/>
          <w:iCs/>
          <w:color w:val="000000"/>
          <w:sz w:val="24"/>
          <w:szCs w:val="24"/>
        </w:rPr>
        <w:t>scikit-learn</w:t>
      </w:r>
      <w:r>
        <w:rPr>
          <w:rFonts w:ascii="Open Sans" w:hAnsi="Open Sans" w:cs="Open Sans" w:eastAsia="Open Sans"/>
          <w:color w:val="000000"/>
          <w:sz w:val="24"/>
          <w:szCs w:val="24"/>
        </w:rPr>
        <w:t xml:space="preserve">: librería utilizada para implementar modelos de regresión y árboles de decisión.  </w:t>
      </w:r>
      <w:r>
        <w:rPr>
          <w:rFonts w:ascii="Open Sans" w:hAnsi="Open Sans" w:cs="Open Sans" w:eastAsia="Open Sans"/>
          <w:color w:val="000000"/>
          <w:sz w:val="24"/>
          <w:szCs w:val="24"/>
        </w:rPr>
        <w:t xml:space="preserve">
</w:t>
      </w:r>
    </w:p>
    <w:p>
      <w:pPr>
        <w:numPr>
          <w:ilvl w:val="0"/>
          <w:numId w:val="5"/>
        </w:numPr>
        <w:spacing w:after="0" w:before="0" w:line="336" w:lineRule="auto"/>
        <w:jc w:val="start"/>
      </w:pPr>
      <w:r>
        <w:rPr>
          <w:rFonts w:ascii="Open Sans" w:hAnsi="Open Sans" w:cs="Open Sans" w:eastAsia="Open Sans"/>
          <w:color w:val="000000"/>
          <w:sz w:val="24"/>
          <w:szCs w:val="24"/>
        </w:rPr>
        <w:t xml:space="preserve">Material de clase de Aprendizaje Automático: encuentros sincrónicos y grabaciones provistas por el Centro Politécnico Superior Malvinas Argentinas.  </w:t>
      </w:r>
      <w:r>
        <w:rPr>
          <w:rFonts w:ascii="Open Sans" w:hAnsi="Open Sans" w:cs="Open Sans" w:eastAsia="Open Sans"/>
          <w:color w:val="000000"/>
          <w:sz w:val="24"/>
          <w:szCs w:val="24"/>
        </w:rPr>
        <w:t xml:space="preserve">
</w:t>
      </w:r>
    </w:p>
    <w:p>
      <w:pPr>
        <w:numPr>
          <w:ilvl w:val="0"/>
          <w:numId w:val="5"/>
        </w:numPr>
        <w:spacing w:after="0" w:before="0" w:line="336" w:lineRule="auto"/>
        <w:jc w:val="start"/>
      </w:pPr>
      <w:r>
        <w:rPr>
          <w:rFonts w:ascii="Open Sans" w:hAnsi="Open Sans" w:cs="Open Sans" w:eastAsia="Open Sans"/>
          <w:color w:val="000000"/>
          <w:sz w:val="24"/>
          <w:szCs w:val="24"/>
        </w:rPr>
        <w:t xml:space="preserve">Libros y artículos de referencia:  </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r>
        <w:rPr>
          <w:rFonts w:ascii="Open Sans Italics" w:hAnsi="Open Sans Italics" w:cs="Open Sans Italics" w:eastAsia="Open Sans Italics"/>
          <w:i/>
          <w:iCs/>
          <w:color w:val="000000"/>
          <w:sz w:val="24"/>
          <w:szCs w:val="24"/>
        </w:rPr>
        <w:t xml:space="preserve">Géron, A. (2019). Hands-On Machine Learning with Scikit-Learn, Keras &amp; Tensor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Open Sans" w:hAnsi="Open Sans" w:cs="Open Sans" w:eastAsia="Open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Bold">
    <w:panose1 w:val="020B0704020202020204"/>
    <w:charset w:characterSet="1"/>
    <w:embedBold r:id="rId3"/>
  </w:font>
  <w:font w:name="Arimo">
    <w:panose1 w:val="020B0604020202020204"/>
    <w:charset w:characterSet="1"/>
    <w:embedRegular r:id="rId4"/>
  </w:font>
  <w:font w:name="DM Sans Bold">
    <w:panose1 w:val="00000000000000000000"/>
    <w:charset w:characterSet="1"/>
    <w:embedBold r:id="rId5"/>
  </w:font>
  <w:font w:name="Open Sans Bold Italics">
    <w:panose1 w:val="020B0806030504020204"/>
    <w:charset w:characterSet="1"/>
    <w:embedBoldItalic r:id="rId6"/>
  </w:font>
  <w:font w:name="Open Sans Italics">
    <w:panose1 w:val="020B0606030504020204"/>
    <w:charset w:characterSet="1"/>
    <w:embedItalic r:id="rId7"/>
  </w:font>
  <w:font w:name="Open Sans Bold">
    <w:panose1 w:val="020B0806030504020204"/>
    <w:charset w:characterSet="1"/>
    <w:embedBold r:id="rId8"/>
  </w:font>
  <w:font w:name="Open Sans">
    <w:panose1 w:val="020B0606030504020204"/>
    <w:charset w:characterSet="1"/>
    <w:embedRegular r:id="rId9"/>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2026-06-10T16:47:42Z</dcterms:created>
  <dc:creator>Apache POI</dc:creator>
  <dc:title>Predicción de precios de alquileres en Río Grande, Tierra del Fuego</dc:title>
</cp:coreProperties>
</file>