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F49F" w14:textId="1D92092A" w:rsidR="00CE6B4C" w:rsidRPr="001E1FBA" w:rsidRDefault="009E53E7" w:rsidP="00E04176">
      <w:pPr>
        <w:jc w:val="center"/>
        <w:rPr>
          <w:rFonts w:ascii="Arial" w:hAnsi="Arial" w:cs="Arial"/>
        </w:rPr>
      </w:pPr>
      <w:r w:rsidRPr="001E1FBA">
        <w:rPr>
          <w:rFonts w:ascii="Arial" w:hAnsi="Arial" w:cs="Arial"/>
          <w:b/>
          <w:sz w:val="40"/>
        </w:rPr>
        <w:t>Swinburne University of Technology</w:t>
      </w:r>
      <w:r w:rsidRPr="001E1FBA">
        <w:rPr>
          <w:rFonts w:ascii="Arial" w:hAnsi="Arial" w:cs="Arial"/>
          <w:b/>
          <w:sz w:val="40"/>
        </w:rPr>
        <w:br/>
      </w:r>
      <w:r w:rsidRPr="001E1FBA">
        <w:rPr>
          <w:rFonts w:ascii="Arial" w:hAnsi="Arial" w:cs="Arial"/>
          <w:b/>
          <w:sz w:val="40"/>
        </w:rPr>
        <w:br/>
      </w:r>
      <w:r w:rsidRPr="001E1FBA">
        <w:rPr>
          <w:rFonts w:ascii="Arial" w:hAnsi="Arial" w:cs="Arial"/>
          <w:b/>
        </w:rPr>
        <w:t>DATA VISUALISATION DESIGN BOOK</w:t>
      </w:r>
      <w:r w:rsidRPr="001E1FBA">
        <w:rPr>
          <w:rFonts w:ascii="Arial" w:hAnsi="Arial" w:cs="Arial"/>
          <w:b/>
        </w:rPr>
        <w:br/>
      </w:r>
      <w:r w:rsidRPr="001E1FBA">
        <w:rPr>
          <w:rFonts w:ascii="Arial" w:hAnsi="Arial" w:cs="Arial"/>
          <w:b/>
        </w:rPr>
        <w:br/>
      </w:r>
      <w:r w:rsidR="00D86662" w:rsidRPr="00D86662">
        <w:rPr>
          <w:rFonts w:ascii="Arial" w:hAnsi="Arial" w:cs="Arial"/>
        </w:rPr>
        <w:t>Unit: COS30045 Data </w:t>
      </w:r>
      <w:proofErr w:type="spellStart"/>
      <w:r w:rsidR="00D86662" w:rsidRPr="00D86662">
        <w:rPr>
          <w:rFonts w:ascii="Arial" w:hAnsi="Arial" w:cs="Arial"/>
        </w:rPr>
        <w:t>Visualisation</w:t>
      </w:r>
      <w:proofErr w:type="spellEnd"/>
      <w:r w:rsidR="00D86662" w:rsidRPr="00D86662">
        <w:rPr>
          <w:rFonts w:ascii="Arial" w:hAnsi="Arial" w:cs="Arial"/>
        </w:rPr>
        <w:t> </w:t>
      </w:r>
      <w:r w:rsidR="00D86662" w:rsidRPr="00D86662">
        <w:rPr>
          <w:rFonts w:ascii="Arial" w:hAnsi="Arial" w:cs="Arial"/>
        </w:rPr>
        <w:br/>
        <w:t>Student: Viet Nguyen 104838373 | Khang Huynh 104849346 </w:t>
      </w:r>
      <w:r w:rsidR="00D86662" w:rsidRPr="00D86662">
        <w:rPr>
          <w:rFonts w:ascii="Arial" w:hAnsi="Arial" w:cs="Arial"/>
        </w:rPr>
        <w:br/>
        <w:t>Tutorial: Raihaneh Aghaie </w:t>
      </w:r>
      <w:r w:rsidR="00D86662" w:rsidRPr="00D86662">
        <w:rPr>
          <w:rFonts w:ascii="Arial" w:hAnsi="Arial" w:cs="Arial"/>
        </w:rPr>
        <w:br/>
        <w:t>Due Date: 11/06/2026</w:t>
      </w:r>
      <w:r w:rsidRPr="001E1FBA">
        <w:rPr>
          <w:rFonts w:ascii="Arial" w:hAnsi="Arial" w:cs="Arial"/>
        </w:rPr>
        <w:br/>
      </w:r>
    </w:p>
    <w:p w14:paraId="31684E4E" w14:textId="77777777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br w:type="page"/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id w:val="1488758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5C1BB3" w14:textId="62ACF308" w:rsidR="001028BA" w:rsidRPr="001E1FBA" w:rsidRDefault="001028BA">
          <w:pPr>
            <w:pStyle w:val="TOCHeading"/>
            <w:rPr>
              <w:rFonts w:ascii="Arial" w:hAnsi="Arial" w:cs="Arial"/>
            </w:rPr>
          </w:pPr>
          <w:r w:rsidRPr="001E1FBA">
            <w:rPr>
              <w:rFonts w:ascii="Arial" w:hAnsi="Arial" w:cs="Arial"/>
            </w:rPr>
            <w:t>Contents</w:t>
          </w:r>
        </w:p>
        <w:p w14:paraId="77A2606A" w14:textId="5A627EE6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1E1FBA">
            <w:rPr>
              <w:rFonts w:ascii="Arial" w:hAnsi="Arial" w:cs="Arial"/>
            </w:rPr>
            <w:fldChar w:fldCharType="begin"/>
          </w:r>
          <w:r w:rsidRPr="001E1FBA">
            <w:rPr>
              <w:rFonts w:ascii="Arial" w:hAnsi="Arial" w:cs="Arial"/>
            </w:rPr>
            <w:instrText xml:space="preserve"> TOC \o "1-3" \h \z \u </w:instrText>
          </w:r>
          <w:r w:rsidRPr="001E1FBA">
            <w:rPr>
              <w:rFonts w:ascii="Arial" w:hAnsi="Arial" w:cs="Arial"/>
            </w:rPr>
            <w:fldChar w:fldCharType="separate"/>
          </w:r>
          <w:hyperlink w:anchor="_Toc228806016" w:history="1">
            <w:r w:rsidRPr="001E1FBA">
              <w:rPr>
                <w:rStyle w:val="Hyperlink"/>
                <w:rFonts w:ascii="Arial" w:hAnsi="Arial" w:cs="Arial"/>
                <w:noProof/>
              </w:rPr>
              <w:t>1. Introduction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_Toc228806016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59C9E8" w14:textId="35B26111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17" w:history="1">
            <w:r w:rsidRPr="001E1FBA">
              <w:rPr>
                <w:rStyle w:val="Hyperlink"/>
                <w:rFonts w:ascii="Arial" w:hAnsi="Arial" w:cs="Arial"/>
                <w:noProof/>
              </w:rPr>
              <w:t>1.1 Background and Motivation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_Toc228806017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A38573" w14:textId="6FC2C129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18" w:history="1">
            <w:r w:rsidRPr="001E1FBA">
              <w:rPr>
                <w:rStyle w:val="Hyperlink"/>
                <w:rFonts w:ascii="Arial" w:hAnsi="Arial" w:cs="Arial"/>
                <w:noProof/>
              </w:rPr>
              <w:t>1.2 Visualisation Purpose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_Toc228806018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436125" w14:textId="4E965A17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19" w:history="1">
            <w:r w:rsidRPr="001E1FBA">
              <w:rPr>
                <w:rStyle w:val="Hyperlink"/>
                <w:rFonts w:ascii="Arial" w:hAnsi="Arial" w:cs="Arial"/>
                <w:noProof/>
              </w:rPr>
              <w:t>2. Data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_Toc228806019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F2B682" w14:textId="34E3800E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0" w:history="1">
            <w:r w:rsidRPr="001E1FBA">
              <w:rPr>
                <w:rStyle w:val="Hyperlink"/>
                <w:rFonts w:ascii="Arial" w:hAnsi="Arial" w:cs="Arial"/>
                <w:noProof/>
              </w:rPr>
              <w:t>2.1 Data Source and Governance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_Toc228806020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5092E9" w14:textId="20A7626E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1" w:history="1">
            <w:r w:rsidRPr="001E1FBA">
              <w:rPr>
                <w:rStyle w:val="Hyperlink"/>
                <w:rFonts w:ascii="Arial" w:hAnsi="Arial" w:cs="Arial"/>
                <w:noProof/>
              </w:rPr>
              <w:t>2.2 Data Processing and Analysis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_Toc228806021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20CDE3" w14:textId="22EFABE4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2" w:history="1">
            <w:r w:rsidRPr="001E1FBA">
              <w:rPr>
                <w:rStyle w:val="Hyperlink"/>
                <w:rFonts w:ascii="Arial" w:hAnsi="Arial" w:cs="Arial"/>
                <w:noProof/>
              </w:rPr>
              <w:t>2.3 Data Exploration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_Toc228806022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873DC0" w14:textId="65D85B7D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3" w:history="1">
            <w:r w:rsidRPr="001E1FBA">
              <w:rPr>
                <w:rStyle w:val="Hyperlink"/>
                <w:rFonts w:ascii="Arial" w:hAnsi="Arial" w:cs="Arial"/>
                <w:noProof/>
              </w:rPr>
              <w:t>3. Visualisation Design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_Toc228806023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3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58E91C" w14:textId="3D4BB675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4" w:history="1">
            <w:r w:rsidRPr="001E1FBA">
              <w:rPr>
                <w:rStyle w:val="Hyperlink"/>
                <w:rFonts w:ascii="Arial" w:hAnsi="Arial" w:cs="Arial"/>
                <w:noProof/>
              </w:rPr>
              <w:t>3.1 Website Design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_Toc228806024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F3A27A" w14:textId="454C1AFD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5" w:history="1">
            <w:r w:rsidRPr="001E1FBA">
              <w:rPr>
                <w:rStyle w:val="Hyperlink"/>
                <w:rFonts w:ascii="Arial" w:hAnsi="Arial" w:cs="Arial"/>
                <w:noProof/>
              </w:rPr>
              <w:t>3.2 Visualisation Design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_Toc228806025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ACEADA" w14:textId="03BE1595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6" w:history="1">
            <w:r w:rsidRPr="001E1FBA">
              <w:rPr>
                <w:rStyle w:val="Hyperlink"/>
                <w:rFonts w:ascii="Arial" w:hAnsi="Arial" w:cs="Arial"/>
                <w:noProof/>
              </w:rPr>
              <w:t>3.3 Interaction Design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_Toc228806026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BA8071" w14:textId="187F2CD0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7" w:history="1">
            <w:r w:rsidRPr="001E1FBA">
              <w:rPr>
                <w:rStyle w:val="Hyperlink"/>
                <w:rFonts w:ascii="Arial" w:hAnsi="Arial" w:cs="Arial"/>
                <w:noProof/>
              </w:rPr>
              <w:t>4. Iteration and Validation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_Toc228806027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DE4153" w14:textId="73F477B2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8" w:history="1">
            <w:r w:rsidRPr="001E1FBA">
              <w:rPr>
                <w:rStyle w:val="Hyperlink"/>
                <w:rFonts w:ascii="Arial" w:hAnsi="Arial" w:cs="Arial"/>
                <w:noProof/>
              </w:rPr>
              <w:t>4.1 Testing and Refinements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_Toc228806028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7CD190" w14:textId="27A7B28A" w:rsidR="001028BA" w:rsidRPr="001E1FBA" w:rsidRDefault="001028BA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29" w:history="1">
            <w:r w:rsidRPr="001E1FBA">
              <w:rPr>
                <w:rStyle w:val="Hyperlink"/>
                <w:rFonts w:ascii="Arial" w:hAnsi="Arial" w:cs="Arial"/>
                <w:noProof/>
              </w:rPr>
              <w:t>4.2 Usability Evaluation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_Toc228806029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8054EF" w14:textId="2F708FC7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30" w:history="1">
            <w:r w:rsidRPr="001E1FBA">
              <w:rPr>
                <w:rStyle w:val="Hyperlink"/>
                <w:rFonts w:ascii="Arial" w:hAnsi="Arial" w:cs="Arial"/>
                <w:noProof/>
              </w:rPr>
              <w:t>5. Conclusion and Future Improvements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_Toc228806030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472392" w14:textId="56532C73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31" w:history="1">
            <w:r w:rsidRPr="001E1FBA">
              <w:rPr>
                <w:rStyle w:val="Hyperlink"/>
                <w:rFonts w:ascii="Arial" w:hAnsi="Arial" w:cs="Arial"/>
                <w:noProof/>
              </w:rPr>
              <w:t>References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_Toc228806031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2C9493" w14:textId="6F80C5FD" w:rsidR="001028BA" w:rsidRPr="001E1FBA" w:rsidRDefault="001028BA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28806032" w:history="1">
            <w:r w:rsidRPr="001E1FBA">
              <w:rPr>
                <w:rStyle w:val="Hyperlink"/>
                <w:rFonts w:ascii="Arial" w:hAnsi="Arial" w:cs="Arial"/>
                <w:noProof/>
              </w:rPr>
              <w:t>Appendices</w:t>
            </w:r>
            <w:r w:rsidRPr="001E1FBA">
              <w:rPr>
                <w:rFonts w:ascii="Arial" w:hAnsi="Arial" w:cs="Arial"/>
                <w:noProof/>
                <w:webHidden/>
              </w:rPr>
              <w:tab/>
            </w:r>
            <w:r w:rsidRPr="001E1F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E1FBA">
              <w:rPr>
                <w:rFonts w:ascii="Arial" w:hAnsi="Arial" w:cs="Arial"/>
                <w:noProof/>
                <w:webHidden/>
              </w:rPr>
              <w:instrText xml:space="preserve"> PAGEREF _Toc228806032 \h </w:instrText>
            </w:r>
            <w:r w:rsidRPr="001E1FBA">
              <w:rPr>
                <w:rFonts w:ascii="Arial" w:hAnsi="Arial" w:cs="Arial"/>
                <w:noProof/>
                <w:webHidden/>
              </w:rPr>
            </w:r>
            <w:r w:rsidRPr="001E1F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E1FBA">
              <w:rPr>
                <w:rFonts w:ascii="Arial" w:hAnsi="Arial" w:cs="Arial"/>
                <w:noProof/>
                <w:webHidden/>
              </w:rPr>
              <w:t>4</w:t>
            </w:r>
            <w:r w:rsidRPr="001E1F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9FA740" w14:textId="6B4C7AAE" w:rsidR="001028BA" w:rsidRPr="001E1FBA" w:rsidRDefault="001028BA">
          <w:pPr>
            <w:rPr>
              <w:rFonts w:ascii="Arial" w:hAnsi="Arial" w:cs="Arial"/>
            </w:rPr>
          </w:pPr>
          <w:r w:rsidRPr="001E1FBA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BEEDF30" w14:textId="70D63885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br w:type="page"/>
      </w:r>
    </w:p>
    <w:p w14:paraId="36C1197D" w14:textId="196E9F35" w:rsidR="00CE6B4C" w:rsidRPr="001E1FBA" w:rsidRDefault="009E53E7" w:rsidP="00DB64C6">
      <w:pPr>
        <w:pStyle w:val="Heading1"/>
        <w:rPr>
          <w:rFonts w:ascii="Arial" w:hAnsi="Arial" w:cs="Arial"/>
        </w:rPr>
      </w:pPr>
      <w:bookmarkStart w:id="0" w:name="_Toc228806016"/>
      <w:r w:rsidRPr="001E1FBA">
        <w:rPr>
          <w:rFonts w:ascii="Arial" w:hAnsi="Arial" w:cs="Arial"/>
        </w:rPr>
        <w:lastRenderedPageBreak/>
        <w:t>1</w:t>
      </w:r>
      <w:r w:rsidR="001028BA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 xml:space="preserve"> Introduction</w:t>
      </w:r>
      <w:bookmarkEnd w:id="0"/>
    </w:p>
    <w:p w14:paraId="28FBAC6D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1" w:name="_Toc228806017"/>
      <w:r w:rsidRPr="001E1FBA">
        <w:rPr>
          <w:rFonts w:ascii="Arial" w:hAnsi="Arial" w:cs="Arial"/>
        </w:rPr>
        <w:t>1.1 Background and Motivation</w:t>
      </w:r>
      <w:bookmarkEnd w:id="1"/>
    </w:p>
    <w:p w14:paraId="5BB38023" w14:textId="0316E934" w:rsidR="00DB64C6" w:rsidRPr="001E1FBA" w:rsidRDefault="00DB64C6" w:rsidP="00DB64C6">
      <w:pPr>
        <w:numPr>
          <w:ilvl w:val="0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Target audience:</w:t>
      </w:r>
      <w:r w:rsidR="00E5701D" w:rsidRPr="001E1FBA">
        <w:rPr>
          <w:rFonts w:ascii="Arial" w:hAnsi="Arial" w:cs="Arial"/>
        </w:rPr>
        <w:t xml:space="preserve"> State and federal transport policymakers, road-safety researchers, public health officials, and the </w:t>
      </w:r>
      <w:r w:rsidR="00E04176" w:rsidRPr="001E1FBA">
        <w:rPr>
          <w:rFonts w:ascii="Arial" w:hAnsi="Arial" w:cs="Arial"/>
        </w:rPr>
        <w:t>public</w:t>
      </w:r>
      <w:r w:rsidR="00E5701D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> </w:t>
      </w:r>
    </w:p>
    <w:p w14:paraId="1047A705" w14:textId="23E36715" w:rsidR="00DB64C6" w:rsidRPr="001E1FBA" w:rsidRDefault="00DB64C6" w:rsidP="00DB64C6">
      <w:pPr>
        <w:numPr>
          <w:ilvl w:val="0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Problem addressed:</w:t>
      </w:r>
      <w:r w:rsidRPr="001E1FBA">
        <w:rPr>
          <w:rFonts w:ascii="Arial" w:hAnsi="Arial" w:cs="Arial"/>
        </w:rPr>
        <w:t> </w:t>
      </w:r>
      <w:r w:rsidR="0068170B" w:rsidRPr="001E1FBA">
        <w:rPr>
          <w:rFonts w:ascii="Arial" w:hAnsi="Arial" w:cs="Arial"/>
        </w:rPr>
        <w:t xml:space="preserve">Road-crash hospitalisations in Australia have risen steadily over the past decade, but the scale of the problem differs sharply by state and by road-user type. The official BITRE/AIHW publication splits this story across many separate tables and static charts. Policymakers need to see geography, composition, and </w:t>
      </w:r>
      <w:proofErr w:type="gramStart"/>
      <w:r w:rsidR="0068170B" w:rsidRPr="001E1FBA">
        <w:rPr>
          <w:rFonts w:ascii="Arial" w:hAnsi="Arial" w:cs="Arial"/>
        </w:rPr>
        <w:t>trend</w:t>
      </w:r>
      <w:proofErr w:type="gramEnd"/>
      <w:r w:rsidR="0068170B" w:rsidRPr="001E1FBA">
        <w:rPr>
          <w:rFonts w:ascii="Arial" w:hAnsi="Arial" w:cs="Arial"/>
        </w:rPr>
        <w:t xml:space="preserve"> in one connected view — so they can identify which </w:t>
      </w:r>
      <w:proofErr w:type="gramStart"/>
      <w:r w:rsidR="0068170B" w:rsidRPr="001E1FBA">
        <w:rPr>
          <w:rFonts w:ascii="Arial" w:hAnsi="Arial" w:cs="Arial"/>
        </w:rPr>
        <w:t>states</w:t>
      </w:r>
      <w:proofErr w:type="gramEnd"/>
      <w:r w:rsidR="0068170B" w:rsidRPr="001E1FBA">
        <w:rPr>
          <w:rFonts w:ascii="Arial" w:hAnsi="Arial" w:cs="Arial"/>
        </w:rPr>
        <w:t xml:space="preserve"> and which road-user groups most urgently need targeted intervention.</w:t>
      </w:r>
    </w:p>
    <w:p w14:paraId="6CACD2C6" w14:textId="77777777" w:rsidR="00501625" w:rsidRPr="001E1FBA" w:rsidRDefault="00DB64C6" w:rsidP="00501625">
      <w:pPr>
        <w:numPr>
          <w:ilvl w:val="0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Key user tasks:</w:t>
      </w:r>
      <w:r w:rsidRPr="001E1FBA">
        <w:rPr>
          <w:rFonts w:ascii="Arial" w:hAnsi="Arial" w:cs="Arial"/>
        </w:rPr>
        <w:t> </w:t>
      </w:r>
    </w:p>
    <w:p w14:paraId="7C90388C" w14:textId="39CF9C52" w:rsidR="00501625" w:rsidRPr="001E1FBA" w:rsidRDefault="00501625" w:rsidP="00501625">
      <w:pPr>
        <w:numPr>
          <w:ilvl w:val="1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Compare First Nations vs non</w:t>
      </w:r>
      <w:r w:rsidRPr="001E1FBA">
        <w:rPr>
          <w:rFonts w:ascii="Cambria Math" w:hAnsi="Cambria Math" w:cs="Cambria Math"/>
        </w:rPr>
        <w:t>‑</w:t>
      </w:r>
      <w:r w:rsidRPr="001E1FBA">
        <w:rPr>
          <w:rFonts w:ascii="Arial" w:hAnsi="Arial" w:cs="Arial"/>
        </w:rPr>
        <w:t>Indigenous hospitalisations in any state</w:t>
      </w:r>
    </w:p>
    <w:p w14:paraId="0D6EBEE5" w14:textId="1F206BAD" w:rsidR="00501625" w:rsidRPr="001E1FBA" w:rsidRDefault="00501625" w:rsidP="00501625">
      <w:pPr>
        <w:numPr>
          <w:ilvl w:val="1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See trends from 2011 to 2021</w:t>
      </w:r>
    </w:p>
    <w:p w14:paraId="5A12872C" w14:textId="6C9E0BA4" w:rsidR="00CE6B4C" w:rsidRPr="001E1FBA" w:rsidRDefault="00501625" w:rsidP="00501625">
      <w:pPr>
        <w:numPr>
          <w:ilvl w:val="1"/>
          <w:numId w:val="10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Spot which states need priority</w:t>
      </w:r>
    </w:p>
    <w:p w14:paraId="13D877F5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2" w:name="_Toc228806018"/>
      <w:r w:rsidRPr="001E1FBA">
        <w:rPr>
          <w:rFonts w:ascii="Arial" w:hAnsi="Arial" w:cs="Arial"/>
        </w:rPr>
        <w:t>1.2 Visualisation Purpose</w:t>
      </w:r>
      <w:bookmarkEnd w:id="2"/>
    </w:p>
    <w:p w14:paraId="0478592D" w14:textId="77777777" w:rsidR="00791374" w:rsidRPr="001E1FBA" w:rsidRDefault="00801A5D" w:rsidP="00791374">
      <w:pPr>
        <w:ind w:left="270"/>
        <w:rPr>
          <w:rFonts w:ascii="Arial" w:hAnsi="Arial" w:cs="Arial"/>
        </w:rPr>
      </w:pPr>
      <w:r w:rsidRPr="001E1FBA">
        <w:rPr>
          <w:rFonts w:ascii="Arial" w:hAnsi="Arial" w:cs="Arial"/>
        </w:rPr>
        <w:t>Specific questions users can answer:</w:t>
      </w:r>
    </w:p>
    <w:p w14:paraId="16F4AF08" w14:textId="62648BFD" w:rsidR="008376BC" w:rsidRPr="001E1FBA" w:rsidRDefault="008376BC" w:rsidP="0079137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In a selected year, which state or territory has the highest number of road-crash hospitalisations — and which has the lowest?</w:t>
      </w:r>
    </w:p>
    <w:p w14:paraId="5E697CEC" w14:textId="77777777" w:rsidR="00CE52AA" w:rsidRPr="001E1FBA" w:rsidRDefault="00CE52AA" w:rsidP="0079137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How has the national hospitalisation total changed from 2011 to 2021, and is the overall trend rising or falling?</w:t>
      </w:r>
    </w:p>
    <w:p w14:paraId="3163FAA3" w14:textId="7003D75A" w:rsidR="00791374" w:rsidRPr="001E1FBA" w:rsidRDefault="00791374" w:rsidP="0079137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Is the gap closing or widening in each jurisdiction?</w:t>
      </w:r>
    </w:p>
    <w:p w14:paraId="496950D4" w14:textId="7DCA04D5" w:rsidR="00CE52AA" w:rsidRPr="001E1FBA" w:rsidRDefault="00CE52AA" w:rsidP="0079137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For a specific state (e.g., Victoria vs. NT), what does the road-user breakdown look like, and how does it differ from the national picture?</w:t>
      </w:r>
    </w:p>
    <w:p w14:paraId="5C213A01" w14:textId="77777777" w:rsidR="00791374" w:rsidRPr="001E1FBA" w:rsidRDefault="00791374" w:rsidP="00791374">
      <w:pPr>
        <w:ind w:left="270"/>
        <w:rPr>
          <w:rFonts w:ascii="Arial" w:hAnsi="Arial" w:cs="Arial"/>
        </w:rPr>
      </w:pPr>
      <w:r w:rsidRPr="001E1FBA">
        <w:rPr>
          <w:rFonts w:ascii="Arial" w:hAnsi="Arial" w:cs="Arial"/>
        </w:rPr>
        <w:t>Benefits – impact on decision</w:t>
      </w:r>
      <w:r w:rsidRPr="001E1FBA">
        <w:rPr>
          <w:rFonts w:ascii="Cambria Math" w:hAnsi="Cambria Math" w:cs="Cambria Math"/>
        </w:rPr>
        <w:t>‑</w:t>
      </w:r>
      <w:r w:rsidRPr="001E1FBA">
        <w:rPr>
          <w:rFonts w:ascii="Arial" w:hAnsi="Arial" w:cs="Arial"/>
        </w:rPr>
        <w:t>making:</w:t>
      </w:r>
    </w:p>
    <w:p w14:paraId="58D64FAD" w14:textId="134FBEBD" w:rsidR="009C2C81" w:rsidRPr="001E1FBA" w:rsidRDefault="009C2C81" w:rsidP="009C2C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Budget allocation: </w:t>
      </w:r>
      <w:r w:rsidR="0086215F" w:rsidRPr="001E1FBA">
        <w:rPr>
          <w:rFonts w:ascii="Arial" w:hAnsi="Arial" w:cs="Arial"/>
        </w:rPr>
        <w:t xml:space="preserve">State transport departments can compare their hospitalisation counts against other jurisdictions and </w:t>
      </w:r>
      <w:proofErr w:type="spellStart"/>
      <w:r w:rsidR="0086215F" w:rsidRPr="001E1FBA">
        <w:rPr>
          <w:rFonts w:ascii="Arial" w:hAnsi="Arial" w:cs="Arial"/>
        </w:rPr>
        <w:t>prioritise</w:t>
      </w:r>
      <w:proofErr w:type="spellEnd"/>
      <w:r w:rsidR="0086215F" w:rsidRPr="001E1FBA">
        <w:rPr>
          <w:rFonts w:ascii="Arial" w:hAnsi="Arial" w:cs="Arial"/>
        </w:rPr>
        <w:t xml:space="preserve"> funding where the burden is greatest.</w:t>
      </w:r>
    </w:p>
    <w:p w14:paraId="264043B1" w14:textId="661A45FD" w:rsidR="009C2C81" w:rsidRPr="001E1FBA" w:rsidRDefault="009C2C81" w:rsidP="009C2C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Targeted policies: </w:t>
      </w:r>
      <w:r w:rsidR="0086215F" w:rsidRPr="001E1FBA">
        <w:rPr>
          <w:rFonts w:ascii="Arial" w:hAnsi="Arial" w:cs="Arial"/>
        </w:rPr>
        <w:t>Federal agencies (BITRE, AIHW) can design road-user-specific interventions — e.g., motorcycle safety campaigns in states where motorcyclist hospitalisations are disproportionately high — instead of one-size-fits-all approaches.</w:t>
      </w:r>
    </w:p>
    <w:p w14:paraId="4774B2C9" w14:textId="6DC2F809" w:rsidR="009C2C81" w:rsidRPr="001E1FBA" w:rsidRDefault="009C2C81" w:rsidP="009C2C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Advocacy: </w:t>
      </w:r>
      <w:r w:rsidR="00ED2144" w:rsidRPr="001E1FBA">
        <w:rPr>
          <w:rFonts w:ascii="Arial" w:hAnsi="Arial" w:cs="Arial"/>
        </w:rPr>
        <w:t>Policymakers can track whether existing programs are working by watching year-over-year movement in both the total and the road-user mix.</w:t>
      </w:r>
    </w:p>
    <w:p w14:paraId="727EA4BA" w14:textId="6957C314" w:rsidR="00CE6B4C" w:rsidRPr="001E1FBA" w:rsidRDefault="009C2C81" w:rsidP="009C2C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Public awareness: </w:t>
      </w:r>
      <w:r w:rsidR="00ED2144" w:rsidRPr="001E1FBA">
        <w:rPr>
          <w:rFonts w:ascii="Arial" w:hAnsi="Arial" w:cs="Arial"/>
        </w:rPr>
        <w:t>Residents see their own state's situation and the relative risk of different transport modes, fostering informed community discussion about road safety</w:t>
      </w:r>
    </w:p>
    <w:p w14:paraId="4A75268B" w14:textId="68D036B7" w:rsidR="00CE6B4C" w:rsidRPr="001E1FBA" w:rsidRDefault="009E53E7" w:rsidP="00843B30">
      <w:pPr>
        <w:pStyle w:val="Heading1"/>
        <w:rPr>
          <w:rFonts w:ascii="Arial" w:hAnsi="Arial" w:cs="Arial"/>
        </w:rPr>
      </w:pPr>
      <w:bookmarkStart w:id="3" w:name="_Toc228806019"/>
      <w:r w:rsidRPr="001E1FBA">
        <w:rPr>
          <w:rFonts w:ascii="Arial" w:hAnsi="Arial" w:cs="Arial"/>
        </w:rPr>
        <w:lastRenderedPageBreak/>
        <w:t>2</w:t>
      </w:r>
      <w:r w:rsidR="001028BA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 xml:space="preserve"> Data</w:t>
      </w:r>
      <w:bookmarkEnd w:id="3"/>
    </w:p>
    <w:p w14:paraId="0B546D0E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4" w:name="_Toc228806020"/>
      <w:r w:rsidRPr="001E1FBA">
        <w:rPr>
          <w:rFonts w:ascii="Arial" w:hAnsi="Arial" w:cs="Arial"/>
        </w:rPr>
        <w:t>2.1 Data Source and Governance</w:t>
      </w:r>
      <w:bookmarkEnd w:id="4"/>
    </w:p>
    <w:p w14:paraId="78FF8C05" w14:textId="65A5F8A9" w:rsidR="002034F2" w:rsidRPr="001E1FBA" w:rsidRDefault="002034F2" w:rsidP="002034F2">
      <w:pPr>
        <w:ind w:left="180"/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Original data sources:</w:t>
      </w:r>
    </w:p>
    <w:tbl>
      <w:tblPr>
        <w:tblStyle w:val="TableGrid"/>
        <w:tblW w:w="10440" w:type="dxa"/>
        <w:tblInd w:w="-725" w:type="dxa"/>
        <w:tblLook w:val="04A0" w:firstRow="1" w:lastRow="0" w:firstColumn="1" w:lastColumn="0" w:noHBand="0" w:noVBand="1"/>
      </w:tblPr>
      <w:tblGrid>
        <w:gridCol w:w="2321"/>
        <w:gridCol w:w="1639"/>
        <w:gridCol w:w="6480"/>
      </w:tblGrid>
      <w:tr w:rsidR="006C62E0" w:rsidRPr="001E1FBA" w14:paraId="157E172F" w14:textId="77777777" w:rsidTr="009755F4">
        <w:tc>
          <w:tcPr>
            <w:tcW w:w="2321" w:type="dxa"/>
          </w:tcPr>
          <w:p w14:paraId="4BF317C3" w14:textId="4345B55B" w:rsidR="006C62E0" w:rsidRPr="001E1FBA" w:rsidRDefault="006C62E0" w:rsidP="002034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639" w:type="dxa"/>
          </w:tcPr>
          <w:p w14:paraId="47E36E94" w14:textId="4B134BD1" w:rsidR="006C62E0" w:rsidRPr="001E1FBA" w:rsidRDefault="006C62E0" w:rsidP="002034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6480" w:type="dxa"/>
          </w:tcPr>
          <w:p w14:paraId="7B15FC54" w14:textId="5877E551" w:rsidR="006C62E0" w:rsidRPr="001E1FBA" w:rsidRDefault="006C62E0" w:rsidP="002034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Link</w:t>
            </w:r>
          </w:p>
        </w:tc>
      </w:tr>
      <w:tr w:rsidR="006C62E0" w:rsidRPr="001E1FBA" w14:paraId="65D1705E" w14:textId="77777777" w:rsidTr="009755F4">
        <w:tc>
          <w:tcPr>
            <w:tcW w:w="2321" w:type="dxa"/>
          </w:tcPr>
          <w:p w14:paraId="214C1282" w14:textId="4E532A5B" w:rsidR="006C62E0" w:rsidRPr="001E1FBA" w:rsidRDefault="005C1D8B" w:rsidP="002034F2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 xml:space="preserve">First Nations </w:t>
            </w:r>
            <w:proofErr w:type="spellStart"/>
            <w:r w:rsidRPr="001E1FBA">
              <w:rPr>
                <w:rFonts w:ascii="Arial" w:hAnsi="Arial" w:cs="Arial"/>
                <w:b/>
                <w:bCs/>
              </w:rPr>
              <w:t>hospitalised</w:t>
            </w:r>
            <w:proofErr w:type="spellEnd"/>
            <w:r w:rsidRPr="001E1FBA">
              <w:rPr>
                <w:rFonts w:ascii="Arial" w:hAnsi="Arial" w:cs="Arial"/>
                <w:b/>
                <w:bCs/>
              </w:rPr>
              <w:t xml:space="preserve"> injuries</w:t>
            </w:r>
          </w:p>
        </w:tc>
        <w:tc>
          <w:tcPr>
            <w:tcW w:w="1639" w:type="dxa"/>
          </w:tcPr>
          <w:p w14:paraId="7E6ED40C" w14:textId="20E14B1A" w:rsidR="006C62E0" w:rsidRPr="001E1FBA" w:rsidRDefault="005C1D8B" w:rsidP="002034F2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BITRE / AIHW</w:t>
            </w:r>
          </w:p>
        </w:tc>
        <w:tc>
          <w:tcPr>
            <w:tcW w:w="6480" w:type="dxa"/>
          </w:tcPr>
          <w:p w14:paraId="7CC9D3DB" w14:textId="26FC32AA" w:rsidR="009755F4" w:rsidRPr="001E1FBA" w:rsidRDefault="009755F4" w:rsidP="002034F2">
            <w:pPr>
              <w:rPr>
                <w:rFonts w:ascii="Arial" w:hAnsi="Arial" w:cs="Arial"/>
              </w:rPr>
            </w:pPr>
            <w:hyperlink r:id="rId6" w:history="1">
              <w:r w:rsidRPr="001E1FBA">
                <w:rPr>
                  <w:rStyle w:val="Hyperlink"/>
                  <w:rFonts w:ascii="Arial" w:hAnsi="Arial" w:cs="Arial"/>
                </w:rPr>
                <w:t>https://www.bitre.gov.au/publications/ongoing/hospitalised-injury</w:t>
              </w:r>
            </w:hyperlink>
          </w:p>
        </w:tc>
      </w:tr>
      <w:tr w:rsidR="006C62E0" w:rsidRPr="001E1FBA" w14:paraId="66BC71C5" w14:textId="77777777" w:rsidTr="009755F4">
        <w:tc>
          <w:tcPr>
            <w:tcW w:w="2321" w:type="dxa"/>
          </w:tcPr>
          <w:p w14:paraId="2ED0B113" w14:textId="41426BC3" w:rsidR="006C62E0" w:rsidRPr="001E1FBA" w:rsidRDefault="005C1D8B" w:rsidP="002034F2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 xml:space="preserve">State and territory </w:t>
            </w:r>
            <w:proofErr w:type="spellStart"/>
            <w:r w:rsidRPr="001E1FBA">
              <w:rPr>
                <w:rFonts w:ascii="Arial" w:hAnsi="Arial" w:cs="Arial"/>
                <w:b/>
                <w:bCs/>
              </w:rPr>
              <w:t>hospitalised</w:t>
            </w:r>
            <w:proofErr w:type="spellEnd"/>
            <w:r w:rsidRPr="001E1FBA">
              <w:rPr>
                <w:rFonts w:ascii="Arial" w:hAnsi="Arial" w:cs="Arial"/>
                <w:b/>
                <w:bCs/>
              </w:rPr>
              <w:t xml:space="preserve"> injuries</w:t>
            </w:r>
          </w:p>
        </w:tc>
        <w:tc>
          <w:tcPr>
            <w:tcW w:w="1639" w:type="dxa"/>
          </w:tcPr>
          <w:p w14:paraId="1725E119" w14:textId="54C67581" w:rsidR="006C62E0" w:rsidRPr="001E1FBA" w:rsidRDefault="005C1D8B" w:rsidP="002034F2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BITRE / AIHW</w:t>
            </w:r>
          </w:p>
        </w:tc>
        <w:tc>
          <w:tcPr>
            <w:tcW w:w="6480" w:type="dxa"/>
          </w:tcPr>
          <w:p w14:paraId="23394297" w14:textId="7706FE85" w:rsidR="009755F4" w:rsidRPr="001E1FBA" w:rsidRDefault="009755F4" w:rsidP="002034F2">
            <w:pPr>
              <w:rPr>
                <w:rFonts w:ascii="Arial" w:hAnsi="Arial" w:cs="Arial"/>
              </w:rPr>
            </w:pPr>
            <w:hyperlink r:id="rId7" w:history="1">
              <w:r w:rsidRPr="001E1FBA">
                <w:rPr>
                  <w:rStyle w:val="Hyperlink"/>
                  <w:rFonts w:ascii="Arial" w:hAnsi="Arial" w:cs="Arial"/>
                </w:rPr>
                <w:t>https://www.bitre.gov.au/publications/ongoing/hospitalised-injury</w:t>
              </w:r>
            </w:hyperlink>
          </w:p>
        </w:tc>
      </w:tr>
    </w:tbl>
    <w:p w14:paraId="6B6A7E8F" w14:textId="77777777" w:rsidR="00AB2D37" w:rsidRPr="001E1FBA" w:rsidRDefault="007108A3" w:rsidP="007108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Both files are part of BITRE’s </w:t>
      </w:r>
      <w:r w:rsidRPr="001E1FBA">
        <w:rPr>
          <w:rFonts w:ascii="Arial" w:hAnsi="Arial" w:cs="Arial"/>
          <w:i/>
          <w:iCs/>
        </w:rPr>
        <w:t>Hospitalised injuries from road crashes</w:t>
      </w:r>
      <w:r w:rsidRPr="001E1FBA">
        <w:rPr>
          <w:rFonts w:ascii="Arial" w:hAnsi="Arial" w:cs="Arial"/>
        </w:rPr>
        <w:t> publication (September 2023 update).</w:t>
      </w:r>
    </w:p>
    <w:p w14:paraId="3C848169" w14:textId="54F69937" w:rsidR="00AB2D37" w:rsidRPr="001E1FBA" w:rsidRDefault="005C0A07" w:rsidP="00AB2D37">
      <w:pPr>
        <w:ind w:left="180"/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Data summary table: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219"/>
        <w:gridCol w:w="4231"/>
      </w:tblGrid>
      <w:tr w:rsidR="0046733B" w:rsidRPr="001E1FBA" w14:paraId="024E072E" w14:textId="77777777" w:rsidTr="0046733B">
        <w:tc>
          <w:tcPr>
            <w:tcW w:w="4315" w:type="dxa"/>
          </w:tcPr>
          <w:p w14:paraId="67ED64A4" w14:textId="4F1722A3" w:rsidR="0046733B" w:rsidRPr="001E1FBA" w:rsidRDefault="0046733B" w:rsidP="00AB2D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4315" w:type="dxa"/>
          </w:tcPr>
          <w:p w14:paraId="193ADD71" w14:textId="2A182854" w:rsidR="0046733B" w:rsidRPr="001E1FBA" w:rsidRDefault="0046733B" w:rsidP="00AB2D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Value</w:t>
            </w:r>
          </w:p>
        </w:tc>
      </w:tr>
      <w:tr w:rsidR="0046733B" w:rsidRPr="001E1FBA" w14:paraId="76F8FF0C" w14:textId="77777777" w:rsidTr="0046733B">
        <w:tc>
          <w:tcPr>
            <w:tcW w:w="4315" w:type="dxa"/>
          </w:tcPr>
          <w:p w14:paraId="06761BFF" w14:textId="661DB9BE" w:rsidR="0046733B" w:rsidRPr="001E1FBA" w:rsidRDefault="0014117B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Time period</w:t>
            </w:r>
          </w:p>
        </w:tc>
        <w:tc>
          <w:tcPr>
            <w:tcW w:w="4315" w:type="dxa"/>
          </w:tcPr>
          <w:p w14:paraId="7C1CC686" w14:textId="32AE1579" w:rsidR="0046733B" w:rsidRPr="001E1FBA" w:rsidRDefault="00446BF2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2011 – 2021 (annual, plus 6</w:t>
            </w:r>
            <w:r w:rsidRPr="001E1FBA">
              <w:rPr>
                <w:rFonts w:ascii="Arial" w:hAnsi="Arial" w:cs="Arial"/>
              </w:rPr>
              <w:noBreakHyphen/>
              <w:t>monthly in raw sheets)</w:t>
            </w:r>
          </w:p>
        </w:tc>
      </w:tr>
      <w:tr w:rsidR="0046733B" w:rsidRPr="001E1FBA" w14:paraId="6628A197" w14:textId="77777777" w:rsidTr="0046733B">
        <w:tc>
          <w:tcPr>
            <w:tcW w:w="4315" w:type="dxa"/>
          </w:tcPr>
          <w:p w14:paraId="495D7482" w14:textId="096A37EB" w:rsidR="0046733B" w:rsidRPr="001E1FBA" w:rsidRDefault="0014117B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Number of records (raw sheets)</w:t>
            </w:r>
          </w:p>
        </w:tc>
        <w:tc>
          <w:tcPr>
            <w:tcW w:w="4315" w:type="dxa"/>
          </w:tcPr>
          <w:p w14:paraId="214B7087" w14:textId="77B8EFFB" w:rsidR="0046733B" w:rsidRPr="001E1FBA" w:rsidRDefault="003A3E51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~2,500 rows per file (after filtering cause of injury = Traffic)</w:t>
            </w:r>
          </w:p>
        </w:tc>
      </w:tr>
      <w:tr w:rsidR="0046733B" w:rsidRPr="001E1FBA" w14:paraId="7BA81482" w14:textId="77777777" w:rsidTr="0046733B">
        <w:tc>
          <w:tcPr>
            <w:tcW w:w="4315" w:type="dxa"/>
          </w:tcPr>
          <w:p w14:paraId="3FCC00B0" w14:textId="2FAE7A78" w:rsidR="0046733B" w:rsidRPr="001E1FBA" w:rsidRDefault="0014117B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Key attributes</w:t>
            </w:r>
          </w:p>
        </w:tc>
        <w:tc>
          <w:tcPr>
            <w:tcW w:w="4315" w:type="dxa"/>
          </w:tcPr>
          <w:p w14:paraId="104329D2" w14:textId="7D92FC55" w:rsidR="0046733B" w:rsidRPr="001E1FBA" w:rsidRDefault="003A3E51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calendar year, state/territory, First Nations status, count of cases, road user, age group, counterparty</w:t>
            </w:r>
          </w:p>
        </w:tc>
      </w:tr>
      <w:tr w:rsidR="0046733B" w:rsidRPr="001E1FBA" w14:paraId="340259A4" w14:textId="77777777" w:rsidTr="0046733B">
        <w:tc>
          <w:tcPr>
            <w:tcW w:w="4315" w:type="dxa"/>
          </w:tcPr>
          <w:p w14:paraId="7A27BA68" w14:textId="4B25DA31" w:rsidR="0046733B" w:rsidRPr="001E1FBA" w:rsidRDefault="00FC2557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Update frequency</w:t>
            </w:r>
          </w:p>
        </w:tc>
        <w:tc>
          <w:tcPr>
            <w:tcW w:w="4315" w:type="dxa"/>
          </w:tcPr>
          <w:p w14:paraId="6127194C" w14:textId="18DBA492" w:rsidR="0046733B" w:rsidRPr="001E1FBA" w:rsidRDefault="003A3E51" w:rsidP="00AB2D37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Irregular (~every 2</w:t>
            </w:r>
            <w:r w:rsidRPr="001E1FBA">
              <w:rPr>
                <w:rFonts w:ascii="Arial" w:hAnsi="Arial" w:cs="Arial"/>
              </w:rPr>
              <w:noBreakHyphen/>
              <w:t xml:space="preserve">3 </w:t>
            </w:r>
            <w:proofErr w:type="gramStart"/>
            <w:r w:rsidRPr="001E1FBA">
              <w:rPr>
                <w:rFonts w:ascii="Arial" w:hAnsi="Arial" w:cs="Arial"/>
              </w:rPr>
              <w:t>years</w:t>
            </w:r>
            <w:proofErr w:type="gramEnd"/>
            <w:r w:rsidRPr="001E1FBA">
              <w:rPr>
                <w:rFonts w:ascii="Arial" w:hAnsi="Arial" w:cs="Arial"/>
              </w:rPr>
              <w:t>)</w:t>
            </w:r>
          </w:p>
        </w:tc>
      </w:tr>
    </w:tbl>
    <w:p w14:paraId="01F7A1C1" w14:textId="77777777" w:rsidR="005C0A07" w:rsidRPr="001E1FBA" w:rsidRDefault="005C0A07" w:rsidP="00AB2D37">
      <w:pPr>
        <w:ind w:left="180"/>
        <w:rPr>
          <w:rFonts w:ascii="Arial" w:hAnsi="Arial" w:cs="Arial"/>
          <w:b/>
          <w:bCs/>
        </w:rPr>
      </w:pPr>
    </w:p>
    <w:p w14:paraId="3BB84BE9" w14:textId="050F85CC" w:rsidR="003A3E51" w:rsidRPr="001E1FBA" w:rsidRDefault="003A3E51" w:rsidP="003A3E51">
      <w:pPr>
        <w:ind w:left="180"/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Data governance:</w:t>
      </w:r>
    </w:p>
    <w:tbl>
      <w:tblPr>
        <w:tblStyle w:val="TableGrid"/>
        <w:tblW w:w="9625" w:type="dxa"/>
        <w:tblInd w:w="180" w:type="dxa"/>
        <w:tblLook w:val="04A0" w:firstRow="1" w:lastRow="0" w:firstColumn="1" w:lastColumn="0" w:noHBand="0" w:noVBand="1"/>
      </w:tblPr>
      <w:tblGrid>
        <w:gridCol w:w="2875"/>
        <w:gridCol w:w="6750"/>
      </w:tblGrid>
      <w:tr w:rsidR="001E21F1" w:rsidRPr="001E1FBA" w14:paraId="08652426" w14:textId="77777777" w:rsidTr="00DE5430">
        <w:tc>
          <w:tcPr>
            <w:tcW w:w="2875" w:type="dxa"/>
          </w:tcPr>
          <w:p w14:paraId="68A2733A" w14:textId="58EAF119" w:rsidR="001E21F1" w:rsidRPr="001E1FBA" w:rsidRDefault="0088140C" w:rsidP="003A3E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6750" w:type="dxa"/>
          </w:tcPr>
          <w:p w14:paraId="3B2B54E8" w14:textId="36AD0F13" w:rsidR="0088140C" w:rsidRPr="001E1FBA" w:rsidRDefault="0088140C" w:rsidP="003A3E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1FBA">
              <w:rPr>
                <w:rFonts w:ascii="Arial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1E21F1" w:rsidRPr="001E1FBA" w14:paraId="6F6893AD" w14:textId="77777777" w:rsidTr="00DE5430">
        <w:tc>
          <w:tcPr>
            <w:tcW w:w="2875" w:type="dxa"/>
          </w:tcPr>
          <w:p w14:paraId="2B286D71" w14:textId="40F1BE9B" w:rsidR="001E21F1" w:rsidRPr="001E1FBA" w:rsidRDefault="0088140C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Data collection process</w:t>
            </w:r>
          </w:p>
        </w:tc>
        <w:tc>
          <w:tcPr>
            <w:tcW w:w="6750" w:type="dxa"/>
          </w:tcPr>
          <w:p w14:paraId="48FB6543" w14:textId="4C88190C" w:rsidR="001E21F1" w:rsidRPr="001E1FBA" w:rsidRDefault="00703F43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AIHW collects hospital admission data from states/territories → National Hospital Morbidity Database (NHMD) → BITRE extracts road</w:t>
            </w:r>
            <w:r w:rsidRPr="001E1FBA">
              <w:rPr>
                <w:rFonts w:ascii="Arial" w:hAnsi="Arial" w:cs="Arial"/>
              </w:rPr>
              <w:noBreakHyphen/>
              <w:t>crash related cases.</w:t>
            </w:r>
          </w:p>
        </w:tc>
      </w:tr>
      <w:tr w:rsidR="001E21F1" w:rsidRPr="001E1FBA" w14:paraId="12BD9130" w14:textId="77777777" w:rsidTr="00DE5430">
        <w:tc>
          <w:tcPr>
            <w:tcW w:w="2875" w:type="dxa"/>
          </w:tcPr>
          <w:p w14:paraId="19F659F9" w14:textId="353535F2" w:rsidR="001E21F1" w:rsidRPr="001E1FBA" w:rsidRDefault="00703F43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Data quality assessment</w:t>
            </w:r>
          </w:p>
        </w:tc>
        <w:tc>
          <w:tcPr>
            <w:tcW w:w="6750" w:type="dxa"/>
          </w:tcPr>
          <w:p w14:paraId="1AE65E55" w14:textId="6B1AADC2" w:rsidR="001E21F1" w:rsidRPr="001E1FBA" w:rsidRDefault="00864933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 xml:space="preserve">Generally high for major states (NSW, Vic, Qld, WA). Limitations: </w:t>
            </w:r>
            <w:proofErr w:type="spellStart"/>
            <w:r w:rsidRPr="001E1FBA">
              <w:rPr>
                <w:rFonts w:ascii="Arial" w:hAnsi="Arial" w:cs="Arial"/>
              </w:rPr>
              <w:t>n.p.</w:t>
            </w:r>
            <w:proofErr w:type="spellEnd"/>
            <w:r w:rsidRPr="001E1FBA">
              <w:rPr>
                <w:rFonts w:ascii="Arial" w:hAnsi="Arial" w:cs="Arial"/>
              </w:rPr>
              <w:t xml:space="preserve"> (not for publication) for small counts; break in series for NSW (June 2017) and Victoria (2012).</w:t>
            </w:r>
          </w:p>
        </w:tc>
      </w:tr>
      <w:tr w:rsidR="001E21F1" w:rsidRPr="001E1FBA" w14:paraId="1EC7A564" w14:textId="77777777" w:rsidTr="00DE5430">
        <w:tc>
          <w:tcPr>
            <w:tcW w:w="2875" w:type="dxa"/>
          </w:tcPr>
          <w:p w14:paraId="0D779BA8" w14:textId="67A8FCD4" w:rsidR="001E21F1" w:rsidRPr="001E1FBA" w:rsidRDefault="00703F43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Security, privacy, ethics</w:t>
            </w:r>
          </w:p>
        </w:tc>
        <w:tc>
          <w:tcPr>
            <w:tcW w:w="6750" w:type="dxa"/>
          </w:tcPr>
          <w:p w14:paraId="409B3EDE" w14:textId="01E971A3" w:rsidR="001E21F1" w:rsidRPr="001E1FBA" w:rsidRDefault="00DE5430" w:rsidP="003A3E5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De</w:t>
            </w:r>
            <w:r w:rsidRPr="001E1FBA">
              <w:rPr>
                <w:rFonts w:ascii="Cambria Math" w:hAnsi="Cambria Math" w:cs="Cambria Math"/>
              </w:rPr>
              <w:t>‑</w:t>
            </w:r>
            <w:r w:rsidRPr="001E1FBA">
              <w:rPr>
                <w:rFonts w:ascii="Arial" w:hAnsi="Arial" w:cs="Arial"/>
              </w:rPr>
              <w:t>identified aggregated data only. “</w:t>
            </w:r>
            <w:proofErr w:type="spellStart"/>
            <w:r w:rsidRPr="001E1FBA">
              <w:rPr>
                <w:rFonts w:ascii="Arial" w:hAnsi="Arial" w:cs="Arial"/>
              </w:rPr>
              <w:t>n.p.</w:t>
            </w:r>
            <w:proofErr w:type="spellEnd"/>
            <w:r w:rsidRPr="001E1FBA">
              <w:rPr>
                <w:rFonts w:ascii="Arial" w:hAnsi="Arial" w:cs="Arial"/>
              </w:rPr>
              <w:t>” suppresses small numbers to prevent re</w:t>
            </w:r>
            <w:r w:rsidRPr="001E1FBA">
              <w:rPr>
                <w:rFonts w:ascii="Cambria Math" w:hAnsi="Cambria Math" w:cs="Cambria Math"/>
              </w:rPr>
              <w:t>‑</w:t>
            </w:r>
            <w:r w:rsidRPr="001E1FBA">
              <w:rPr>
                <w:rFonts w:ascii="Arial" w:hAnsi="Arial" w:cs="Arial"/>
              </w:rPr>
              <w:t>identification. Publicly available open data – no ethical concerns.</w:t>
            </w:r>
          </w:p>
        </w:tc>
      </w:tr>
    </w:tbl>
    <w:p w14:paraId="7728052C" w14:textId="77777777" w:rsidR="007218CE" w:rsidRPr="001E1FBA" w:rsidRDefault="007218CE" w:rsidP="007218CE">
      <w:pPr>
        <w:ind w:left="180"/>
        <w:rPr>
          <w:rFonts w:ascii="Arial" w:hAnsi="Arial" w:cs="Arial"/>
          <w:b/>
          <w:bCs/>
        </w:rPr>
      </w:pPr>
    </w:p>
    <w:p w14:paraId="5139EAF1" w14:textId="50D42F51" w:rsidR="007218CE" w:rsidRPr="001E1FBA" w:rsidRDefault="007218CE" w:rsidP="007218CE">
      <w:pPr>
        <w:ind w:left="180"/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How data supports answering questions from Section 1.2</w:t>
      </w:r>
    </w:p>
    <w:p w14:paraId="1A5F1AA2" w14:textId="428149DB" w:rsidR="00744861" w:rsidRPr="001E1FBA" w:rsidRDefault="00744861" w:rsidP="00744861">
      <w:pPr>
        <w:ind w:left="270"/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Our </w:t>
      </w:r>
      <w:proofErr w:type="spellStart"/>
      <w:r w:rsidRPr="001E1FBA">
        <w:rPr>
          <w:rFonts w:ascii="Arial" w:hAnsi="Arial" w:cs="Arial"/>
        </w:rPr>
        <w:t>visualisation’s</w:t>
      </w:r>
      <w:proofErr w:type="spellEnd"/>
      <w:r w:rsidRPr="001E1FBA">
        <w:rPr>
          <w:rFonts w:ascii="Arial" w:hAnsi="Arial" w:cs="Arial"/>
        </w:rPr>
        <w:t xml:space="preserve"> four key questions require comparing First Nations vs non</w:t>
      </w:r>
      <w:r w:rsidRPr="001E1FBA">
        <w:rPr>
          <w:rFonts w:ascii="Arial" w:hAnsi="Arial" w:cs="Arial"/>
        </w:rPr>
        <w:noBreakHyphen/>
        <w:t>Indigenous hospitalisations by state and over time. The two datasets provide exactly that:</w:t>
      </w:r>
    </w:p>
    <w:p w14:paraId="76A951E5" w14:textId="77777777" w:rsidR="007218CE" w:rsidRPr="001E1FBA" w:rsidRDefault="007218CE" w:rsidP="007218C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lastRenderedPageBreak/>
        <w:t>In any selected state/territory, how do First Nations hospitalisation numbers compare with non</w:t>
      </w:r>
      <w:r w:rsidRPr="001E1FBA">
        <w:rPr>
          <w:rFonts w:ascii="Cambria Math" w:hAnsi="Cambria Math" w:cs="Cambria Math"/>
        </w:rPr>
        <w:t>‑</w:t>
      </w:r>
      <w:r w:rsidRPr="001E1FBA">
        <w:rPr>
          <w:rFonts w:ascii="Arial" w:hAnsi="Arial" w:cs="Arial"/>
        </w:rPr>
        <w:t>Indigenous?</w:t>
      </w:r>
    </w:p>
    <w:p w14:paraId="06CECF5C" w14:textId="24661FBD" w:rsidR="007218CE" w:rsidRPr="001E1FBA" w:rsidRDefault="00744861" w:rsidP="007218CE">
      <w:pPr>
        <w:pStyle w:val="ListParagraph"/>
        <w:numPr>
          <w:ilvl w:val="0"/>
          <w:numId w:val="13"/>
        </w:numPr>
        <w:ind w:left="1260"/>
        <w:rPr>
          <w:rFonts w:ascii="Arial" w:hAnsi="Arial" w:cs="Arial"/>
        </w:rPr>
      </w:pPr>
      <w:r w:rsidRPr="001E1FBA">
        <w:rPr>
          <w:rFonts w:ascii="Arial" w:hAnsi="Arial" w:cs="Arial"/>
        </w:rPr>
        <w:t>Merging on </w:t>
      </w:r>
      <w:r w:rsidRPr="001E1FBA">
        <w:rPr>
          <w:rFonts w:ascii="Arial" w:hAnsi="Arial" w:cs="Arial"/>
          <w:b/>
          <w:bCs/>
        </w:rPr>
        <w:t>year</w:t>
      </w:r>
      <w:r w:rsidRPr="001E1FBA">
        <w:rPr>
          <w:rFonts w:ascii="Arial" w:hAnsi="Arial" w:cs="Arial"/>
        </w:rPr>
        <w:t> + </w:t>
      </w:r>
      <w:r w:rsidRPr="001E1FBA">
        <w:rPr>
          <w:rFonts w:ascii="Arial" w:hAnsi="Arial" w:cs="Arial"/>
          <w:b/>
          <w:bCs/>
        </w:rPr>
        <w:t>state</w:t>
      </w:r>
      <w:r w:rsidRPr="001E1FBA">
        <w:rPr>
          <w:rFonts w:ascii="Arial" w:hAnsi="Arial" w:cs="Arial"/>
        </w:rPr>
        <w:t> puts both groups side</w:t>
      </w:r>
      <w:r w:rsidRPr="001E1FBA">
        <w:rPr>
          <w:rFonts w:ascii="Arial" w:hAnsi="Arial" w:cs="Arial"/>
        </w:rPr>
        <w:noBreakHyphen/>
        <w:t>by</w:t>
      </w:r>
      <w:r w:rsidRPr="001E1FBA">
        <w:rPr>
          <w:rFonts w:ascii="Arial" w:hAnsi="Arial" w:cs="Arial"/>
        </w:rPr>
        <w:noBreakHyphen/>
        <w:t>side per state.</w:t>
      </w:r>
    </w:p>
    <w:p w14:paraId="3E12A88A" w14:textId="77777777" w:rsidR="007218CE" w:rsidRPr="001E1FBA" w:rsidRDefault="007218CE" w:rsidP="007218C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Which state/territory has the largest gap – and has that ranking changed from 2011 to 2021?</w:t>
      </w:r>
    </w:p>
    <w:p w14:paraId="35768D23" w14:textId="323CB0F7" w:rsidR="00165D48" w:rsidRPr="001E1FBA" w:rsidRDefault="00165D48" w:rsidP="00165D48">
      <w:pPr>
        <w:pStyle w:val="ListParagraph"/>
        <w:numPr>
          <w:ilvl w:val="0"/>
          <w:numId w:val="13"/>
        </w:numPr>
        <w:ind w:left="1260"/>
        <w:rPr>
          <w:rFonts w:ascii="Arial" w:hAnsi="Arial" w:cs="Arial"/>
        </w:rPr>
      </w:pPr>
      <w:r w:rsidRPr="001E1FBA">
        <w:rPr>
          <w:rFonts w:ascii="Arial" w:hAnsi="Arial" w:cs="Arial"/>
        </w:rPr>
        <w:t>State breakdown allows ranking across 8 jurisdictions over 11 years.</w:t>
      </w:r>
    </w:p>
    <w:p w14:paraId="549DD8E1" w14:textId="77777777" w:rsidR="007218CE" w:rsidRPr="001E1FBA" w:rsidRDefault="007218CE" w:rsidP="007218C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Is the gap closing or widening in each jurisdiction?</w:t>
      </w:r>
    </w:p>
    <w:p w14:paraId="5B2C1784" w14:textId="257CB665" w:rsidR="00165D48" w:rsidRPr="001E1FBA" w:rsidRDefault="00165D48" w:rsidP="00165D48">
      <w:pPr>
        <w:pStyle w:val="ListParagraph"/>
        <w:numPr>
          <w:ilvl w:val="0"/>
          <w:numId w:val="13"/>
        </w:numPr>
        <w:ind w:left="1260"/>
        <w:rPr>
          <w:rFonts w:ascii="Arial" w:hAnsi="Arial" w:cs="Arial"/>
        </w:rPr>
      </w:pPr>
      <w:r w:rsidRPr="001E1FBA">
        <w:rPr>
          <w:rFonts w:ascii="Arial" w:hAnsi="Arial" w:cs="Arial"/>
        </w:rPr>
        <w:t>Year</w:t>
      </w:r>
      <w:r w:rsidRPr="001E1FBA">
        <w:rPr>
          <w:rFonts w:ascii="Arial" w:hAnsi="Arial" w:cs="Arial"/>
        </w:rPr>
        <w:noBreakHyphen/>
        <w:t>by</w:t>
      </w:r>
      <w:r w:rsidRPr="001E1FBA">
        <w:rPr>
          <w:rFonts w:ascii="Arial" w:hAnsi="Arial" w:cs="Arial"/>
        </w:rPr>
        <w:noBreakHyphen/>
        <w:t>year trends reveal direction of change.</w:t>
      </w:r>
    </w:p>
    <w:p w14:paraId="700F056B" w14:textId="0649B47D" w:rsidR="007218CE" w:rsidRPr="001E1FBA" w:rsidRDefault="007218CE" w:rsidP="007218C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What is the long</w:t>
      </w:r>
      <w:r w:rsidRPr="001E1FBA">
        <w:rPr>
          <w:rFonts w:ascii="Cambria Math" w:hAnsi="Cambria Math" w:cs="Cambria Math"/>
        </w:rPr>
        <w:t>‑</w:t>
      </w:r>
      <w:r w:rsidRPr="001E1FBA">
        <w:rPr>
          <w:rFonts w:ascii="Arial" w:hAnsi="Arial" w:cs="Arial"/>
        </w:rPr>
        <w:t>term trend for a specific state (e.g., NT vs NSW)?</w:t>
      </w:r>
    </w:p>
    <w:p w14:paraId="40E85B4C" w14:textId="454B269A" w:rsidR="00CE6B4C" w:rsidRPr="001E1FBA" w:rsidRDefault="00165D48" w:rsidP="00AB2D37">
      <w:pPr>
        <w:pStyle w:val="ListParagraph"/>
        <w:numPr>
          <w:ilvl w:val="0"/>
          <w:numId w:val="13"/>
        </w:numPr>
        <w:ind w:left="1260"/>
        <w:rPr>
          <w:rFonts w:ascii="Arial" w:hAnsi="Arial" w:cs="Arial"/>
        </w:rPr>
      </w:pPr>
      <w:r w:rsidRPr="001E1FBA">
        <w:rPr>
          <w:rFonts w:ascii="Arial" w:hAnsi="Arial" w:cs="Arial"/>
        </w:rPr>
        <w:t>2011</w:t>
      </w:r>
      <w:r w:rsidRPr="001E1FBA">
        <w:rPr>
          <w:rFonts w:ascii="Arial" w:hAnsi="Arial" w:cs="Arial"/>
        </w:rPr>
        <w:noBreakHyphen/>
        <w:t>2021 time series for each state shows trajectory.</w:t>
      </w:r>
    </w:p>
    <w:p w14:paraId="2D0348B4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5" w:name="_Toc228806021"/>
      <w:r w:rsidRPr="001E1FBA">
        <w:rPr>
          <w:rFonts w:ascii="Arial" w:hAnsi="Arial" w:cs="Arial"/>
        </w:rPr>
        <w:t>2.2 Data Processing and Analysis</w:t>
      </w:r>
      <w:bookmarkEnd w:id="5"/>
    </w:p>
    <w:p w14:paraId="6EF07D76" w14:textId="77777777" w:rsidR="00C2638E" w:rsidRPr="001E1FBA" w:rsidRDefault="00456274">
      <w:p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The two raw BITRE/AIHW workbooks were not analysis ready. The National file was a clean long-form table on its raw sheet (117,919 rows, monthly granularity); the State/Territory file was a raw sheet with </w:t>
      </w:r>
      <w:r w:rsidRPr="001E1FBA">
        <w:rPr>
          <w:rFonts w:ascii="Arial" w:hAnsi="Arial" w:cs="Arial"/>
          <w:b/>
          <w:bCs/>
        </w:rPr>
        <w:t>five separate tables placed side-by-side in one worksheet</w:t>
      </w:r>
      <w:r w:rsidRPr="001E1FBA">
        <w:rPr>
          <w:rFonts w:ascii="Arial" w:hAnsi="Arial" w:cs="Arial"/>
        </w:rPr>
        <w:t xml:space="preserve"> (1,372 rows of mixed-header structure). Both files had to be cleaned, normalised, aggregated, and merged in KNIME before they could be loaded by the dashboard. The output was a single CSV (mergedData.csv, 1,384 rows × 9 columns) consumed at runtime via d3.csv ().</w:t>
      </w:r>
    </w:p>
    <w:p w14:paraId="6706F3A0" w14:textId="77777777" w:rsidR="00C2638E" w:rsidRPr="001E1FBA" w:rsidRDefault="00C2638E" w:rsidP="00C2638E">
      <w:pPr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Key attributes and data types</w:t>
      </w:r>
    </w:p>
    <w:tbl>
      <w:tblPr>
        <w:tblW w:w="11790" w:type="dxa"/>
        <w:tblCellSpacing w:w="15" w:type="dxa"/>
        <w:tblInd w:w="-1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07"/>
        <w:gridCol w:w="4223"/>
        <w:gridCol w:w="2790"/>
      </w:tblGrid>
      <w:tr w:rsidR="00C2638E" w:rsidRPr="001E1FBA" w14:paraId="3EFED8BC" w14:textId="77777777" w:rsidTr="00C2638E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0BD2A7A" w14:textId="77777777" w:rsidR="00C2638E" w:rsidRPr="001E1FBA" w:rsidRDefault="00C2638E" w:rsidP="00C2638E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Attribute</w:t>
            </w:r>
          </w:p>
        </w:tc>
        <w:tc>
          <w:tcPr>
            <w:tcW w:w="2677" w:type="dxa"/>
            <w:vAlign w:val="center"/>
            <w:hideMark/>
          </w:tcPr>
          <w:p w14:paraId="44134CA2" w14:textId="77777777" w:rsidR="00C2638E" w:rsidRPr="001E1FBA" w:rsidRDefault="00C2638E" w:rsidP="00C2638E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4193" w:type="dxa"/>
            <w:vAlign w:val="center"/>
            <w:hideMark/>
          </w:tcPr>
          <w:p w14:paraId="336FB32D" w14:textId="77777777" w:rsidR="00C2638E" w:rsidRPr="001E1FBA" w:rsidRDefault="00C2638E" w:rsidP="00C2638E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Example values</w:t>
            </w:r>
          </w:p>
        </w:tc>
        <w:tc>
          <w:tcPr>
            <w:tcW w:w="2745" w:type="dxa"/>
            <w:vAlign w:val="center"/>
            <w:hideMark/>
          </w:tcPr>
          <w:p w14:paraId="5F399465" w14:textId="77777777" w:rsidR="00C2638E" w:rsidRPr="001E1FBA" w:rsidRDefault="00C2638E" w:rsidP="00C2638E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Used by</w:t>
            </w:r>
          </w:p>
        </w:tc>
      </w:tr>
      <w:tr w:rsidR="00C2638E" w:rsidRPr="001E1FBA" w14:paraId="020E7DB2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1CD694E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Calendar year</w:t>
            </w:r>
          </w:p>
        </w:tc>
        <w:tc>
          <w:tcPr>
            <w:tcW w:w="2677" w:type="dxa"/>
            <w:vAlign w:val="center"/>
            <w:hideMark/>
          </w:tcPr>
          <w:p w14:paraId="504DBA57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Interval (discrete numeric)</w:t>
            </w:r>
          </w:p>
        </w:tc>
        <w:tc>
          <w:tcPr>
            <w:tcW w:w="4193" w:type="dxa"/>
            <w:vAlign w:val="center"/>
            <w:hideMark/>
          </w:tcPr>
          <w:p w14:paraId="50F26FC0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2011, 2012, …, 2021</w:t>
            </w:r>
          </w:p>
        </w:tc>
        <w:tc>
          <w:tcPr>
            <w:tcW w:w="2745" w:type="dxa"/>
            <w:vAlign w:val="center"/>
            <w:hideMark/>
          </w:tcPr>
          <w:p w14:paraId="7FB5F1E9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Stream graph x-axis; filter</w:t>
            </w:r>
          </w:p>
        </w:tc>
      </w:tr>
      <w:tr w:rsidR="00C2638E" w:rsidRPr="001E1FBA" w14:paraId="3EDFBE99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0F8C77F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6-monthly</w:t>
            </w:r>
          </w:p>
        </w:tc>
        <w:tc>
          <w:tcPr>
            <w:tcW w:w="2677" w:type="dxa"/>
            <w:vAlign w:val="center"/>
            <w:hideMark/>
          </w:tcPr>
          <w:p w14:paraId="6309FE98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Ordinal categorical</w:t>
            </w:r>
          </w:p>
        </w:tc>
        <w:tc>
          <w:tcPr>
            <w:tcW w:w="4193" w:type="dxa"/>
            <w:vAlign w:val="center"/>
            <w:hideMark/>
          </w:tcPr>
          <w:p w14:paraId="11790B8C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Jan–Jun, Jul–Dec</w:t>
            </w:r>
          </w:p>
        </w:tc>
        <w:tc>
          <w:tcPr>
            <w:tcW w:w="2745" w:type="dxa"/>
            <w:vAlign w:val="center"/>
            <w:hideMark/>
          </w:tcPr>
          <w:p w14:paraId="6BBCA3AB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Temporal grain (not exposed in UI)</w:t>
            </w:r>
          </w:p>
        </w:tc>
      </w:tr>
      <w:tr w:rsidR="00C2638E" w:rsidRPr="001E1FBA" w14:paraId="14EFD93E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89FC794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Cause of injury</w:t>
            </w:r>
          </w:p>
        </w:tc>
        <w:tc>
          <w:tcPr>
            <w:tcW w:w="2677" w:type="dxa"/>
            <w:vAlign w:val="center"/>
            <w:hideMark/>
          </w:tcPr>
          <w:p w14:paraId="14B843FF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Nominal categorical</w:t>
            </w:r>
          </w:p>
        </w:tc>
        <w:tc>
          <w:tcPr>
            <w:tcW w:w="4193" w:type="dxa"/>
            <w:vAlign w:val="center"/>
            <w:hideMark/>
          </w:tcPr>
          <w:p w14:paraId="7C154F32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Traffic</w:t>
            </w:r>
          </w:p>
        </w:tc>
        <w:tc>
          <w:tcPr>
            <w:tcW w:w="2745" w:type="dxa"/>
            <w:vAlign w:val="center"/>
            <w:hideMark/>
          </w:tcPr>
          <w:p w14:paraId="588C2EE4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Filter constant (kept only "Traffic")</w:t>
            </w:r>
          </w:p>
        </w:tc>
      </w:tr>
      <w:tr w:rsidR="00C2638E" w:rsidRPr="001E1FBA" w14:paraId="7A95FB23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6DCF07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State or territory</w:t>
            </w:r>
          </w:p>
        </w:tc>
        <w:tc>
          <w:tcPr>
            <w:tcW w:w="2677" w:type="dxa"/>
            <w:vAlign w:val="center"/>
            <w:hideMark/>
          </w:tcPr>
          <w:p w14:paraId="1FAC1F87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Nominal categorical</w:t>
            </w:r>
          </w:p>
        </w:tc>
        <w:tc>
          <w:tcPr>
            <w:tcW w:w="4193" w:type="dxa"/>
            <w:vAlign w:val="center"/>
            <w:hideMark/>
          </w:tcPr>
          <w:p w14:paraId="29424BAC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NSW, Vic, Qld, WA, SA, NT, Tas, ACT, Australia</w:t>
            </w:r>
          </w:p>
        </w:tc>
        <w:tc>
          <w:tcPr>
            <w:tcW w:w="2745" w:type="dxa"/>
            <w:vAlign w:val="center"/>
            <w:hideMark/>
          </w:tcPr>
          <w:p w14:paraId="6F5DBFDA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Choropleth; state filter</w:t>
            </w:r>
          </w:p>
        </w:tc>
      </w:tr>
      <w:tr w:rsidR="00C2638E" w:rsidRPr="001E1FBA" w14:paraId="1E13056C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6D0721C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Breakdown type</w:t>
            </w:r>
          </w:p>
        </w:tc>
        <w:tc>
          <w:tcPr>
            <w:tcW w:w="2677" w:type="dxa"/>
            <w:vAlign w:val="center"/>
            <w:hideMark/>
          </w:tcPr>
          <w:p w14:paraId="65B69AE0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Nominal categorical</w:t>
            </w:r>
          </w:p>
        </w:tc>
        <w:tc>
          <w:tcPr>
            <w:tcW w:w="4193" w:type="dxa"/>
            <w:vAlign w:val="center"/>
            <w:hideMark/>
          </w:tcPr>
          <w:p w14:paraId="29606323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Total, Road user</w:t>
            </w:r>
          </w:p>
        </w:tc>
        <w:tc>
          <w:tcPr>
            <w:tcW w:w="2745" w:type="dxa"/>
            <w:vAlign w:val="center"/>
            <w:hideMark/>
          </w:tcPr>
          <w:p w14:paraId="71C7EE6F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Routing data to the right chart</w:t>
            </w:r>
          </w:p>
        </w:tc>
      </w:tr>
      <w:tr w:rsidR="00C2638E" w:rsidRPr="001E1FBA" w14:paraId="0FF228D9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AC3C5B1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Breakdown value</w:t>
            </w:r>
          </w:p>
        </w:tc>
        <w:tc>
          <w:tcPr>
            <w:tcW w:w="2677" w:type="dxa"/>
            <w:vAlign w:val="center"/>
            <w:hideMark/>
          </w:tcPr>
          <w:p w14:paraId="2383FFC1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Nominal categorical</w:t>
            </w:r>
          </w:p>
        </w:tc>
        <w:tc>
          <w:tcPr>
            <w:tcW w:w="4193" w:type="dxa"/>
            <w:vAlign w:val="center"/>
            <w:hideMark/>
          </w:tcPr>
          <w:p w14:paraId="19F74A89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Car driver/passenger, Motorcyclist, Pedal cyclist, Pedestrian, Heavy transport, Pick-up/van, Bus, Other, Total</w:t>
            </w:r>
          </w:p>
        </w:tc>
        <w:tc>
          <w:tcPr>
            <w:tcW w:w="2745" w:type="dxa"/>
            <w:vAlign w:val="center"/>
            <w:hideMark/>
          </w:tcPr>
          <w:p w14:paraId="3EF31ED2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 xml:space="preserve">Stream/Parliament/Waffle </w:t>
            </w:r>
            <w:proofErr w:type="spellStart"/>
            <w:r w:rsidRPr="001E1FBA">
              <w:rPr>
                <w:rFonts w:ascii="Arial" w:hAnsi="Arial" w:cs="Arial"/>
              </w:rPr>
              <w:t>colour</w:t>
            </w:r>
            <w:proofErr w:type="spellEnd"/>
            <w:r w:rsidRPr="001E1FBA">
              <w:rPr>
                <w:rFonts w:ascii="Arial" w:hAnsi="Arial" w:cs="Arial"/>
              </w:rPr>
              <w:t xml:space="preserve"> &amp; shape</w:t>
            </w:r>
          </w:p>
        </w:tc>
      </w:tr>
      <w:tr w:rsidR="00C2638E" w:rsidRPr="001E1FBA" w14:paraId="57C2D6A4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815B60B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Data level</w:t>
            </w:r>
          </w:p>
        </w:tc>
        <w:tc>
          <w:tcPr>
            <w:tcW w:w="2677" w:type="dxa"/>
            <w:vAlign w:val="center"/>
            <w:hideMark/>
          </w:tcPr>
          <w:p w14:paraId="53F59A16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Nominal categorical</w:t>
            </w:r>
          </w:p>
        </w:tc>
        <w:tc>
          <w:tcPr>
            <w:tcW w:w="4193" w:type="dxa"/>
            <w:vAlign w:val="center"/>
            <w:hideMark/>
          </w:tcPr>
          <w:p w14:paraId="102532E2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National, State/Territory</w:t>
            </w:r>
          </w:p>
        </w:tc>
        <w:tc>
          <w:tcPr>
            <w:tcW w:w="2745" w:type="dxa"/>
            <w:vAlign w:val="center"/>
            <w:hideMark/>
          </w:tcPr>
          <w:p w14:paraId="7E1DC95C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Aggregation routing</w:t>
            </w:r>
          </w:p>
        </w:tc>
      </w:tr>
      <w:tr w:rsidR="00C2638E" w:rsidRPr="001E1FBA" w14:paraId="0D3544BB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8B1341B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lastRenderedPageBreak/>
              <w:t>Hospitalisations</w:t>
            </w:r>
          </w:p>
        </w:tc>
        <w:tc>
          <w:tcPr>
            <w:tcW w:w="2677" w:type="dxa"/>
            <w:vAlign w:val="center"/>
            <w:hideMark/>
          </w:tcPr>
          <w:p w14:paraId="7128EA8A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Ratio (quantitative)</w:t>
            </w:r>
          </w:p>
        </w:tc>
        <w:tc>
          <w:tcPr>
            <w:tcW w:w="4193" w:type="dxa"/>
            <w:vAlign w:val="center"/>
            <w:hideMark/>
          </w:tcPr>
          <w:p w14:paraId="49BA9E34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1,191</w:t>
            </w:r>
          </w:p>
        </w:tc>
        <w:tc>
          <w:tcPr>
            <w:tcW w:w="2745" w:type="dxa"/>
            <w:vAlign w:val="center"/>
            <w:hideMark/>
          </w:tcPr>
          <w:p w14:paraId="1754044A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Primary measure encoded by every chart</w:t>
            </w:r>
          </w:p>
        </w:tc>
      </w:tr>
      <w:tr w:rsidR="00C2638E" w:rsidRPr="001E1FBA" w14:paraId="79F1572B" w14:textId="77777777" w:rsidTr="00C2638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F9A761A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Bed days</w:t>
            </w:r>
          </w:p>
        </w:tc>
        <w:tc>
          <w:tcPr>
            <w:tcW w:w="2677" w:type="dxa"/>
            <w:vAlign w:val="center"/>
            <w:hideMark/>
          </w:tcPr>
          <w:p w14:paraId="73B197D0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Ratio (quantitative)</w:t>
            </w:r>
          </w:p>
        </w:tc>
        <w:tc>
          <w:tcPr>
            <w:tcW w:w="4193" w:type="dxa"/>
            <w:vAlign w:val="center"/>
            <w:hideMark/>
          </w:tcPr>
          <w:p w14:paraId="7F19F4A1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6,147</w:t>
            </w:r>
          </w:p>
        </w:tc>
        <w:tc>
          <w:tcPr>
            <w:tcW w:w="2745" w:type="dxa"/>
            <w:vAlign w:val="center"/>
            <w:hideMark/>
          </w:tcPr>
          <w:p w14:paraId="21CABE40" w14:textId="77777777" w:rsidR="00C2638E" w:rsidRPr="001E1FBA" w:rsidRDefault="00C2638E" w:rsidP="00C2638E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Reserved for future "severity" view</w:t>
            </w:r>
          </w:p>
        </w:tc>
      </w:tr>
    </w:tbl>
    <w:p w14:paraId="7208EFEA" w14:textId="0113C81C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br/>
      </w:r>
    </w:p>
    <w:p w14:paraId="5BE8CBA2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6" w:name="_Toc228806022"/>
      <w:r w:rsidRPr="001E1FBA">
        <w:rPr>
          <w:rFonts w:ascii="Arial" w:hAnsi="Arial" w:cs="Arial"/>
        </w:rPr>
        <w:t>2.3 Data Exploration</w:t>
      </w:r>
      <w:bookmarkEnd w:id="6"/>
    </w:p>
    <w:p w14:paraId="0CD8E7C9" w14:textId="77777777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t>Write your content here.</w:t>
      </w:r>
      <w:r w:rsidRPr="001E1FBA">
        <w:rPr>
          <w:rFonts w:ascii="Arial" w:hAnsi="Arial" w:cs="Arial"/>
        </w:rPr>
        <w:br/>
      </w:r>
    </w:p>
    <w:p w14:paraId="69058809" w14:textId="14615902" w:rsidR="00CE6B4C" w:rsidRPr="001E1FBA" w:rsidRDefault="009E53E7" w:rsidP="00E823C8">
      <w:pPr>
        <w:pStyle w:val="Heading1"/>
        <w:rPr>
          <w:rFonts w:ascii="Arial" w:hAnsi="Arial" w:cs="Arial"/>
        </w:rPr>
      </w:pPr>
      <w:bookmarkStart w:id="7" w:name="_Toc228806023"/>
      <w:r w:rsidRPr="001E1FBA">
        <w:rPr>
          <w:rFonts w:ascii="Arial" w:hAnsi="Arial" w:cs="Arial"/>
        </w:rPr>
        <w:t>3</w:t>
      </w:r>
      <w:r w:rsidR="001028BA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 xml:space="preserve"> Visualisation Design</w:t>
      </w:r>
      <w:bookmarkEnd w:id="7"/>
    </w:p>
    <w:p w14:paraId="1440B809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8" w:name="_Toc228806024"/>
      <w:r w:rsidRPr="001E1FBA">
        <w:rPr>
          <w:rFonts w:ascii="Arial" w:hAnsi="Arial" w:cs="Arial"/>
        </w:rPr>
        <w:t>3.1 Website Design</w:t>
      </w:r>
      <w:bookmarkEnd w:id="8"/>
    </w:p>
    <w:p w14:paraId="6013BA07" w14:textId="77777777" w:rsidR="00706AA6" w:rsidRPr="001E1FBA" w:rsidRDefault="00706AA6" w:rsidP="00706AA6">
      <w:pPr>
        <w:rPr>
          <w:rFonts w:ascii="Arial" w:hAnsi="Arial" w:cs="Arial"/>
        </w:rPr>
      </w:pPr>
      <w:r w:rsidRPr="001E1FBA">
        <w:rPr>
          <w:rFonts w:ascii="Arial" w:hAnsi="Arial" w:cs="Arial"/>
        </w:rPr>
        <w:t>The website is a single-page interactive dashboard built in HTML, CSS, and JavaScript with D3.js v7. It is laid out as a vertical stack of three horizontal regions, sized to fit one viewport with no page scrolling.</w:t>
      </w:r>
    </w:p>
    <w:p w14:paraId="6FD47F46" w14:textId="77777777" w:rsidR="00706AA6" w:rsidRPr="001E1FBA" w:rsidRDefault="00706AA6" w:rsidP="00706AA6">
      <w:pPr>
        <w:numPr>
          <w:ilvl w:val="0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Header strip</w:t>
      </w:r>
      <w:r w:rsidRPr="001E1FBA">
        <w:rPr>
          <w:rFonts w:ascii="Arial" w:hAnsi="Arial" w:cs="Arial"/>
        </w:rPr>
        <w:t xml:space="preserve"> — title ("Hospitalised injuries from road crashes"), </w:t>
      </w:r>
      <w:proofErr w:type="gramStart"/>
      <w:r w:rsidRPr="001E1FBA">
        <w:rPr>
          <w:rFonts w:ascii="Arial" w:hAnsi="Arial" w:cs="Arial"/>
        </w:rPr>
        <w:t>subtitle</w:t>
      </w:r>
      <w:proofErr w:type="gramEnd"/>
      <w:r w:rsidRPr="001E1FBA">
        <w:rPr>
          <w:rFonts w:ascii="Arial" w:hAnsi="Arial" w:cs="Arial"/>
        </w:rPr>
        <w:t>, data source, and a hero panel showing the currently selected year.</w:t>
      </w:r>
    </w:p>
    <w:p w14:paraId="46238D60" w14:textId="77777777" w:rsidR="00706AA6" w:rsidRPr="001E1FBA" w:rsidRDefault="00706AA6" w:rsidP="00706AA6">
      <w:pPr>
        <w:numPr>
          <w:ilvl w:val="0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KPI row</w:t>
      </w:r>
      <w:r w:rsidRPr="001E1FBA">
        <w:rPr>
          <w:rFonts w:ascii="Arial" w:hAnsi="Arial" w:cs="Arial"/>
        </w:rPr>
        <w:t xml:space="preserve"> — four cards showing Total hospitalisations for the selected year, Top state/territory, Selected-period trend %, and Current focus state.</w:t>
      </w:r>
    </w:p>
    <w:p w14:paraId="5CF379E9" w14:textId="77777777" w:rsidR="00706AA6" w:rsidRPr="001E1FBA" w:rsidRDefault="00706AA6" w:rsidP="00706AA6">
      <w:pPr>
        <w:numPr>
          <w:ilvl w:val="0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 xml:space="preserve">Cube workspace (main </w:t>
      </w:r>
      <w:proofErr w:type="gramStart"/>
      <w:r w:rsidRPr="001E1FBA">
        <w:rPr>
          <w:rFonts w:ascii="Arial" w:hAnsi="Arial" w:cs="Arial"/>
          <w:b/>
          <w:bCs/>
        </w:rPr>
        <w:t>region)</w:t>
      </w:r>
      <w:r w:rsidRPr="001E1FBA">
        <w:rPr>
          <w:rFonts w:ascii="Arial" w:hAnsi="Arial" w:cs="Arial"/>
        </w:rPr>
        <w:t xml:space="preserve"> —</w:t>
      </w:r>
      <w:proofErr w:type="gramEnd"/>
      <w:r w:rsidRPr="001E1FBA">
        <w:rPr>
          <w:rFonts w:ascii="Arial" w:hAnsi="Arial" w:cs="Arial"/>
        </w:rPr>
        <w:t xml:space="preserve"> three columns from left to right: </w:t>
      </w:r>
    </w:p>
    <w:p w14:paraId="0398B7EA" w14:textId="77777777" w:rsidR="00706AA6" w:rsidRPr="001E1FBA" w:rsidRDefault="00706AA6" w:rsidP="00706AA6">
      <w:pPr>
        <w:numPr>
          <w:ilvl w:val="1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i/>
          <w:iCs/>
        </w:rPr>
        <w:t>Filter panel:</w:t>
      </w:r>
      <w:r w:rsidRPr="001E1FBA">
        <w:rPr>
          <w:rFonts w:ascii="Arial" w:hAnsi="Arial" w:cs="Arial"/>
        </w:rPr>
        <w:t xml:space="preserve"> year, state/territory, multi-select road-user checkboxes, metric toggle, and a Reset View button.</w:t>
      </w:r>
    </w:p>
    <w:p w14:paraId="14D43E70" w14:textId="77777777" w:rsidR="00706AA6" w:rsidRPr="001E1FBA" w:rsidRDefault="00706AA6" w:rsidP="00706AA6">
      <w:pPr>
        <w:numPr>
          <w:ilvl w:val="1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i/>
          <w:iCs/>
        </w:rPr>
        <w:t>Holographic projection chamber:</w:t>
      </w:r>
      <w:r w:rsidRPr="001E1FBA">
        <w:rPr>
          <w:rFonts w:ascii="Arial" w:hAnsi="Arial" w:cs="Arial"/>
        </w:rPr>
        <w:t xml:space="preserve"> a dark rounded panel with a perspective floor grid that houses the rotating 3D cube.</w:t>
      </w:r>
    </w:p>
    <w:p w14:paraId="2D6C0B88" w14:textId="77777777" w:rsidR="00706AA6" w:rsidRPr="001E1FBA" w:rsidRDefault="00706AA6" w:rsidP="00706AA6">
      <w:pPr>
        <w:numPr>
          <w:ilvl w:val="1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i/>
          <w:iCs/>
        </w:rPr>
        <w:t>Snap-control sidebar:</w:t>
      </w:r>
      <w:r w:rsidRPr="001E1FBA">
        <w:rPr>
          <w:rFonts w:ascii="Arial" w:hAnsi="Arial" w:cs="Arial"/>
        </w:rPr>
        <w:t xml:space="preserve"> one button per face (Stream / Parliament / Waffle / Choropleth), pause/resume auto-rotation, and a "now viewing" status pill.</w:t>
      </w:r>
    </w:p>
    <w:p w14:paraId="250326C4" w14:textId="77777777" w:rsidR="00706AA6" w:rsidRPr="001E1FBA" w:rsidRDefault="00706AA6" w:rsidP="00706AA6">
      <w:pPr>
        <w:numPr>
          <w:ilvl w:val="0"/>
          <w:numId w:val="15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Footer</w:t>
      </w:r>
      <w:r w:rsidRPr="001E1FBA">
        <w:rPr>
          <w:rFonts w:ascii="Arial" w:hAnsi="Arial" w:cs="Arial"/>
        </w:rPr>
        <w:t xml:space="preserve"> — data caveats (</w:t>
      </w:r>
      <w:proofErr w:type="spellStart"/>
      <w:r w:rsidRPr="001E1FBA">
        <w:rPr>
          <w:rFonts w:ascii="Arial" w:hAnsi="Arial" w:cs="Arial"/>
        </w:rPr>
        <w:t>n.p.</w:t>
      </w:r>
      <w:proofErr w:type="spellEnd"/>
      <w:r w:rsidRPr="001E1FBA">
        <w:rPr>
          <w:rFonts w:ascii="Arial" w:hAnsi="Arial" w:cs="Arial"/>
        </w:rPr>
        <w:t xml:space="preserve"> suppression, NSW 2017 and Vic 2012 break-in-series).</w:t>
      </w:r>
    </w:p>
    <w:p w14:paraId="11E0E0ED" w14:textId="78B4A3BA" w:rsidR="00CE6B4C" w:rsidRPr="001E1FBA" w:rsidRDefault="00706AA6">
      <w:p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The dashboard uses a light, cyan-accented theme overall, with the cube sitting inside a dark sci-fi-style chamber for contrast. The layout is responsive — on screens under 900 </w:t>
      </w:r>
      <w:proofErr w:type="spellStart"/>
      <w:r w:rsidRPr="001E1FBA">
        <w:rPr>
          <w:rFonts w:ascii="Arial" w:hAnsi="Arial" w:cs="Arial"/>
        </w:rPr>
        <w:t>px</w:t>
      </w:r>
      <w:proofErr w:type="spellEnd"/>
      <w:r w:rsidRPr="001E1FBA">
        <w:rPr>
          <w:rFonts w:ascii="Arial" w:hAnsi="Arial" w:cs="Arial"/>
        </w:rPr>
        <w:t xml:space="preserve"> wide, the filter and control panels stack above and below the cube.</w:t>
      </w:r>
    </w:p>
    <w:p w14:paraId="7B21ABA7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9" w:name="_Toc228806025"/>
      <w:r w:rsidRPr="001E1FBA">
        <w:rPr>
          <w:rFonts w:ascii="Arial" w:hAnsi="Arial" w:cs="Arial"/>
        </w:rPr>
        <w:lastRenderedPageBreak/>
        <w:t>3.2 Visualisation Design</w:t>
      </w:r>
      <w:bookmarkEnd w:id="9"/>
    </w:p>
    <w:p w14:paraId="0BD48B76" w14:textId="77777777" w:rsidR="00684FEA" w:rsidRPr="001E1FBA" w:rsidRDefault="00684FEA" w:rsidP="00684FEA">
      <w:pPr>
        <w:rPr>
          <w:rFonts w:ascii="Arial" w:hAnsi="Arial" w:cs="Arial"/>
        </w:rPr>
      </w:pPr>
      <w:r w:rsidRPr="001E1FBA">
        <w:rPr>
          <w:rFonts w:ascii="Arial" w:hAnsi="Arial" w:cs="Arial"/>
        </w:rPr>
        <w:t>Rather than a static grid of charts, the four planned visualisations sit on the four side faces of a single 3D cube the user rotates to browse.</w:t>
      </w:r>
    </w:p>
    <w:tbl>
      <w:tblPr>
        <w:tblW w:w="1143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710"/>
        <w:gridCol w:w="3960"/>
        <w:gridCol w:w="4860"/>
      </w:tblGrid>
      <w:tr w:rsidR="00684FEA" w:rsidRPr="001E1FBA" w14:paraId="4FD19BD8" w14:textId="77777777" w:rsidTr="00684FEA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73F6ED2E" w14:textId="77777777" w:rsidR="00684FEA" w:rsidRPr="001E1FBA" w:rsidRDefault="00684FEA" w:rsidP="00684FEA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Face</w:t>
            </w:r>
          </w:p>
        </w:tc>
        <w:tc>
          <w:tcPr>
            <w:tcW w:w="1680" w:type="dxa"/>
            <w:vAlign w:val="center"/>
            <w:hideMark/>
          </w:tcPr>
          <w:p w14:paraId="62F5EA35" w14:textId="77777777" w:rsidR="00684FEA" w:rsidRPr="001E1FBA" w:rsidRDefault="00684FEA" w:rsidP="00684FEA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Chart type</w:t>
            </w:r>
          </w:p>
        </w:tc>
        <w:tc>
          <w:tcPr>
            <w:tcW w:w="3930" w:type="dxa"/>
            <w:vAlign w:val="center"/>
            <w:hideMark/>
          </w:tcPr>
          <w:p w14:paraId="0F26CDB2" w14:textId="77777777" w:rsidR="00684FEA" w:rsidRPr="001E1FBA" w:rsidRDefault="00684FEA" w:rsidP="00684FEA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Encodes</w:t>
            </w:r>
          </w:p>
        </w:tc>
        <w:tc>
          <w:tcPr>
            <w:tcW w:w="4815" w:type="dxa"/>
            <w:vAlign w:val="center"/>
            <w:hideMark/>
          </w:tcPr>
          <w:p w14:paraId="5EADE25B" w14:textId="77777777" w:rsidR="00684FEA" w:rsidRPr="001E1FBA" w:rsidRDefault="00684FEA" w:rsidP="00684FEA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Why this chart</w:t>
            </w:r>
          </w:p>
        </w:tc>
      </w:tr>
      <w:tr w:rsidR="00684FEA" w:rsidRPr="001E1FBA" w14:paraId="4DE6CFC2" w14:textId="77777777" w:rsidTr="00684FEA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7547EB1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Front</w:t>
            </w:r>
          </w:p>
        </w:tc>
        <w:tc>
          <w:tcPr>
            <w:tcW w:w="1680" w:type="dxa"/>
            <w:vAlign w:val="center"/>
            <w:hideMark/>
          </w:tcPr>
          <w:p w14:paraId="3F8D223E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Stream graph</w:t>
            </w:r>
          </w:p>
        </w:tc>
        <w:tc>
          <w:tcPr>
            <w:tcW w:w="3930" w:type="dxa"/>
            <w:vAlign w:val="center"/>
            <w:hideMark/>
          </w:tcPr>
          <w:p w14:paraId="24678B7A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Road-user hospitalisations 2011–2021</w:t>
            </w:r>
          </w:p>
        </w:tc>
        <w:tc>
          <w:tcPr>
            <w:tcW w:w="4815" w:type="dxa"/>
            <w:vAlign w:val="center"/>
            <w:hideMark/>
          </w:tcPr>
          <w:p w14:paraId="335E90D3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Stream thickness shows both category trend and shifting composition over time. Wiggle baseline emphasises change.</w:t>
            </w:r>
          </w:p>
        </w:tc>
      </w:tr>
      <w:tr w:rsidR="00684FEA" w:rsidRPr="001E1FBA" w14:paraId="29A37394" w14:textId="77777777" w:rsidTr="00684FEA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ABD2EE7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Right</w:t>
            </w:r>
          </w:p>
        </w:tc>
        <w:tc>
          <w:tcPr>
            <w:tcW w:w="1680" w:type="dxa"/>
            <w:vAlign w:val="center"/>
            <w:hideMark/>
          </w:tcPr>
          <w:p w14:paraId="36BD1D33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Parliament chart</w:t>
            </w:r>
          </w:p>
        </w:tc>
        <w:tc>
          <w:tcPr>
            <w:tcW w:w="3930" w:type="dxa"/>
            <w:vAlign w:val="center"/>
            <w:hideMark/>
          </w:tcPr>
          <w:p w14:paraId="1015F9BC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Road-user composition for the selected year</w:t>
            </w:r>
          </w:p>
        </w:tc>
        <w:tc>
          <w:tcPr>
            <w:tcW w:w="4815" w:type="dxa"/>
            <w:vAlign w:val="center"/>
            <w:hideMark/>
          </w:tcPr>
          <w:p w14:paraId="361A4A5C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~150 dots arranged in a semicircle of concentric arcs; one seat ≈ a fixed share of hospitalisations. Familiar political metaphor; makes proportion tangible.</w:t>
            </w:r>
          </w:p>
        </w:tc>
      </w:tr>
      <w:tr w:rsidR="00684FEA" w:rsidRPr="001E1FBA" w14:paraId="46264401" w14:textId="77777777" w:rsidTr="00684FEA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E95CB87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Back</w:t>
            </w:r>
          </w:p>
        </w:tc>
        <w:tc>
          <w:tcPr>
            <w:tcW w:w="1680" w:type="dxa"/>
            <w:vAlign w:val="center"/>
            <w:hideMark/>
          </w:tcPr>
          <w:p w14:paraId="53AE0748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Waffle chart</w:t>
            </w:r>
          </w:p>
        </w:tc>
        <w:tc>
          <w:tcPr>
            <w:tcW w:w="3930" w:type="dxa"/>
            <w:vAlign w:val="center"/>
            <w:hideMark/>
          </w:tcPr>
          <w:p w14:paraId="565A3E21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Road-user share of selected year (10×10 grid)</w:t>
            </w:r>
          </w:p>
        </w:tc>
        <w:tc>
          <w:tcPr>
            <w:tcW w:w="4815" w:type="dxa"/>
            <w:vAlign w:val="center"/>
            <w:hideMark/>
          </w:tcPr>
          <w:p w14:paraId="5F0E642F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Each cell = 1%, filled bottom-up by category. Easier to read small percentages precisely than pie or donut.</w:t>
            </w:r>
          </w:p>
        </w:tc>
      </w:tr>
      <w:tr w:rsidR="00684FEA" w:rsidRPr="001E1FBA" w14:paraId="54B52BCA" w14:textId="77777777" w:rsidTr="00684FEA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50BA78A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Left</w:t>
            </w:r>
          </w:p>
        </w:tc>
        <w:tc>
          <w:tcPr>
            <w:tcW w:w="1680" w:type="dxa"/>
            <w:vAlign w:val="center"/>
            <w:hideMark/>
          </w:tcPr>
          <w:p w14:paraId="6B27366B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Choropleth map</w:t>
            </w:r>
          </w:p>
        </w:tc>
        <w:tc>
          <w:tcPr>
            <w:tcW w:w="3930" w:type="dxa"/>
            <w:vAlign w:val="center"/>
            <w:hideMark/>
          </w:tcPr>
          <w:p w14:paraId="5A5F862E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Hospitalisations per state for selected year</w:t>
            </w:r>
          </w:p>
        </w:tc>
        <w:tc>
          <w:tcPr>
            <w:tcW w:w="4815" w:type="dxa"/>
            <w:vAlign w:val="center"/>
            <w:hideMark/>
          </w:tcPr>
          <w:p w14:paraId="1DAB6E5A" w14:textId="77777777" w:rsidR="00684FEA" w:rsidRPr="001E1FBA" w:rsidRDefault="00684FEA" w:rsidP="00684FEA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Sequential green → yellow → red scale (low to high). Geographic distribution that a bar chart cannot convey.</w:t>
            </w:r>
          </w:p>
        </w:tc>
      </w:tr>
    </w:tbl>
    <w:p w14:paraId="455DCDF5" w14:textId="77777777" w:rsidR="00684FEA" w:rsidRPr="001E1FBA" w:rsidRDefault="00684FEA" w:rsidP="00684FEA">
      <w:pPr>
        <w:rPr>
          <w:rFonts w:ascii="Arial" w:hAnsi="Arial" w:cs="Arial"/>
        </w:rPr>
      </w:pPr>
      <w:r w:rsidRPr="001E1FBA">
        <w:rPr>
          <w:rFonts w:ascii="Arial" w:hAnsi="Arial" w:cs="Arial"/>
        </w:rPr>
        <w:t>The top and bottom of the cube are decorative translucent glass "caps" with no chart — they keep the 3D solid intact when tilted.</w:t>
      </w:r>
    </w:p>
    <w:p w14:paraId="55C3116A" w14:textId="6D989881" w:rsidR="00CE6B4C" w:rsidRPr="001E1FBA" w:rsidRDefault="00684FEA">
      <w:pPr>
        <w:rPr>
          <w:rFonts w:ascii="Arial" w:hAnsi="Arial" w:cs="Arial"/>
        </w:rPr>
      </w:pPr>
      <w:proofErr w:type="spellStart"/>
      <w:r w:rsidRPr="001E1FBA">
        <w:rPr>
          <w:rFonts w:ascii="Arial" w:hAnsi="Arial" w:cs="Arial"/>
          <w:b/>
          <w:bCs/>
        </w:rPr>
        <w:t>Colour</w:t>
      </w:r>
      <w:proofErr w:type="spellEnd"/>
      <w:r w:rsidRPr="001E1FBA">
        <w:rPr>
          <w:rFonts w:ascii="Arial" w:hAnsi="Arial" w:cs="Arial"/>
          <w:b/>
          <w:bCs/>
        </w:rPr>
        <w:t xml:space="preserve"> scheme:</w:t>
      </w:r>
      <w:r w:rsidRPr="001E1FBA">
        <w:rPr>
          <w:rFonts w:ascii="Arial" w:hAnsi="Arial" w:cs="Arial"/>
        </w:rPr>
        <w:t xml:space="preserve"> bright neon road-user </w:t>
      </w:r>
      <w:proofErr w:type="spellStart"/>
      <w:r w:rsidRPr="001E1FBA">
        <w:rPr>
          <w:rFonts w:ascii="Arial" w:hAnsi="Arial" w:cs="Arial"/>
        </w:rPr>
        <w:t>colours</w:t>
      </w:r>
      <w:proofErr w:type="spellEnd"/>
      <w:r w:rsidRPr="001E1FBA">
        <w:rPr>
          <w:rFonts w:ascii="Arial" w:hAnsi="Arial" w:cs="Arial"/>
        </w:rPr>
        <w:t xml:space="preserve"> chosen for legibility on the dark translucent face glass — sky blue for </w:t>
      </w:r>
      <w:r w:rsidR="001F24ED" w:rsidRPr="001E1FBA">
        <w:rPr>
          <w:rFonts w:ascii="Arial" w:hAnsi="Arial" w:cs="Arial"/>
        </w:rPr>
        <w:t>cars</w:t>
      </w:r>
      <w:r w:rsidRPr="001E1FBA">
        <w:rPr>
          <w:rFonts w:ascii="Arial" w:hAnsi="Arial" w:cs="Arial"/>
        </w:rPr>
        <w:t xml:space="preserve">, violet for motorcycle, teal for bicycle, gold for pedestrian. The choropleth uses a separate green-to-red sequential </w:t>
      </w:r>
      <w:r w:rsidR="001F24ED" w:rsidRPr="001E1FBA">
        <w:rPr>
          <w:rFonts w:ascii="Arial" w:hAnsi="Arial" w:cs="Arial"/>
        </w:rPr>
        <w:t>scale,</w:t>
      </w:r>
      <w:r w:rsidRPr="001E1FBA">
        <w:rPr>
          <w:rFonts w:ascii="Arial" w:hAnsi="Arial" w:cs="Arial"/>
        </w:rPr>
        <w:t xml:space="preserve"> so it does not compete with the road-user palette.</w:t>
      </w:r>
    </w:p>
    <w:p w14:paraId="377FF124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10" w:name="_Toc228806026"/>
      <w:r w:rsidRPr="001E1FBA">
        <w:rPr>
          <w:rFonts w:ascii="Arial" w:hAnsi="Arial" w:cs="Arial"/>
        </w:rPr>
        <w:t>3.3 Interaction Design</w:t>
      </w:r>
      <w:bookmarkEnd w:id="10"/>
    </w:p>
    <w:p w14:paraId="09D47A59" w14:textId="1F25515B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Drag to rotate</w:t>
      </w:r>
      <w:r w:rsidRPr="001E1FBA">
        <w:rPr>
          <w:rFonts w:ascii="Arial" w:hAnsi="Arial" w:cs="Arial"/>
        </w:rPr>
        <w:t xml:space="preserve"> — click-and-drag spins the cube on the vertical axis. Vertical tilt is </w:t>
      </w:r>
      <w:r w:rsidR="00BE77A1" w:rsidRPr="001E1FBA">
        <w:rPr>
          <w:rFonts w:ascii="Arial" w:hAnsi="Arial" w:cs="Arial"/>
        </w:rPr>
        <w:t>hard clamped</w:t>
      </w:r>
      <w:r w:rsidRPr="001E1FBA">
        <w:rPr>
          <w:rFonts w:ascii="Arial" w:hAnsi="Arial" w:cs="Arial"/>
        </w:rPr>
        <w:t xml:space="preserve"> to ±18° so the cube cannot tumble upside-down or become unreadable. </w:t>
      </w:r>
    </w:p>
    <w:p w14:paraId="4E8A9E45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Auto-rotate</w:t>
      </w:r>
      <w:r w:rsidRPr="001E1FBA">
        <w:rPr>
          <w:rFonts w:ascii="Arial" w:hAnsi="Arial" w:cs="Arial"/>
        </w:rPr>
        <w:t xml:space="preserve"> — after 3.5 seconds idle the cube resumes a slow horizontal spin, gently easing the tilt back to its resting angle. </w:t>
      </w:r>
    </w:p>
    <w:p w14:paraId="28846565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Snap to face</w:t>
      </w:r>
      <w:r w:rsidRPr="001E1FBA">
        <w:rPr>
          <w:rFonts w:ascii="Arial" w:hAnsi="Arial" w:cs="Arial"/>
        </w:rPr>
        <w:t xml:space="preserve"> — the four buttons on the right sidebar rotate the cube directly to the chosen face along the shortest arc and reset tilt to a clean reading angle. </w:t>
      </w:r>
    </w:p>
    <w:p w14:paraId="1959AA12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Keyboard shortcuts</w:t>
      </w:r>
      <w:r w:rsidRPr="001E1FBA">
        <w:rPr>
          <w:rFonts w:ascii="Arial" w:hAnsi="Arial" w:cs="Arial"/>
        </w:rPr>
        <w:t xml:space="preserve"> — number keys 1–4 snap to face; Left/Right arrows nudge rotation; Up/Down arrows tilt within the clamp. </w:t>
      </w:r>
    </w:p>
    <w:p w14:paraId="289465CB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Cross-face linking (signature interaction)</w:t>
      </w:r>
      <w:r w:rsidRPr="001E1FBA">
        <w:rPr>
          <w:rFonts w:ascii="Arial" w:hAnsi="Arial" w:cs="Arial"/>
        </w:rPr>
        <w:t xml:space="preserve"> — clicking any state on the choropleth (Left face) updates the other three faces to show that state's road-user breakdown. The four faces behave like one connected exploration, not four separate charts. </w:t>
      </w:r>
    </w:p>
    <w:p w14:paraId="68E6B181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lastRenderedPageBreak/>
        <w:t>Global filters</w:t>
      </w:r>
      <w:r w:rsidRPr="001E1FBA">
        <w:rPr>
          <w:rFonts w:ascii="Arial" w:hAnsi="Arial" w:cs="Arial"/>
        </w:rPr>
        <w:t xml:space="preserve"> — year, state, road-user multi-select, and metric toggle all update every face simultaneously. </w:t>
      </w:r>
    </w:p>
    <w:p w14:paraId="5FA5EDF4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Hover tooltips</w:t>
      </w:r>
      <w:r w:rsidRPr="001E1FBA">
        <w:rPr>
          <w:rFonts w:ascii="Arial" w:hAnsi="Arial" w:cs="Arial"/>
        </w:rPr>
        <w:t xml:space="preserve"> — each chart shows a holographic tooltip with category, value, and percentage. </w:t>
      </w:r>
    </w:p>
    <w:p w14:paraId="04755CD6" w14:textId="77777777" w:rsidR="001F24ED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Highlight by click</w:t>
      </w:r>
      <w:r w:rsidRPr="001E1FBA">
        <w:rPr>
          <w:rFonts w:ascii="Arial" w:hAnsi="Arial" w:cs="Arial"/>
        </w:rPr>
        <w:t xml:space="preserve"> — clicking a road user in any chart dims that category in the others. </w:t>
      </w:r>
    </w:p>
    <w:p w14:paraId="4252BF8E" w14:textId="2577265B" w:rsidR="00CE6B4C" w:rsidRPr="001E1FBA" w:rsidRDefault="001F24ED" w:rsidP="001F24E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Pause/Resume spin</w:t>
      </w:r>
      <w:r w:rsidRPr="001E1FBA">
        <w:rPr>
          <w:rFonts w:ascii="Arial" w:hAnsi="Arial" w:cs="Arial"/>
        </w:rPr>
        <w:t xml:space="preserve"> — single button toggles auto-rotation off and on.</w:t>
      </w:r>
    </w:p>
    <w:p w14:paraId="3155E76D" w14:textId="5B494A4F" w:rsidR="00CE6B4C" w:rsidRPr="001E1FBA" w:rsidRDefault="009E53E7" w:rsidP="00800475">
      <w:pPr>
        <w:pStyle w:val="Heading1"/>
        <w:rPr>
          <w:rFonts w:ascii="Arial" w:hAnsi="Arial" w:cs="Arial"/>
        </w:rPr>
      </w:pPr>
      <w:bookmarkStart w:id="11" w:name="_Toc228806027"/>
      <w:r w:rsidRPr="001E1FBA">
        <w:rPr>
          <w:rFonts w:ascii="Arial" w:hAnsi="Arial" w:cs="Arial"/>
        </w:rPr>
        <w:t>4</w:t>
      </w:r>
      <w:r w:rsidR="001028BA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 xml:space="preserve"> Iteration and Validation</w:t>
      </w:r>
      <w:bookmarkEnd w:id="11"/>
    </w:p>
    <w:p w14:paraId="479C1DBC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12" w:name="_Toc228806028"/>
      <w:r w:rsidRPr="001E1FBA">
        <w:rPr>
          <w:rFonts w:ascii="Arial" w:hAnsi="Arial" w:cs="Arial"/>
        </w:rPr>
        <w:t>4.1 Testing and Refinements</w:t>
      </w:r>
      <w:bookmarkEnd w:id="12"/>
    </w:p>
    <w:p w14:paraId="3E92C9DA" w14:textId="77777777" w:rsidR="00800475" w:rsidRPr="001E1FBA" w:rsidRDefault="00800475" w:rsidP="00800475">
      <w:p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Iteration 1 — Flat Figma Dashboard (Week 11).</w:t>
      </w:r>
      <w:r w:rsidRPr="001E1FBA">
        <w:rPr>
          <w:rFonts w:ascii="Arial" w:hAnsi="Arial" w:cs="Arial"/>
        </w:rPr>
        <w:t xml:space="preserve"> The first prototype was a conventional flat dashboard wireframed in Figma: a state-comparison bar chart, a national-trend line, a stacked bar for road-user composition, and a sidebar of filters arranged in a 2×2 grid.</w:t>
      </w:r>
    </w:p>
    <w:p w14:paraId="4BF84B0D" w14:textId="77777777" w:rsidR="00A56D02" w:rsidRPr="001E1FBA" w:rsidRDefault="00A56D02" w:rsidP="00A56D02">
      <w:pPr>
        <w:keepNext/>
        <w:rPr>
          <w:rFonts w:ascii="Arial" w:hAnsi="Arial" w:cs="Arial"/>
        </w:rPr>
      </w:pPr>
      <w:r w:rsidRPr="001E1FBA">
        <w:rPr>
          <w:rFonts w:ascii="Arial" w:hAnsi="Arial" w:cs="Arial"/>
          <w:noProof/>
        </w:rPr>
        <w:drawing>
          <wp:inline distT="0" distB="0" distL="0" distR="0" wp14:anchorId="24A52AB0" wp14:editId="588463A8">
            <wp:extent cx="5486400" cy="3917950"/>
            <wp:effectExtent l="0" t="0" r="0" b="6350"/>
            <wp:docPr id="55788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3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BB5B" w14:textId="7D97F7CE" w:rsidR="00A56D02" w:rsidRPr="001E1FBA" w:rsidRDefault="00A56D02" w:rsidP="00A56D02">
      <w:pPr>
        <w:pStyle w:val="Caption"/>
        <w:ind w:left="2430"/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Figure </w:t>
      </w:r>
      <w:r w:rsidRPr="001E1FBA">
        <w:rPr>
          <w:rFonts w:ascii="Arial" w:hAnsi="Arial" w:cs="Arial"/>
        </w:rPr>
        <w:fldChar w:fldCharType="begin"/>
      </w:r>
      <w:r w:rsidRPr="001E1FBA">
        <w:rPr>
          <w:rFonts w:ascii="Arial" w:hAnsi="Arial" w:cs="Arial"/>
        </w:rPr>
        <w:instrText xml:space="preserve"> SEQ Figure \* ARABIC </w:instrText>
      </w:r>
      <w:r w:rsidRPr="001E1FBA">
        <w:rPr>
          <w:rFonts w:ascii="Arial" w:hAnsi="Arial" w:cs="Arial"/>
        </w:rPr>
        <w:fldChar w:fldCharType="separate"/>
      </w:r>
      <w:r w:rsidR="00EE7C9F">
        <w:rPr>
          <w:rFonts w:ascii="Arial" w:hAnsi="Arial" w:cs="Arial"/>
          <w:noProof/>
        </w:rPr>
        <w:t>1</w:t>
      </w:r>
      <w:r w:rsidRPr="001E1FBA">
        <w:rPr>
          <w:rFonts w:ascii="Arial" w:hAnsi="Arial" w:cs="Arial"/>
        </w:rPr>
        <w:fldChar w:fldCharType="end"/>
      </w:r>
      <w:r w:rsidRPr="001E1FBA">
        <w:rPr>
          <w:rFonts w:ascii="Arial" w:hAnsi="Arial" w:cs="Arial"/>
        </w:rPr>
        <w:t>. dashboard wireframed in Figma</w:t>
      </w:r>
    </w:p>
    <w:p w14:paraId="205697F9" w14:textId="77777777" w:rsidR="00800475" w:rsidRPr="001E1FBA" w:rsidRDefault="00800475" w:rsidP="00800475">
      <w:p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Tutor feedback (end of Week 11).</w:t>
      </w:r>
      <w:r w:rsidRPr="001E1FBA">
        <w:rPr>
          <w:rFonts w:ascii="Arial" w:hAnsi="Arial" w:cs="Arial"/>
        </w:rPr>
        <w:t xml:space="preserve"> The tutor (Raihaneh Aghaie) gave critical feedback comparing our Figma layout against the official BITRE/AIHW </w:t>
      </w:r>
      <w:r w:rsidRPr="001E1FBA">
        <w:rPr>
          <w:rFonts w:ascii="Arial" w:hAnsi="Arial" w:cs="Arial"/>
          <w:i/>
          <w:iCs/>
        </w:rPr>
        <w:t>"Hospitalised injuries from road crashes"</w:t>
      </w:r>
      <w:r w:rsidRPr="001E1FBA">
        <w:rPr>
          <w:rFonts w:ascii="Arial" w:hAnsi="Arial" w:cs="Arial"/>
        </w:rPr>
        <w:t xml:space="preserve"> dashboard. Her key point was that our design was </w:t>
      </w:r>
      <w:r w:rsidRPr="001E1FBA">
        <w:rPr>
          <w:rFonts w:ascii="Arial" w:hAnsi="Arial" w:cs="Arial"/>
          <w:b/>
          <w:bCs/>
        </w:rPr>
        <w:t>not more creative than the reference</w:t>
      </w:r>
      <w:r w:rsidRPr="001E1FBA">
        <w:rPr>
          <w:rFonts w:ascii="Arial" w:hAnsi="Arial" w:cs="Arial"/>
        </w:rPr>
        <w:t xml:space="preserve">, and that the reference already covered the main story with line, bar, </w:t>
      </w:r>
      <w:r w:rsidRPr="001E1FBA">
        <w:rPr>
          <w:rFonts w:ascii="Arial" w:hAnsi="Arial" w:cs="Arial"/>
        </w:rPr>
        <w:lastRenderedPageBreak/>
        <w:t>donut, and KPI tiles. To meet the assessment criteria for design quality, we needed to do something the BITRE dashboard cannot.</w:t>
      </w:r>
    </w:p>
    <w:p w14:paraId="025BE365" w14:textId="77777777" w:rsidR="00CB4D0C" w:rsidRPr="001E1FBA" w:rsidRDefault="00CB4D0C" w:rsidP="00CB4D0C">
      <w:pPr>
        <w:keepNext/>
        <w:rPr>
          <w:rFonts w:ascii="Arial" w:hAnsi="Arial" w:cs="Arial"/>
        </w:rPr>
      </w:pPr>
      <w:r w:rsidRPr="001E1FBA">
        <w:rPr>
          <w:rFonts w:ascii="Arial" w:hAnsi="Arial" w:cs="Arial"/>
          <w:noProof/>
        </w:rPr>
        <w:drawing>
          <wp:inline distT="0" distB="0" distL="0" distR="0" wp14:anchorId="3390D8FE" wp14:editId="15979500">
            <wp:extent cx="5486400" cy="3004185"/>
            <wp:effectExtent l="0" t="0" r="0" b="5715"/>
            <wp:docPr id="12647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7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86AB" w14:textId="286C77F4" w:rsidR="00CE6B4C" w:rsidRPr="001E1FBA" w:rsidRDefault="00CB4D0C" w:rsidP="00A56D02">
      <w:pPr>
        <w:pStyle w:val="Caption"/>
        <w:ind w:left="1800"/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Figure </w:t>
      </w:r>
      <w:r w:rsidRPr="001E1FBA">
        <w:rPr>
          <w:rFonts w:ascii="Arial" w:hAnsi="Arial" w:cs="Arial"/>
        </w:rPr>
        <w:fldChar w:fldCharType="begin"/>
      </w:r>
      <w:r w:rsidRPr="001E1FBA">
        <w:rPr>
          <w:rFonts w:ascii="Arial" w:hAnsi="Arial" w:cs="Arial"/>
        </w:rPr>
        <w:instrText xml:space="preserve"> SEQ Figure \* ARABIC </w:instrText>
      </w:r>
      <w:r w:rsidRPr="001E1FBA">
        <w:rPr>
          <w:rFonts w:ascii="Arial" w:hAnsi="Arial" w:cs="Arial"/>
        </w:rPr>
        <w:fldChar w:fldCharType="separate"/>
      </w:r>
      <w:r w:rsidR="00EE7C9F">
        <w:rPr>
          <w:rFonts w:ascii="Arial" w:hAnsi="Arial" w:cs="Arial"/>
          <w:noProof/>
        </w:rPr>
        <w:t>2</w:t>
      </w:r>
      <w:r w:rsidRPr="001E1FBA">
        <w:rPr>
          <w:rFonts w:ascii="Arial" w:hAnsi="Arial" w:cs="Arial"/>
        </w:rPr>
        <w:fldChar w:fldCharType="end"/>
      </w:r>
      <w:r w:rsidRPr="001E1FBA">
        <w:rPr>
          <w:rFonts w:ascii="Arial" w:hAnsi="Arial" w:cs="Arial"/>
        </w:rPr>
        <w:t>."Hospitalised injuries from road crashes" dashboard</w:t>
      </w:r>
    </w:p>
    <w:p w14:paraId="75131526" w14:textId="0F2283A5" w:rsidR="00C62291" w:rsidRPr="001E1FBA" w:rsidRDefault="00C62291" w:rsidP="00C62291">
      <w:pPr>
        <w:rPr>
          <w:rFonts w:ascii="Arial" w:hAnsi="Arial" w:cs="Arial"/>
        </w:rPr>
      </w:pPr>
      <w:r w:rsidRPr="001E1FBA">
        <w:rPr>
          <w:rFonts w:ascii="Arial" w:hAnsi="Arial" w:cs="Arial"/>
          <w:b/>
          <w:bCs/>
        </w:rPr>
        <w:t>Iteration 2 — 3D Holographic Data Cube (Week 12).</w:t>
      </w:r>
      <w:r w:rsidRPr="001E1FBA">
        <w:rPr>
          <w:rFonts w:ascii="Arial" w:hAnsi="Arial" w:cs="Arial"/>
        </w:rPr>
        <w:t xml:space="preserve"> We discarded the flat 4-panel grid and rebuilt the </w:t>
      </w:r>
      <w:r w:rsidR="00917712" w:rsidRPr="001E1FBA">
        <w:rPr>
          <w:rFonts w:ascii="Arial" w:hAnsi="Arial" w:cs="Arial"/>
        </w:rPr>
        <w:t>visualization</w:t>
      </w:r>
      <w:r w:rsidRPr="001E1FBA">
        <w:rPr>
          <w:rFonts w:ascii="Arial" w:hAnsi="Arial" w:cs="Arial"/>
        </w:rPr>
        <w:t xml:space="preserve"> as a rotating 3D data cube housed in a dark "holographic projection chamber". The table below sets the three designs side by side.</w:t>
      </w:r>
    </w:p>
    <w:tbl>
      <w:tblPr>
        <w:tblW w:w="1116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85"/>
        <w:gridCol w:w="2145"/>
        <w:gridCol w:w="4030"/>
      </w:tblGrid>
      <w:tr w:rsidR="00C62291" w:rsidRPr="001E1FBA" w14:paraId="0BF59AEF" w14:textId="77777777" w:rsidTr="00C62291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81F4990" w14:textId="77777777" w:rsidR="00C62291" w:rsidRPr="001E1FBA" w:rsidRDefault="00C62291" w:rsidP="00C62291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Aspect</w:t>
            </w:r>
          </w:p>
        </w:tc>
        <w:tc>
          <w:tcPr>
            <w:tcW w:w="3155" w:type="dxa"/>
            <w:vAlign w:val="center"/>
            <w:hideMark/>
          </w:tcPr>
          <w:p w14:paraId="635615C4" w14:textId="77777777" w:rsidR="00C62291" w:rsidRPr="001E1FBA" w:rsidRDefault="00C62291" w:rsidP="00C62291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BITRE / AIHW dashboard (reference)</w:t>
            </w:r>
          </w:p>
        </w:tc>
        <w:tc>
          <w:tcPr>
            <w:tcW w:w="0" w:type="auto"/>
            <w:vAlign w:val="center"/>
            <w:hideMark/>
          </w:tcPr>
          <w:p w14:paraId="788DF52A" w14:textId="77777777" w:rsidR="00C62291" w:rsidRPr="001E1FBA" w:rsidRDefault="00C62291" w:rsidP="00C62291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Our Figma wireframe (Iter. 1)</w:t>
            </w:r>
          </w:p>
        </w:tc>
        <w:tc>
          <w:tcPr>
            <w:tcW w:w="3985" w:type="dxa"/>
            <w:vAlign w:val="center"/>
            <w:hideMark/>
          </w:tcPr>
          <w:p w14:paraId="79033AD9" w14:textId="77777777" w:rsidR="00C62291" w:rsidRPr="001E1FBA" w:rsidRDefault="00C62291" w:rsidP="00C62291">
            <w:pPr>
              <w:rPr>
                <w:rFonts w:ascii="Arial" w:hAnsi="Arial" w:cs="Arial"/>
                <w:b/>
                <w:bCs/>
              </w:rPr>
            </w:pPr>
            <w:r w:rsidRPr="001E1FBA">
              <w:rPr>
                <w:rFonts w:ascii="Arial" w:hAnsi="Arial" w:cs="Arial"/>
                <w:b/>
                <w:bCs/>
              </w:rPr>
              <w:t>Our Cube (Iter. 2)</w:t>
            </w:r>
          </w:p>
        </w:tc>
      </w:tr>
      <w:tr w:rsidR="00C62291" w:rsidRPr="001E1FBA" w14:paraId="7727D2D6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8457F4A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Layout</w:t>
            </w:r>
          </w:p>
        </w:tc>
        <w:tc>
          <w:tcPr>
            <w:tcW w:w="3155" w:type="dxa"/>
            <w:vAlign w:val="center"/>
            <w:hideMark/>
          </w:tcPr>
          <w:p w14:paraId="4D312A20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Static 4-panel grid</w:t>
            </w:r>
          </w:p>
        </w:tc>
        <w:tc>
          <w:tcPr>
            <w:tcW w:w="0" w:type="auto"/>
            <w:vAlign w:val="center"/>
            <w:hideMark/>
          </w:tcPr>
          <w:p w14:paraId="7229EB35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Static 4-panel grid</w:t>
            </w:r>
          </w:p>
        </w:tc>
        <w:tc>
          <w:tcPr>
            <w:tcW w:w="3985" w:type="dxa"/>
            <w:vAlign w:val="center"/>
            <w:hideMark/>
          </w:tcPr>
          <w:p w14:paraId="4D314B6F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One rotating object, 4 linked faces</w:t>
            </w:r>
          </w:p>
        </w:tc>
      </w:tr>
      <w:tr w:rsidR="00C62291" w:rsidRPr="001E1FBA" w14:paraId="1FF649BC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DD06310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Chart types</w:t>
            </w:r>
          </w:p>
        </w:tc>
        <w:tc>
          <w:tcPr>
            <w:tcW w:w="3155" w:type="dxa"/>
            <w:vAlign w:val="center"/>
            <w:hideMark/>
          </w:tcPr>
          <w:p w14:paraId="4E753873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Line, bar, donut, KPI tiles</w:t>
            </w:r>
          </w:p>
        </w:tc>
        <w:tc>
          <w:tcPr>
            <w:tcW w:w="0" w:type="auto"/>
            <w:vAlign w:val="center"/>
            <w:hideMark/>
          </w:tcPr>
          <w:p w14:paraId="0203733D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Line, bar, stacked bar</w:t>
            </w:r>
          </w:p>
        </w:tc>
        <w:tc>
          <w:tcPr>
            <w:tcW w:w="3985" w:type="dxa"/>
            <w:vAlign w:val="center"/>
            <w:hideMark/>
          </w:tcPr>
          <w:p w14:paraId="5968AE5F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Stream, Parliament, Waffle, Choropleth</w:t>
            </w:r>
          </w:p>
        </w:tc>
      </w:tr>
      <w:tr w:rsidR="00C62291" w:rsidRPr="001E1FBA" w14:paraId="2085DCE2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67765E5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Faces visible</w:t>
            </w:r>
          </w:p>
        </w:tc>
        <w:tc>
          <w:tcPr>
            <w:tcW w:w="3155" w:type="dxa"/>
            <w:vAlign w:val="center"/>
            <w:hideMark/>
          </w:tcPr>
          <w:p w14:paraId="6D8CEFA9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All at once</w:t>
            </w:r>
          </w:p>
        </w:tc>
        <w:tc>
          <w:tcPr>
            <w:tcW w:w="0" w:type="auto"/>
            <w:vAlign w:val="center"/>
            <w:hideMark/>
          </w:tcPr>
          <w:p w14:paraId="52D30EB2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All at once</w:t>
            </w:r>
          </w:p>
        </w:tc>
        <w:tc>
          <w:tcPr>
            <w:tcW w:w="3985" w:type="dxa"/>
            <w:vAlign w:val="center"/>
            <w:hideMark/>
          </w:tcPr>
          <w:p w14:paraId="05E79683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Revealed by user-driven rotation</w:t>
            </w:r>
          </w:p>
        </w:tc>
      </w:tr>
      <w:tr w:rsidR="00C62291" w:rsidRPr="001E1FBA" w14:paraId="132314A4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A7793E8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Cross-chart link</w:t>
            </w:r>
          </w:p>
        </w:tc>
        <w:tc>
          <w:tcPr>
            <w:tcW w:w="3155" w:type="dxa"/>
            <w:vAlign w:val="center"/>
            <w:hideMark/>
          </w:tcPr>
          <w:p w14:paraId="687201E5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8BFAD7E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None</w:t>
            </w:r>
          </w:p>
        </w:tc>
        <w:tc>
          <w:tcPr>
            <w:tcW w:w="3985" w:type="dxa"/>
            <w:vAlign w:val="center"/>
            <w:hideMark/>
          </w:tcPr>
          <w:p w14:paraId="6C6FABEA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Click a map state → other 3 faces update</w:t>
            </w:r>
          </w:p>
        </w:tc>
      </w:tr>
      <w:tr w:rsidR="00C62291" w:rsidRPr="001E1FBA" w14:paraId="5AABE8CB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3DB88F5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Theme</w:t>
            </w:r>
          </w:p>
        </w:tc>
        <w:tc>
          <w:tcPr>
            <w:tcW w:w="3155" w:type="dxa"/>
            <w:vAlign w:val="center"/>
            <w:hideMark/>
          </w:tcPr>
          <w:p w14:paraId="5821ED61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Standard government light</w:t>
            </w:r>
          </w:p>
        </w:tc>
        <w:tc>
          <w:tcPr>
            <w:tcW w:w="0" w:type="auto"/>
            <w:vAlign w:val="center"/>
            <w:hideMark/>
          </w:tcPr>
          <w:p w14:paraId="289C7BEE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Standard light</w:t>
            </w:r>
          </w:p>
        </w:tc>
        <w:tc>
          <w:tcPr>
            <w:tcW w:w="3985" w:type="dxa"/>
            <w:vAlign w:val="center"/>
            <w:hideMark/>
          </w:tcPr>
          <w:p w14:paraId="164B1D33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Translucent holographic glass + neon</w:t>
            </w:r>
          </w:p>
        </w:tc>
      </w:tr>
      <w:tr w:rsidR="00C62291" w:rsidRPr="001E1FBA" w14:paraId="20F12D34" w14:textId="77777777" w:rsidTr="00C622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00EA797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Novelty vs. BITRE</w:t>
            </w:r>
          </w:p>
        </w:tc>
        <w:tc>
          <w:tcPr>
            <w:tcW w:w="3155" w:type="dxa"/>
            <w:vAlign w:val="center"/>
            <w:hideMark/>
          </w:tcPr>
          <w:p w14:paraId="1D3FF84A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24FDB5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Similar / lower polish</w:t>
            </w:r>
          </w:p>
        </w:tc>
        <w:tc>
          <w:tcPr>
            <w:tcW w:w="3985" w:type="dxa"/>
            <w:vAlign w:val="center"/>
            <w:hideMark/>
          </w:tcPr>
          <w:p w14:paraId="3825E5E4" w14:textId="77777777" w:rsidR="00C62291" w:rsidRPr="001E1FBA" w:rsidRDefault="00C62291" w:rsidP="00C62291">
            <w:pPr>
              <w:rPr>
                <w:rFonts w:ascii="Arial" w:hAnsi="Arial" w:cs="Arial"/>
              </w:rPr>
            </w:pPr>
            <w:r w:rsidRPr="001E1FBA">
              <w:rPr>
                <w:rFonts w:ascii="Arial" w:hAnsi="Arial" w:cs="Arial"/>
              </w:rPr>
              <w:t>All 4 chart types absent from BITRE</w:t>
            </w:r>
          </w:p>
        </w:tc>
      </w:tr>
    </w:tbl>
    <w:p w14:paraId="3C34A39B" w14:textId="77777777" w:rsidR="00EE7C9F" w:rsidRDefault="00EE7C9F" w:rsidP="00EE7C9F">
      <w:pPr>
        <w:keepNext/>
      </w:pPr>
      <w:r w:rsidRPr="00EE7C9F">
        <w:rPr>
          <w:rFonts w:ascii="Arial" w:hAnsi="Arial" w:cs="Arial"/>
          <w:b/>
          <w:bCs/>
        </w:rPr>
        <w:lastRenderedPageBreak/>
        <w:drawing>
          <wp:inline distT="0" distB="0" distL="0" distR="0" wp14:anchorId="0889E469" wp14:editId="3C3C31D1">
            <wp:extent cx="5486400" cy="3600450"/>
            <wp:effectExtent l="0" t="0" r="0" b="0"/>
            <wp:docPr id="839145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4642" w14:textId="0F62A408" w:rsidR="00EE7C9F" w:rsidRPr="00EE7C9F" w:rsidRDefault="00EE7C9F" w:rsidP="00EE7C9F">
      <w:pPr>
        <w:pStyle w:val="Caption"/>
        <w:ind w:left="1170"/>
        <w:rPr>
          <w:rFonts w:ascii="Arial" w:hAnsi="Arial" w:cs="Arial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. </w:t>
      </w:r>
      <w:r w:rsidRPr="001E1FBA">
        <w:rPr>
          <w:rFonts w:ascii="Arial" w:hAnsi="Arial" w:cs="Arial"/>
        </w:rPr>
        <w:t>"Hospitalised injuries from road crashes" dashboard</w:t>
      </w:r>
      <w:r>
        <w:rPr>
          <w:rFonts w:ascii="Arial" w:hAnsi="Arial" w:cs="Arial"/>
        </w:rPr>
        <w:t xml:space="preserve"> after improving</w:t>
      </w:r>
    </w:p>
    <w:p w14:paraId="50F9FCEA" w14:textId="4212B6C4" w:rsidR="00D61829" w:rsidRPr="001E1FBA" w:rsidRDefault="00D61829" w:rsidP="00D61829">
      <w:pPr>
        <w:rPr>
          <w:rFonts w:ascii="Arial" w:hAnsi="Arial" w:cs="Arial"/>
          <w:b/>
          <w:bCs/>
        </w:rPr>
      </w:pPr>
      <w:r w:rsidRPr="001E1FBA">
        <w:rPr>
          <w:rFonts w:ascii="Arial" w:hAnsi="Arial" w:cs="Arial"/>
          <w:b/>
          <w:bCs/>
        </w:rPr>
        <w:t>Specific refinements made during Week 12 implementation:</w:t>
      </w:r>
    </w:p>
    <w:p w14:paraId="3722CC48" w14:textId="219945F4" w:rsidR="006F2C02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Cube rotation constraint — unrestricted drag let users tumble the cube upside-down. </w:t>
      </w:r>
      <w:r w:rsidR="00B3425D" w:rsidRPr="001E1FBA">
        <w:rPr>
          <w:rFonts w:ascii="Arial" w:hAnsi="Arial" w:cs="Arial"/>
        </w:rPr>
        <w:t>Clamp</w:t>
      </w:r>
      <w:r w:rsidRPr="001E1FBA">
        <w:rPr>
          <w:rFonts w:ascii="Arial" w:hAnsi="Arial" w:cs="Arial"/>
        </w:rPr>
        <w:t xml:space="preserve"> vertical tilt to ±18° and </w:t>
      </w:r>
      <w:r w:rsidR="006F2C02" w:rsidRPr="001E1FBA">
        <w:rPr>
          <w:rFonts w:ascii="Arial" w:hAnsi="Arial" w:cs="Arial"/>
        </w:rPr>
        <w:t>add</w:t>
      </w:r>
      <w:r w:rsidRPr="001E1FBA">
        <w:rPr>
          <w:rFonts w:ascii="Arial" w:hAnsi="Arial" w:cs="Arial"/>
        </w:rPr>
        <w:t xml:space="preserve"> a gentle </w:t>
      </w:r>
      <w:r w:rsidR="006F2C02" w:rsidRPr="001E1FBA">
        <w:rPr>
          <w:rFonts w:ascii="Arial" w:hAnsi="Arial" w:cs="Arial"/>
        </w:rPr>
        <w:t>autocorrection</w:t>
      </w:r>
      <w:r w:rsidRPr="001E1FBA">
        <w:rPr>
          <w:rFonts w:ascii="Arial" w:hAnsi="Arial" w:cs="Arial"/>
        </w:rPr>
        <w:t xml:space="preserve"> during auto-rotate so the cube stays readable.</w:t>
      </w:r>
    </w:p>
    <w:p w14:paraId="5F8E94FF" w14:textId="77777777" w:rsidR="006F2C02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One-viewport layout — initial build required page scrolling. Refactored the dashboard to 100dvh flex layout so everything fits one screen.</w:t>
      </w:r>
    </w:p>
    <w:p w14:paraId="4C033299" w14:textId="7222F7A3" w:rsidR="006F2C02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Choropleth winding-order bug — d3.geoMercator uses spherical math and interpreted some clockwise-wound polygons as the globe complement, causing WA/Qld/Tas to cover the entire map. Switched to d</w:t>
      </w:r>
      <w:r w:rsidR="00F9645E" w:rsidRPr="001E1FBA">
        <w:rPr>
          <w:rFonts w:ascii="Arial" w:hAnsi="Arial" w:cs="Arial"/>
        </w:rPr>
        <w:t>3.geoIdentity</w:t>
      </w:r>
      <w:r w:rsidRPr="001E1FBA">
        <w:rPr>
          <w:rFonts w:ascii="Arial" w:hAnsi="Arial" w:cs="Arial"/>
        </w:rPr>
        <w:t>(</w:t>
      </w:r>
      <w:r w:rsidR="00F9645E" w:rsidRPr="001E1FBA">
        <w:rPr>
          <w:rFonts w:ascii="Arial" w:hAnsi="Arial" w:cs="Arial"/>
        </w:rPr>
        <w:t>). reflectY</w:t>
      </w:r>
      <w:r w:rsidRPr="001E1FBA">
        <w:rPr>
          <w:rFonts w:ascii="Arial" w:hAnsi="Arial" w:cs="Arial"/>
        </w:rPr>
        <w:t>(true) (planar projection) which ignores winding.</w:t>
      </w:r>
    </w:p>
    <w:p w14:paraId="47773D78" w14:textId="30ADB8F6" w:rsidR="006F2C02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Choropleth </w:t>
      </w:r>
      <w:r w:rsidR="006F2C02" w:rsidRPr="001E1FBA">
        <w:rPr>
          <w:rFonts w:ascii="Arial" w:hAnsi="Arial" w:cs="Arial"/>
        </w:rPr>
        <w:t>color</w:t>
      </w:r>
      <w:r w:rsidRPr="001E1FBA">
        <w:rPr>
          <w:rFonts w:ascii="Arial" w:hAnsi="Arial" w:cs="Arial"/>
        </w:rPr>
        <w:t xml:space="preserve"> scale — first version was monochrome blue, which made high and low states hard to tell apart </w:t>
      </w:r>
      <w:r w:rsidR="006F2C02" w:rsidRPr="001E1FBA">
        <w:rPr>
          <w:rFonts w:ascii="Arial" w:hAnsi="Arial" w:cs="Arial"/>
        </w:rPr>
        <w:t>immediately</w:t>
      </w:r>
      <w:r w:rsidRPr="001E1FBA">
        <w:rPr>
          <w:rFonts w:ascii="Arial" w:hAnsi="Arial" w:cs="Arial"/>
        </w:rPr>
        <w:t>. Replaced with a green → yellow → red sequential scale.</w:t>
      </w:r>
    </w:p>
    <w:p w14:paraId="23E71311" w14:textId="77777777" w:rsidR="006F2C02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Waffle legend </w:t>
      </w:r>
      <w:r w:rsidR="006F2C02" w:rsidRPr="001E1FBA">
        <w:rPr>
          <w:rFonts w:ascii="Arial" w:hAnsi="Arial" w:cs="Arial"/>
        </w:rPr>
        <w:t>overlaps</w:t>
      </w:r>
      <w:r w:rsidRPr="001E1FBA">
        <w:rPr>
          <w:rFonts w:ascii="Arial" w:hAnsi="Arial" w:cs="Arial"/>
        </w:rPr>
        <w:t xml:space="preserve"> legend originally ran horizontally below the grid and got clipped. Reshaped the layout to reserve a bottom band and stacked the legend vertically, </w:t>
      </w:r>
      <w:r w:rsidR="006F2C02" w:rsidRPr="001E1FBA">
        <w:rPr>
          <w:rFonts w:ascii="Arial" w:hAnsi="Arial" w:cs="Arial"/>
        </w:rPr>
        <w:t>centered</w:t>
      </w:r>
      <w:r w:rsidRPr="001E1FBA">
        <w:rPr>
          <w:rFonts w:ascii="Arial" w:hAnsi="Arial" w:cs="Arial"/>
        </w:rPr>
        <w:t xml:space="preserve"> horizontally, reading bottom-to-top so it matches the waffle's bottom-up fill order.</w:t>
      </w:r>
    </w:p>
    <w:p w14:paraId="311CB3CB" w14:textId="2A507CE7" w:rsidR="00C62291" w:rsidRPr="001E1FBA" w:rsidRDefault="00D61829" w:rsidP="00D6182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National road-user data — discovered the source data has no national row for road-user breakdown; values only exist at state level. Aggregated state rows to produce a national </w:t>
      </w:r>
      <w:r w:rsidR="006F2C02" w:rsidRPr="001E1FBA">
        <w:rPr>
          <w:rFonts w:ascii="Arial" w:hAnsi="Arial" w:cs="Arial"/>
        </w:rPr>
        <w:t>view and</w:t>
      </w:r>
      <w:r w:rsidRPr="001E1FBA">
        <w:rPr>
          <w:rFonts w:ascii="Arial" w:hAnsi="Arial" w:cs="Arial"/>
        </w:rPr>
        <w:t xml:space="preserve"> made the road-user charts respect the selected </w:t>
      </w:r>
      <w:r w:rsidRPr="001E1FBA">
        <w:rPr>
          <w:rFonts w:ascii="Arial" w:hAnsi="Arial" w:cs="Arial"/>
        </w:rPr>
        <w:lastRenderedPageBreak/>
        <w:t>state (so clicking Victoria on the map shows Victoria's breakdown on the other three faces).</w:t>
      </w:r>
    </w:p>
    <w:p w14:paraId="2C943201" w14:textId="77777777" w:rsidR="00CE6B4C" w:rsidRPr="001E1FBA" w:rsidRDefault="009E53E7">
      <w:pPr>
        <w:pStyle w:val="Heading2"/>
        <w:rPr>
          <w:rFonts w:ascii="Arial" w:hAnsi="Arial" w:cs="Arial"/>
        </w:rPr>
      </w:pPr>
      <w:bookmarkStart w:id="13" w:name="_Toc228806029"/>
      <w:r w:rsidRPr="001E1FBA">
        <w:rPr>
          <w:rFonts w:ascii="Arial" w:hAnsi="Arial" w:cs="Arial"/>
        </w:rPr>
        <w:t>4.2 Usability Evaluation</w:t>
      </w:r>
      <w:bookmarkEnd w:id="13"/>
    </w:p>
    <w:p w14:paraId="76D377B3" w14:textId="4C98FB84" w:rsidR="008966CC" w:rsidRPr="001E1FBA" w:rsidRDefault="008966CC" w:rsidP="008966CC">
      <w:pPr>
        <w:rPr>
          <w:rFonts w:ascii="Arial" w:hAnsi="Arial" w:cs="Arial"/>
        </w:rPr>
      </w:pPr>
      <w:r w:rsidRPr="001E1FBA">
        <w:rPr>
          <w:rFonts w:ascii="Arial" w:hAnsi="Arial" w:cs="Arial"/>
        </w:rPr>
        <w:t>To be completed in Week 13. Planned protocol:</w:t>
      </w:r>
    </w:p>
    <w:p w14:paraId="29A402FE" w14:textId="77777777" w:rsidR="008966CC" w:rsidRPr="001E1FBA" w:rsidRDefault="008966CC" w:rsidP="00F3715F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Participants: 3–5 testers drawn from the cohort, plus the tutor where possible.</w:t>
      </w:r>
    </w:p>
    <w:p w14:paraId="4DEB1C78" w14:textId="4FA4E0A6" w:rsidR="008966CC" w:rsidRPr="001E1FBA" w:rsidRDefault="008966CC" w:rsidP="008966CC">
      <w:pPr>
        <w:rPr>
          <w:rFonts w:ascii="Arial" w:hAnsi="Arial" w:cs="Arial"/>
        </w:rPr>
      </w:pPr>
      <w:r w:rsidRPr="001E1FBA">
        <w:rPr>
          <w:rFonts w:ascii="Arial" w:hAnsi="Arial" w:cs="Arial"/>
        </w:rPr>
        <w:t>Tasks:</w:t>
      </w:r>
    </w:p>
    <w:p w14:paraId="4FB0063A" w14:textId="446CC69D" w:rsidR="008966CC" w:rsidRPr="001E1FBA" w:rsidRDefault="008966CC" w:rsidP="00F3715F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Find the state with the most </w:t>
      </w:r>
      <w:r w:rsidR="00F9645E" w:rsidRPr="001E1FBA">
        <w:rPr>
          <w:rFonts w:ascii="Arial" w:hAnsi="Arial" w:cs="Arial"/>
        </w:rPr>
        <w:t>hospitalizations</w:t>
      </w:r>
      <w:r w:rsidRPr="001E1FBA">
        <w:rPr>
          <w:rFonts w:ascii="Arial" w:hAnsi="Arial" w:cs="Arial"/>
        </w:rPr>
        <w:t xml:space="preserve"> in 2021.</w:t>
      </w:r>
    </w:p>
    <w:p w14:paraId="2EEBC8B8" w14:textId="1521A02F" w:rsidR="008966CC" w:rsidRPr="001E1FBA" w:rsidRDefault="008966CC" w:rsidP="00F3715F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Compare the trend for </w:t>
      </w:r>
      <w:r w:rsidR="00F3715F" w:rsidRPr="001E1FBA">
        <w:rPr>
          <w:rFonts w:ascii="Arial" w:hAnsi="Arial" w:cs="Arial"/>
        </w:rPr>
        <w:t>cyclist’s</w:t>
      </w:r>
      <w:r w:rsidRPr="001E1FBA">
        <w:rPr>
          <w:rFonts w:ascii="Arial" w:hAnsi="Arial" w:cs="Arial"/>
        </w:rPr>
        <w:t xml:space="preserve"> vs pedestrians from 2011 to 2021.</w:t>
      </w:r>
    </w:p>
    <w:p w14:paraId="26801908" w14:textId="77777777" w:rsidR="008966CC" w:rsidRPr="001E1FBA" w:rsidRDefault="008966CC" w:rsidP="00F3715F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Click on Tasmania and identify its top road-user category.</w:t>
      </w:r>
    </w:p>
    <w:p w14:paraId="265D86C8" w14:textId="56712DAE" w:rsidR="008966CC" w:rsidRPr="001E1FBA" w:rsidRDefault="008966CC" w:rsidP="008966C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>Rotate to the parliament face using only the keyboard.</w:t>
      </w:r>
    </w:p>
    <w:p w14:paraId="6D08661E" w14:textId="77777777" w:rsidR="008966CC" w:rsidRPr="001E1FBA" w:rsidRDefault="008966CC" w:rsidP="008966CC">
      <w:pPr>
        <w:rPr>
          <w:rFonts w:ascii="Arial" w:hAnsi="Arial" w:cs="Arial"/>
        </w:rPr>
      </w:pPr>
      <w:r w:rsidRPr="001E1FBA">
        <w:rPr>
          <w:rFonts w:ascii="Arial" w:hAnsi="Arial" w:cs="Arial"/>
        </w:rPr>
        <w:t>Metrics: task completion rate, time-on-task, error count, System Usability Scale (SUS) score post-session.</w:t>
      </w:r>
    </w:p>
    <w:p w14:paraId="4056684F" w14:textId="77777777" w:rsidR="00F3715F" w:rsidRPr="001E1FBA" w:rsidRDefault="008966CC" w:rsidP="008966CC">
      <w:p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Questions to probe: </w:t>
      </w:r>
    </w:p>
    <w:p w14:paraId="019A31AD" w14:textId="77777777" w:rsidR="00F3715F" w:rsidRPr="001E1FBA" w:rsidRDefault="008966CC" w:rsidP="00F3715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Is the cube metaphor intuitive to first-time users or does it confuse navigation? </w:t>
      </w:r>
    </w:p>
    <w:p w14:paraId="5816BDBE" w14:textId="77777777" w:rsidR="00F3715F" w:rsidRPr="001E1FBA" w:rsidRDefault="008966CC" w:rsidP="00F3715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Does the green-red choropleth read clearly to </w:t>
      </w:r>
      <w:proofErr w:type="spellStart"/>
      <w:r w:rsidRPr="001E1FBA">
        <w:rPr>
          <w:rFonts w:ascii="Arial" w:hAnsi="Arial" w:cs="Arial"/>
        </w:rPr>
        <w:t>colour</w:t>
      </w:r>
      <w:proofErr w:type="spellEnd"/>
      <w:r w:rsidRPr="001E1FBA">
        <w:rPr>
          <w:rFonts w:ascii="Arial" w:hAnsi="Arial" w:cs="Arial"/>
        </w:rPr>
        <w:t xml:space="preserve">-blind testers (we will run a Daltonism simulation as a backup check)? </w:t>
      </w:r>
    </w:p>
    <w:p w14:paraId="4C4F08B5" w14:textId="69F88DFD" w:rsidR="00CE6B4C" w:rsidRPr="001E1FBA" w:rsidRDefault="008966CC" w:rsidP="00F3715F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E1FBA">
        <w:rPr>
          <w:rFonts w:ascii="Arial" w:hAnsi="Arial" w:cs="Arial"/>
        </w:rPr>
        <w:t xml:space="preserve">Do users </w:t>
      </w:r>
      <w:r w:rsidR="00F3715F" w:rsidRPr="001E1FBA">
        <w:rPr>
          <w:rFonts w:ascii="Arial" w:hAnsi="Arial" w:cs="Arial"/>
        </w:rPr>
        <w:t>discover the interaction between</w:t>
      </w:r>
      <w:r w:rsidRPr="001E1FBA">
        <w:rPr>
          <w:rFonts w:ascii="Arial" w:hAnsi="Arial" w:cs="Arial"/>
        </w:rPr>
        <w:t xml:space="preserve"> the click-to-link-faces interaction without being told?</w:t>
      </w:r>
    </w:p>
    <w:p w14:paraId="0F0DF860" w14:textId="2D1D53C0" w:rsidR="00CE6B4C" w:rsidRPr="001E1FBA" w:rsidRDefault="009E53E7">
      <w:pPr>
        <w:pStyle w:val="Heading1"/>
        <w:rPr>
          <w:rFonts w:ascii="Arial" w:hAnsi="Arial" w:cs="Arial"/>
        </w:rPr>
      </w:pPr>
      <w:bookmarkStart w:id="14" w:name="_Toc228806030"/>
      <w:r w:rsidRPr="001E1FBA">
        <w:rPr>
          <w:rFonts w:ascii="Arial" w:hAnsi="Arial" w:cs="Arial"/>
        </w:rPr>
        <w:t>5</w:t>
      </w:r>
      <w:r w:rsidR="001028BA" w:rsidRPr="001E1FBA">
        <w:rPr>
          <w:rFonts w:ascii="Arial" w:hAnsi="Arial" w:cs="Arial"/>
        </w:rPr>
        <w:t>.</w:t>
      </w:r>
      <w:r w:rsidRPr="001E1FBA">
        <w:rPr>
          <w:rFonts w:ascii="Arial" w:hAnsi="Arial" w:cs="Arial"/>
        </w:rPr>
        <w:t xml:space="preserve"> Conclusion and Future Improvements</w:t>
      </w:r>
      <w:bookmarkEnd w:id="14"/>
    </w:p>
    <w:p w14:paraId="25FE2E94" w14:textId="77777777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t>Write your content here.</w:t>
      </w:r>
      <w:r w:rsidRPr="001E1FBA">
        <w:rPr>
          <w:rFonts w:ascii="Arial" w:hAnsi="Arial" w:cs="Arial"/>
        </w:rPr>
        <w:br/>
      </w:r>
    </w:p>
    <w:p w14:paraId="234DA3FB" w14:textId="77777777" w:rsidR="00CE6B4C" w:rsidRPr="001E1FBA" w:rsidRDefault="009E53E7">
      <w:pPr>
        <w:pStyle w:val="Heading1"/>
        <w:rPr>
          <w:rFonts w:ascii="Arial" w:hAnsi="Arial" w:cs="Arial"/>
        </w:rPr>
      </w:pPr>
      <w:bookmarkStart w:id="15" w:name="_Toc228806031"/>
      <w:r w:rsidRPr="001E1FBA">
        <w:rPr>
          <w:rFonts w:ascii="Arial" w:hAnsi="Arial" w:cs="Arial"/>
        </w:rPr>
        <w:t>References</w:t>
      </w:r>
      <w:bookmarkEnd w:id="15"/>
    </w:p>
    <w:p w14:paraId="7498A135" w14:textId="77777777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t>Use APA referencing style.</w:t>
      </w:r>
      <w:r w:rsidRPr="001E1FBA">
        <w:rPr>
          <w:rFonts w:ascii="Arial" w:hAnsi="Arial" w:cs="Arial"/>
        </w:rPr>
        <w:br/>
      </w:r>
    </w:p>
    <w:p w14:paraId="1E6D63F8" w14:textId="77777777" w:rsidR="00CE6B4C" w:rsidRPr="001E1FBA" w:rsidRDefault="009E53E7">
      <w:pPr>
        <w:pStyle w:val="Heading1"/>
        <w:rPr>
          <w:rFonts w:ascii="Arial" w:hAnsi="Arial" w:cs="Arial"/>
        </w:rPr>
      </w:pPr>
      <w:bookmarkStart w:id="16" w:name="_Toc228806032"/>
      <w:r w:rsidRPr="001E1FBA">
        <w:rPr>
          <w:rFonts w:ascii="Arial" w:hAnsi="Arial" w:cs="Arial"/>
        </w:rPr>
        <w:t>Appendices</w:t>
      </w:r>
      <w:bookmarkEnd w:id="16"/>
    </w:p>
    <w:p w14:paraId="65A0E25B" w14:textId="72E287D5" w:rsidR="00CE6B4C" w:rsidRPr="001E1FBA" w:rsidRDefault="009E53E7">
      <w:pPr>
        <w:rPr>
          <w:rFonts w:ascii="Arial" w:hAnsi="Arial" w:cs="Arial"/>
        </w:rPr>
      </w:pPr>
      <w:r w:rsidRPr="001E1FBA">
        <w:rPr>
          <w:rFonts w:ascii="Arial" w:hAnsi="Arial" w:cs="Arial"/>
        </w:rPr>
        <w:t>- GenAI Declaration</w:t>
      </w:r>
      <w:r w:rsidRPr="001E1FBA">
        <w:rPr>
          <w:rFonts w:ascii="Arial" w:hAnsi="Arial" w:cs="Arial"/>
        </w:rPr>
        <w:br/>
        <w:t>- Usability materials</w:t>
      </w:r>
      <w:r w:rsidRPr="001E1FBA">
        <w:rPr>
          <w:rFonts w:ascii="Arial" w:hAnsi="Arial" w:cs="Arial"/>
        </w:rPr>
        <w:br/>
        <w:t>- Notes/data</w:t>
      </w:r>
      <w:r w:rsidRPr="001E1FBA">
        <w:rPr>
          <w:rFonts w:ascii="Arial" w:hAnsi="Arial" w:cs="Arial"/>
        </w:rPr>
        <w:br/>
      </w:r>
    </w:p>
    <w:sectPr w:rsidR="00CE6B4C" w:rsidRPr="001E1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77053"/>
    <w:multiLevelType w:val="hybridMultilevel"/>
    <w:tmpl w:val="E264BF7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0DB4716D"/>
    <w:multiLevelType w:val="hybridMultilevel"/>
    <w:tmpl w:val="6A247D1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0F3D3AA1"/>
    <w:multiLevelType w:val="hybridMultilevel"/>
    <w:tmpl w:val="C9FA2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22C10"/>
    <w:multiLevelType w:val="hybridMultilevel"/>
    <w:tmpl w:val="C59A4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000B7"/>
    <w:multiLevelType w:val="hybridMultilevel"/>
    <w:tmpl w:val="6EC0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6A7D86"/>
    <w:multiLevelType w:val="hybridMultilevel"/>
    <w:tmpl w:val="BF549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91120"/>
    <w:multiLevelType w:val="hybridMultilevel"/>
    <w:tmpl w:val="03DA2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C3D89"/>
    <w:multiLevelType w:val="multilevel"/>
    <w:tmpl w:val="DA1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8153D"/>
    <w:multiLevelType w:val="multilevel"/>
    <w:tmpl w:val="076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98079">
    <w:abstractNumId w:val="8"/>
  </w:num>
  <w:num w:numId="2" w16cid:durableId="1560674630">
    <w:abstractNumId w:val="6"/>
  </w:num>
  <w:num w:numId="3" w16cid:durableId="2120908315">
    <w:abstractNumId w:val="5"/>
  </w:num>
  <w:num w:numId="4" w16cid:durableId="936788625">
    <w:abstractNumId w:val="4"/>
  </w:num>
  <w:num w:numId="5" w16cid:durableId="2004308753">
    <w:abstractNumId w:val="7"/>
  </w:num>
  <w:num w:numId="6" w16cid:durableId="875849387">
    <w:abstractNumId w:val="3"/>
  </w:num>
  <w:num w:numId="7" w16cid:durableId="714427103">
    <w:abstractNumId w:val="2"/>
  </w:num>
  <w:num w:numId="8" w16cid:durableId="1263295879">
    <w:abstractNumId w:val="1"/>
  </w:num>
  <w:num w:numId="9" w16cid:durableId="1171988640">
    <w:abstractNumId w:val="0"/>
  </w:num>
  <w:num w:numId="10" w16cid:durableId="1683161702">
    <w:abstractNumId w:val="16"/>
  </w:num>
  <w:num w:numId="11" w16cid:durableId="2116514480">
    <w:abstractNumId w:val="10"/>
  </w:num>
  <w:num w:numId="12" w16cid:durableId="1764649317">
    <w:abstractNumId w:val="9"/>
  </w:num>
  <w:num w:numId="13" w16cid:durableId="1058748813">
    <w:abstractNumId w:val="12"/>
  </w:num>
  <w:num w:numId="14" w16cid:durableId="1139221756">
    <w:abstractNumId w:val="11"/>
  </w:num>
  <w:num w:numId="15" w16cid:durableId="537090418">
    <w:abstractNumId w:val="17"/>
  </w:num>
  <w:num w:numId="16" w16cid:durableId="278489479">
    <w:abstractNumId w:val="14"/>
  </w:num>
  <w:num w:numId="17" w16cid:durableId="539821513">
    <w:abstractNumId w:val="13"/>
  </w:num>
  <w:num w:numId="18" w16cid:durableId="3848395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90"/>
    <w:rsid w:val="001028BA"/>
    <w:rsid w:val="0014117B"/>
    <w:rsid w:val="0015074B"/>
    <w:rsid w:val="00165D48"/>
    <w:rsid w:val="001E1FBA"/>
    <w:rsid w:val="001E21F1"/>
    <w:rsid w:val="001F24ED"/>
    <w:rsid w:val="002034F2"/>
    <w:rsid w:val="00270948"/>
    <w:rsid w:val="0029639D"/>
    <w:rsid w:val="00326F90"/>
    <w:rsid w:val="0039522E"/>
    <w:rsid w:val="003A3E51"/>
    <w:rsid w:val="00446BF2"/>
    <w:rsid w:val="00456274"/>
    <w:rsid w:val="0046733B"/>
    <w:rsid w:val="00501625"/>
    <w:rsid w:val="005C0A07"/>
    <w:rsid w:val="005C1D8B"/>
    <w:rsid w:val="0068170B"/>
    <w:rsid w:val="00684FEA"/>
    <w:rsid w:val="006C62E0"/>
    <w:rsid w:val="006F2C02"/>
    <w:rsid w:val="00703F43"/>
    <w:rsid w:val="00706AA6"/>
    <w:rsid w:val="007108A3"/>
    <w:rsid w:val="007218CE"/>
    <w:rsid w:val="00744861"/>
    <w:rsid w:val="00791374"/>
    <w:rsid w:val="00800475"/>
    <w:rsid w:val="00801A5D"/>
    <w:rsid w:val="008376BC"/>
    <w:rsid w:val="00843B30"/>
    <w:rsid w:val="0086215F"/>
    <w:rsid w:val="00864933"/>
    <w:rsid w:val="0088140C"/>
    <w:rsid w:val="008966CC"/>
    <w:rsid w:val="008A5C1F"/>
    <w:rsid w:val="00917712"/>
    <w:rsid w:val="00935269"/>
    <w:rsid w:val="009755F4"/>
    <w:rsid w:val="009C2C81"/>
    <w:rsid w:val="009E53E7"/>
    <w:rsid w:val="009F365E"/>
    <w:rsid w:val="009F709C"/>
    <w:rsid w:val="00A012E8"/>
    <w:rsid w:val="00A56D02"/>
    <w:rsid w:val="00AA1D8D"/>
    <w:rsid w:val="00AB2D37"/>
    <w:rsid w:val="00B3425D"/>
    <w:rsid w:val="00B47730"/>
    <w:rsid w:val="00B923B8"/>
    <w:rsid w:val="00B97B00"/>
    <w:rsid w:val="00BB32D9"/>
    <w:rsid w:val="00BE77A1"/>
    <w:rsid w:val="00C2638E"/>
    <w:rsid w:val="00C62291"/>
    <w:rsid w:val="00CB0664"/>
    <w:rsid w:val="00CB4D0C"/>
    <w:rsid w:val="00CE52AA"/>
    <w:rsid w:val="00CE6B4C"/>
    <w:rsid w:val="00D44253"/>
    <w:rsid w:val="00D61829"/>
    <w:rsid w:val="00D86662"/>
    <w:rsid w:val="00DB64C6"/>
    <w:rsid w:val="00DE5430"/>
    <w:rsid w:val="00E04176"/>
    <w:rsid w:val="00E5701D"/>
    <w:rsid w:val="00E823C8"/>
    <w:rsid w:val="00E93DA3"/>
    <w:rsid w:val="00E96D01"/>
    <w:rsid w:val="00ED2144"/>
    <w:rsid w:val="00EE7C9F"/>
    <w:rsid w:val="00F3715F"/>
    <w:rsid w:val="00F9645E"/>
    <w:rsid w:val="00FC2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363CA"/>
  <w14:defaultImageDpi w14:val="330"/>
  <w15:docId w15:val="{213DF5FF-E44B-4F97-B02B-4BB6FCAF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028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028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bitre.gov.au/publications/ongoing/hospitalised-injur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itre.gov.au/publications/ongoing/hospitalised-injur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5851</TotalTime>
  <Pages>11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VIET NGUYEN</cp:lastModifiedBy>
  <cp:revision>63</cp:revision>
  <dcterms:created xsi:type="dcterms:W3CDTF">2026-05-04T09:55:00Z</dcterms:created>
  <dcterms:modified xsi:type="dcterms:W3CDTF">2026-06-02T08:15:00Z</dcterms:modified>
  <cp:category/>
</cp:coreProperties>
</file>