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B81F1" w14:textId="77777777" w:rsidR="00BB050C" w:rsidRDefault="00000000">
      <w:pPr>
        <w:pStyle w:val="ac"/>
      </w:pPr>
      <w:r>
        <w:t>Таблица 2.1 – Характер переходного процесса</w:t>
      </w:r>
    </w:p>
    <w:tbl>
      <w:tblPr>
        <w:tblW w:w="934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3"/>
        <w:gridCol w:w="952"/>
        <w:gridCol w:w="1685"/>
        <w:gridCol w:w="3905"/>
      </w:tblGrid>
      <w:tr w:rsidR="00BB050C" w14:paraId="7E1D6DB9" w14:textId="77777777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4C94D" w14:textId="77777777" w:rsidR="00BB050C" w:rsidRDefault="00000000">
            <w:pPr>
              <w:tabs>
                <w:tab w:val="left" w:pos="178"/>
              </w:tabs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Звено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B6525" w14:textId="77777777" w:rsidR="00BB050C" w:rsidRDefault="00000000">
            <w:pPr>
              <w:tabs>
                <w:tab w:val="left" w:pos="178"/>
              </w:tabs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Нули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3EB93" w14:textId="77777777" w:rsidR="00BB050C" w:rsidRDefault="00000000">
            <w:pPr>
              <w:tabs>
                <w:tab w:val="left" w:pos="178"/>
              </w:tabs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Полюса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1238B" w14:textId="77777777" w:rsidR="00BB050C" w:rsidRDefault="00000000">
            <w:pPr>
              <w:tabs>
                <w:tab w:val="left" w:pos="178"/>
              </w:tabs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Характер переходного процесса</w:t>
            </w:r>
          </w:p>
        </w:tc>
      </w:tr>
      <w:tr w:rsidR="00BB050C" w14:paraId="1EC7D38D" w14:textId="77777777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7576E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Безынерционное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1EF4E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63CBB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4B105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Мгновенный скачок до установившегося значения, инерционность отсутствует</w:t>
            </w:r>
          </w:p>
        </w:tc>
      </w:tr>
      <w:tr w:rsidR="00BB050C" w14:paraId="56B00D2C" w14:textId="77777777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B8DAE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Инерционное 1-го порядка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734AA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C1953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 = -1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46E80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Апериодический, монотонный, экспоненциальный выход на установившееся значение</w:t>
            </w:r>
          </w:p>
        </w:tc>
      </w:tr>
      <w:tr w:rsidR="00BB050C" w14:paraId="58ECE664" w14:textId="77777777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647BF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Инерционное 2-го порядка апериодическое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4068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29D57" w14:textId="77777777" w:rsidR="00BB050C" w:rsidRDefault="00000000">
            <w:pPr>
              <w:tabs>
                <w:tab w:val="left" w:pos="178"/>
              </w:tabs>
              <w:ind w:firstLine="0"/>
            </w:pPr>
            <w:r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  <w:vertAlign w:val="subscript"/>
              </w:rPr>
              <w:t>1</w:t>
            </w:r>
            <w:r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  <w:vertAlign w:val="subscript"/>
              </w:rPr>
              <w:t>2</w:t>
            </w:r>
            <w:r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>
              <w:rPr>
                <w:sz w:val="22"/>
                <w:szCs w:val="22"/>
                <w:lang w:val="en-US"/>
              </w:rPr>
              <w:t xml:space="preserve"> -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AD7FC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Апериодический, монотонный, без колебаний и без перерегулирования</w:t>
            </w:r>
          </w:p>
        </w:tc>
      </w:tr>
      <w:tr w:rsidR="00BB050C" w14:paraId="2A1AACBB" w14:textId="77777777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F704F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Инерционное 2-го порядка колебательное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44257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1F3EB" w14:textId="77777777" w:rsidR="00BB050C" w:rsidRDefault="00000000">
            <w:pPr>
              <w:tabs>
                <w:tab w:val="left" w:pos="178"/>
              </w:tabs>
              <w:ind w:firstLine="0"/>
            </w:pPr>
            <w:r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  <w:vertAlign w:val="subscript"/>
              </w:rPr>
              <w:t>1,2</w:t>
            </w:r>
            <w:r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-0.25</w:t>
            </w:r>
            <w:r>
              <w:rPr>
                <w:sz w:val="22"/>
                <w:szCs w:val="22"/>
                <w:lang w:val="en-US"/>
              </w:rPr>
              <w:t>+-</w:t>
            </w:r>
            <w:r>
              <w:rPr>
                <w:sz w:val="22"/>
                <w:szCs w:val="22"/>
              </w:rPr>
              <w:t>0.968i)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78949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Колебательный, с затуханием и перерегулированием</w:t>
            </w:r>
          </w:p>
        </w:tc>
      </w:tr>
      <w:tr w:rsidR="00BB050C" w14:paraId="0258B095" w14:textId="77777777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5B66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Идеальное интегрирующее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C2D40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0B7E1" w14:textId="77777777" w:rsidR="00BB050C" w:rsidRDefault="00000000">
            <w:pPr>
              <w:tabs>
                <w:tab w:val="left" w:pos="178"/>
              </w:tabs>
              <w:ind w:firstLine="0"/>
            </w:pPr>
            <w:r>
              <w:rPr>
                <w:sz w:val="22"/>
                <w:szCs w:val="22"/>
              </w:rPr>
              <w:t>p=0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B2575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Линейный рост, установившееся значение отсутствует</w:t>
            </w:r>
          </w:p>
        </w:tc>
      </w:tr>
      <w:tr w:rsidR="00BB050C" w14:paraId="47B3F551" w14:textId="77777777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AE4A6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Реальное интегрирующее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287B4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CD53E" w14:textId="77777777" w:rsidR="00BB050C" w:rsidRDefault="00000000">
            <w:pPr>
              <w:tabs>
                <w:tab w:val="left" w:pos="178"/>
              </w:tabs>
              <w:ind w:firstLine="0"/>
            </w:pPr>
            <w:r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  <w:vertAlign w:val="subscript"/>
              </w:rPr>
              <w:t>1</w:t>
            </w:r>
            <w:r>
              <w:rPr>
                <w:sz w:val="22"/>
                <w:szCs w:val="22"/>
              </w:rPr>
              <w:t>=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-1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p</w:t>
            </w:r>
            <w:r>
              <w:rPr>
                <w:sz w:val="22"/>
                <w:szCs w:val="22"/>
                <w:vertAlign w:val="subscript"/>
              </w:rPr>
              <w:t>2</w:t>
            </w:r>
            <w:r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D5EA0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Сначала инерционный рост, затем переход в линейный рост</w:t>
            </w:r>
          </w:p>
        </w:tc>
      </w:tr>
      <w:tr w:rsidR="00BB050C" w14:paraId="7EA98E78" w14:textId="77777777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7126B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 Идеальное дифференцирующее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8597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(z=0)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3A8DB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19979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идеале дельта-импульс в момент (t=0)</w:t>
            </w:r>
          </w:p>
        </w:tc>
      </w:tr>
      <w:tr w:rsidR="00BB050C" w14:paraId="1C3F07F8" w14:textId="77777777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B97CA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 Реальное дифференцирующее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B0683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(z=0)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5992B" w14:textId="77777777" w:rsidR="00BB050C" w:rsidRDefault="00000000">
            <w:pPr>
              <w:tabs>
                <w:tab w:val="left" w:pos="178"/>
              </w:tabs>
              <w:ind w:firstLine="0"/>
            </w:pPr>
            <w:r>
              <w:rPr>
                <w:sz w:val="22"/>
                <w:szCs w:val="22"/>
              </w:rPr>
              <w:t>p=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-1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1EEB3" w14:textId="77777777" w:rsidR="00BB050C" w:rsidRDefault="00000000">
            <w:pPr>
              <w:tabs>
                <w:tab w:val="left" w:pos="178"/>
              </w:tabs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Начальный выброс, затем экспоненциальное затухание к нулю</w:t>
            </w:r>
          </w:p>
        </w:tc>
      </w:tr>
    </w:tbl>
    <w:p w14:paraId="39217EC0" w14:textId="77777777" w:rsidR="00BB050C" w:rsidRDefault="00BB050C"/>
    <w:p w14:paraId="55086B6F" w14:textId="77777777" w:rsidR="00BB050C" w:rsidRDefault="00000000">
      <w:r>
        <w:t>Из данных таблицы 2.1 следует, что характер переходного процесса непосредственно определяется числом, типом и расположением полюсов и нулей передаточной функции. Именно полюса в первую очередь задают динамические свойства звена: наличие или отсутствие инерционности, скорость затухания, возможность колебаний, наличие или отсутствие установившегося значения. Нули оказывают влияние главным образом на начальный участок переходного процесса и на способность звена усиливать быстрые изменения входного сигнала.</w:t>
      </w:r>
    </w:p>
    <w:p w14:paraId="3F0E5971" w14:textId="77777777" w:rsidR="00BB050C" w:rsidRDefault="00000000">
      <w:r>
        <w:t xml:space="preserve">Для звена 1, являющегося безынерционным, полюса и нули отсутствуют. Это означает, что звено не обладает собственной динамикой, не накапливает энергию и не вносит запаздывания. Поэтому выходная величина изменяется мгновенно вслед за входной, а переходный процесс сводится к мгновенному скачку до нового уровня. Отсутствие полюсов объясняет </w:t>
      </w:r>
      <w:r>
        <w:lastRenderedPageBreak/>
        <w:t>отсутствие инерционного участка, а отсутствие нулей — отсутствие каких-либо особенностей начального отклика.</w:t>
      </w:r>
    </w:p>
    <w:p w14:paraId="248A0EE8" w14:textId="77777777" w:rsidR="00BB050C" w:rsidRDefault="00000000">
      <w:r>
        <w:t>Для звена 2, инерционного звена первого порядка, имеется один вещественный отрицательный полюс p=−1. Наличие одного отрицательного вещественного полюса приводит к апериодическому, монотонному и экспоненциальному переходному процессу без колебаний и перерегулирования. Такой полюс задаёт постоянную времени звена: чем ближе он расположен к началу координат, тем медленнее система реагирует на изменение входа; чем дальше полюс смещён влево по действительной оси, тем быстрее завершается переходный процесс. Поскольку нули отсутствуют, начальный участок отклика остаётся плавным.</w:t>
      </w:r>
    </w:p>
    <w:p w14:paraId="5F6A9F5D" w14:textId="77777777" w:rsidR="00BB050C" w:rsidRDefault="00000000">
      <w:r>
        <w:t xml:space="preserve">Для звена 3, апериодического звена второго порядка, имеются два вещественных отрицательных полюса </w:t>
      </w:r>
      <w:r>
        <w:rPr>
          <w:lang w:val="en-US"/>
        </w:rPr>
        <w:t>p</w:t>
      </w:r>
      <w:r>
        <w:rPr>
          <w:vertAlign w:val="subscript"/>
        </w:rPr>
        <w:t>1</w:t>
      </w:r>
      <w:r>
        <w:t>=</w:t>
      </w:r>
      <w:r>
        <w:rPr>
          <w:lang w:val="en-US"/>
        </w:rPr>
        <w:t>p</w:t>
      </w:r>
      <w:r>
        <w:rPr>
          <w:vertAlign w:val="subscript"/>
        </w:rPr>
        <w:t>2</w:t>
      </w:r>
      <w:r>
        <w:t>=-2. Два отрицательных вещественных полюса также формируют апериодический переходный процесс, однако по сравнению со звеном первого порядка отклик становится более инерционным. В данном случае полюса совпадают, поэтому звено находится на границе апериодичности, и переходный процесс остаётся монотонным, но более «затянутым». На графике это проявляется в отсутствии колебаний и перерегулирования при более медленном выходе на установившееся значение. Отсутствие нулей снова означает плавное начало переходного процесса без выбросов.</w:t>
      </w:r>
    </w:p>
    <w:p w14:paraId="18709EC2" w14:textId="77777777" w:rsidR="00BB050C" w:rsidRDefault="00000000">
      <w:r>
        <w:t>Для звена 4, колебательного звена второго порядка, полюса являются комплексно-сопряжёнными: p</w:t>
      </w:r>
      <w:r>
        <w:rPr>
          <w:vertAlign w:val="subscript"/>
        </w:rPr>
        <w:t>1,2</w:t>
      </w:r>
      <w:r>
        <w:t>=−0,25±0,968i.</w:t>
      </w:r>
    </w:p>
    <w:p w14:paraId="33874880" w14:textId="77777777" w:rsidR="00BB050C" w:rsidRDefault="00000000">
      <w:r>
        <w:t xml:space="preserve">Именно наличие комплексно-сопряжённых полюсов с отрицательной вещественной частью вызывает затухающие колебания в переходном процессе. Вещественная часть определяет скорость затухания: чем она ближе к нулю, тем дольше сохраняются колебания. Мнимая часть определяет частоту этих колебаний. Поэтому для данного звена на графике переходного процесса наблюдаются колебания, перерегулирование и постепенное затухание с выходом на установившееся значение. Отсутствие нулей означает, что форма </w:t>
      </w:r>
      <w:r>
        <w:lastRenderedPageBreak/>
        <w:t>начального участка определяется именно полюсами, а не форсирующим действием числителя.</w:t>
      </w:r>
    </w:p>
    <w:p w14:paraId="67F5300A" w14:textId="77777777" w:rsidR="00BB050C" w:rsidRDefault="00000000">
      <w:r>
        <w:t>Для звена 5, идеального интегрирующего, имеется полюс в начале координат p=0, а нули отсутствуют. Полюс в нуле соответствует интегрирующему свойству звена. Это означает, что при подаче ступенчатого сигнала выходная величина не стремится к конечному установившемуся значению, а непрерывно возрастает во времени. Именно поэтому переходный процесс имеет вид линейного роста. Наличие полюса в начале координат указывает на астатический характер звена: оно не обладает статическим равновесием для постоянного входного воздействия.</w:t>
      </w:r>
    </w:p>
    <w:p w14:paraId="4440CBCB" w14:textId="77777777" w:rsidR="00BB050C" w:rsidRDefault="00000000">
      <w:r>
        <w:t>Для звена 6, реального интегрирующего, имеются два полюса: один нулевой p=0 и один вещественный отрицательный p=−1. Нулевой полюс обеспечивает интегрирующее действие, а отрицательный вещественный полюс вносит инерционность. В результате переходный процесс сочетает два свойства: в начальный момент отклик изменяется плавно, как у инерционного звена, а затем переходит в линейный рост, характерный для интегрирующего звена. Таким образом, именно совместное наличие нулевого и отрицательного вещественного полюсов объясняет смешанный интегрирующе-инерционный характер графика переходного процесса.</w:t>
      </w:r>
    </w:p>
    <w:p w14:paraId="04D714A0" w14:textId="77777777" w:rsidR="00BB050C" w:rsidRDefault="00000000">
      <w:r>
        <w:t>Для звена 7, идеального дифференцирующего, полюса отсутствуют, а в начале координат расположен нуль z=0. Отсутствие полюсов означает отсутствие собственной инерции, а наличие нуля в числителе определяет дифференцирующее действие звена. Такое звено реагирует не на сам уровень входного сигнала, а на скорость его изменения. Поэтому при подаче единичного ступенчатого воздействия, в момент скачка входа, выход имеет импульсный характер. Теоретически переходный процесс представляет собой дельта-импульс в момент t=0. Следовательно, именно нуль в числителе и отсутствие полюсов объясняют чрезвычайно резкий отклик звена 7.</w:t>
      </w:r>
    </w:p>
    <w:p w14:paraId="4A3EE47D" w14:textId="77777777" w:rsidR="00BB050C" w:rsidRDefault="00000000">
      <w:r>
        <w:t xml:space="preserve">Для звена 8, реального дифференцирующего, имеется нуль в начале координат z=0 и один вещественный отрицательный полюс p=−1. Нуль в </w:t>
      </w:r>
      <w:r>
        <w:lastRenderedPageBreak/>
        <w:t>числителе создаёт дифференцирующий эффект, поэтому в начале переходного процесса возникает резкий выброс. Однако, в отличие от идеального дифференцирующего звена, здесь присутствует отрицательный вещественный полюс, который ограничивает действие нуля по времени и обеспечивает затухание отклика. В результате переходный процесс имеет физически реализуемый вид: в начальный момент наблюдается резкий скачкообразный выброс, после чего выходная величина экспоненциально затухает к нулю.</w:t>
      </w:r>
    </w:p>
    <w:p w14:paraId="69D0693F" w14:textId="77777777" w:rsidR="00BB050C" w:rsidRDefault="00000000">
      <w:r>
        <w:t>Таким образом, анализ всех восьми звеньев показывает, что полюса определяют основной характер динамики, то есть наличие инерционности, скорость переходного процесса, возможность колебаний и наличие установившегося значения. Нули влияют прежде всего на форму начального участка отклика, усиливая реакцию звена на быстрые изменения входного сигнала. Если полюса вещественные и отрицательные, переходный процесс имеет апериодический характер; если полюса комплексно-сопряжённые, возникают колебания; если полюс расположен в начале координат, проявляются интегрирующие свойства; если в начале координат находится нуль, звено приобретает дифференцирующие свойства. Следовательно, общий вид переходного процесса определяется именно взаимным расположением полюсов и нулей передаточной функции.</w:t>
      </w:r>
    </w:p>
    <w:p w14:paraId="7B628DEB" w14:textId="77777777" w:rsidR="00BB050C" w:rsidRDefault="00000000">
      <w:r>
        <w:t>Более краткий вариант представлен ниже.</w:t>
      </w:r>
    </w:p>
    <w:p w14:paraId="0EEB7021" w14:textId="77777777" w:rsidR="00BB050C" w:rsidRDefault="00000000">
      <w:r>
        <w:t>1. Полюса влияют на общий вид переходного процесса.</w:t>
      </w:r>
    </w:p>
    <w:p w14:paraId="793949EC" w14:textId="77777777" w:rsidR="00BB050C" w:rsidRDefault="00000000">
      <w:r>
        <w:t xml:space="preserve">Если полюсов нет, то звено не имеет собственной динамики. Это значит, что выход меняется сразу, без запаздывания. Так работает безынерционное звено. </w:t>
      </w:r>
    </w:p>
    <w:p w14:paraId="25D5DBD2" w14:textId="77777777" w:rsidR="00BB050C" w:rsidRDefault="00000000">
      <w:r>
        <w:t>Если есть один вещественный отрицательный полюс, то переходный процесс будет апериодическим. То есть выход будет плавно и монотонно стремиться к установившемуся значению без колебаний. Так работает инерционное звено 1-го порядка.</w:t>
      </w:r>
    </w:p>
    <w:p w14:paraId="185ECF26" w14:textId="77777777" w:rsidR="00BB050C" w:rsidRDefault="00000000">
      <w:r>
        <w:lastRenderedPageBreak/>
        <w:t>Если есть два вещественных отрицательных полюса, то переходный процесс тоже остаётся апериодическим, но становится более медленным и “растянутым”.</w:t>
      </w:r>
    </w:p>
    <w:p w14:paraId="083D9FB4" w14:textId="77777777" w:rsidR="00BB050C" w:rsidRDefault="00000000">
      <w:r>
        <w:t xml:space="preserve">Если полюса совпадают, как у звена 3, процесс всё равно не колебательный, просто более затянутый. </w:t>
      </w:r>
    </w:p>
    <w:p w14:paraId="3F246706" w14:textId="77777777" w:rsidR="00BB050C" w:rsidRDefault="00000000">
      <w:r>
        <w:t>Если полюса комплексно-сопряжённые, то переходный процесс становится колебательным. То есть появляются колебания, перерегулирование и затухание.</w:t>
      </w:r>
    </w:p>
    <w:p w14:paraId="72913894" w14:textId="77777777" w:rsidR="00BB050C" w:rsidRDefault="00000000">
      <w:r>
        <w:t>Чем меньше по модулю отрицательная вещественная часть, тем дольше затухают колебания.</w:t>
      </w:r>
    </w:p>
    <w:p w14:paraId="48347915" w14:textId="77777777" w:rsidR="00BB050C" w:rsidRDefault="00000000">
      <w:r>
        <w:t>Если есть полюс в нуле, то появляется интегрирующее свойство. Это значит, что выход не стремится к постоянному конечному значению, а продолжает расти. Так работают интегрирующие звенья.</w:t>
      </w:r>
    </w:p>
    <w:p w14:paraId="2015E316" w14:textId="77777777" w:rsidR="00BB050C" w:rsidRDefault="00BB050C"/>
    <w:sectPr w:rsidR="00BB050C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4D586" w14:textId="77777777" w:rsidR="005A4538" w:rsidRDefault="005A4538">
      <w:pPr>
        <w:spacing w:line="240" w:lineRule="auto"/>
      </w:pPr>
      <w:r>
        <w:separator/>
      </w:r>
    </w:p>
  </w:endnote>
  <w:endnote w:type="continuationSeparator" w:id="0">
    <w:p w14:paraId="5FC235C6" w14:textId="77777777" w:rsidR="005A4538" w:rsidRDefault="005A45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40EB1" w14:textId="77777777" w:rsidR="005A4538" w:rsidRDefault="005A4538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019B4679" w14:textId="77777777" w:rsidR="005A4538" w:rsidRDefault="005A453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B050C"/>
    <w:rsid w:val="002754D7"/>
    <w:rsid w:val="003F0B84"/>
    <w:rsid w:val="005A4538"/>
    <w:rsid w:val="00BB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D0C50"/>
  <w15:docId w15:val="{0D08DB38-CBE7-452F-90F6-A035B572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ru-RU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/>
      <w:kern w:val="0"/>
      <w:sz w:val="28"/>
      <w:szCs w:val="20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56" w:lineRule="auto"/>
      <w:ind w:firstLine="0"/>
      <w:jc w:val="left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56" w:lineRule="auto"/>
      <w:ind w:firstLine="0"/>
      <w:jc w:val="left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56" w:lineRule="auto"/>
      <w:ind w:firstLine="0"/>
      <w:jc w:val="left"/>
      <w:outlineLvl w:val="2"/>
    </w:pPr>
    <w:rPr>
      <w:rFonts w:ascii="Aptos" w:hAnsi="Aptos"/>
      <w:color w:val="0F4761"/>
      <w:kern w:val="3"/>
      <w:szCs w:val="28"/>
      <w:lang w:eastAsia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56" w:lineRule="auto"/>
      <w:ind w:firstLine="0"/>
      <w:jc w:val="left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56" w:lineRule="auto"/>
      <w:ind w:firstLine="0"/>
      <w:jc w:val="left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line="256" w:lineRule="auto"/>
      <w:ind w:firstLine="0"/>
      <w:jc w:val="left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7">
    <w:name w:val="heading 7"/>
    <w:basedOn w:val="a"/>
    <w:next w:val="a"/>
    <w:pPr>
      <w:keepNext/>
      <w:keepLines/>
      <w:spacing w:before="40" w:line="256" w:lineRule="auto"/>
      <w:ind w:firstLine="0"/>
      <w:jc w:val="left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8">
    <w:name w:val="heading 8"/>
    <w:basedOn w:val="a"/>
    <w:next w:val="a"/>
    <w:pPr>
      <w:keepNext/>
      <w:keepLines/>
      <w:spacing w:line="256" w:lineRule="auto"/>
      <w:ind w:firstLine="0"/>
      <w:jc w:val="left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9">
    <w:name w:val="heading 9"/>
    <w:basedOn w:val="a"/>
    <w:next w:val="a"/>
    <w:pPr>
      <w:keepNext/>
      <w:keepLines/>
      <w:spacing w:line="256" w:lineRule="auto"/>
      <w:ind w:firstLine="0"/>
      <w:jc w:val="left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basedOn w:val="a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basedOn w:val="a0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basedOn w:val="a0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basedOn w:val="a0"/>
    <w:rPr>
      <w:rFonts w:eastAsia="Times New Roman" w:cs="Times New Roman"/>
      <w:color w:val="0F4761"/>
    </w:rPr>
  </w:style>
  <w:style w:type="character" w:customStyle="1" w:styleId="60">
    <w:name w:val="Заголовок 6 Знак"/>
    <w:basedOn w:val="a0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rPr>
      <w:rFonts w:eastAsia="Times New Roman" w:cs="Times New Roman"/>
      <w:color w:val="272727"/>
    </w:rPr>
  </w:style>
  <w:style w:type="paragraph" w:styleId="a3">
    <w:name w:val="Title"/>
    <w:basedOn w:val="a"/>
    <w:next w:val="a"/>
    <w:uiPriority w:val="10"/>
    <w:qFormat/>
    <w:pPr>
      <w:spacing w:after="80" w:line="240" w:lineRule="auto"/>
      <w:ind w:firstLine="0"/>
      <w:contextualSpacing/>
      <w:jc w:val="left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a4">
    <w:name w:val="Заголовок Знак"/>
    <w:basedOn w:val="a0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5">
    <w:name w:val="Subtitle"/>
    <w:basedOn w:val="a"/>
    <w:next w:val="a"/>
    <w:uiPriority w:val="11"/>
    <w:qFormat/>
    <w:pPr>
      <w:spacing w:after="160" w:line="256" w:lineRule="auto"/>
      <w:jc w:val="left"/>
    </w:pPr>
    <w:rPr>
      <w:rFonts w:ascii="Aptos" w:hAnsi="Aptos"/>
      <w:color w:val="595959"/>
      <w:spacing w:val="15"/>
      <w:kern w:val="3"/>
      <w:szCs w:val="28"/>
      <w:lang w:eastAsia="en-US"/>
    </w:rPr>
  </w:style>
  <w:style w:type="character" w:customStyle="1" w:styleId="a6">
    <w:name w:val="Подзаголовок Знак"/>
    <w:basedOn w:val="a0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pPr>
      <w:spacing w:before="160" w:after="160" w:line="256" w:lineRule="auto"/>
      <w:ind w:firstLine="0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paragraph" w:styleId="a7">
    <w:name w:val="List Paragraph"/>
    <w:basedOn w:val="a"/>
    <w:pPr>
      <w:spacing w:after="160" w:line="256" w:lineRule="auto"/>
      <w:ind w:left="720" w:firstLine="0"/>
      <w:contextualSpacing/>
      <w:jc w:val="left"/>
    </w:pPr>
    <w:rPr>
      <w:rFonts w:ascii="Aptos" w:eastAsia="Aptos" w:hAnsi="Aptos"/>
      <w:kern w:val="3"/>
      <w:sz w:val="22"/>
      <w:szCs w:val="22"/>
      <w:lang w:eastAsia="en-US"/>
    </w:rPr>
  </w:style>
  <w:style w:type="character" w:styleId="a8">
    <w:name w:val="Intense Emphasis"/>
    <w:basedOn w:val="a0"/>
    <w:rPr>
      <w:i/>
      <w:iCs/>
      <w:color w:val="0F4761"/>
    </w:rPr>
  </w:style>
  <w:style w:type="paragraph" w:styleId="a9">
    <w:name w:val="Intense Quote"/>
    <w:basedOn w:val="a"/>
    <w:next w:val="a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 w:firstLine="0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rPr>
      <w:i/>
      <w:iCs/>
      <w:color w:val="0F4761"/>
    </w:rPr>
  </w:style>
  <w:style w:type="character" w:styleId="ab">
    <w:name w:val="Intense Reference"/>
    <w:basedOn w:val="a0"/>
    <w:rPr>
      <w:b/>
      <w:bCs/>
      <w:smallCaps/>
      <w:color w:val="0F4761"/>
      <w:spacing w:val="5"/>
    </w:rPr>
  </w:style>
  <w:style w:type="paragraph" w:customStyle="1" w:styleId="ac">
    <w:name w:val="Обычный (таблица)"/>
    <w:basedOn w:val="a"/>
    <w:next w:val="a"/>
    <w:pPr>
      <w:keepNext/>
      <w:spacing w:before="120"/>
      <w:ind w:firstLine="0"/>
      <w:contextualSpacing/>
      <w:jc w:val="left"/>
    </w:pPr>
    <w:rPr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Федорцов</dc:creator>
  <dc:description/>
  <cp:lastModifiedBy>Иван Федорцов</cp:lastModifiedBy>
  <cp:revision>2</cp:revision>
  <dcterms:created xsi:type="dcterms:W3CDTF">2026-04-14T10:19:00Z</dcterms:created>
  <dcterms:modified xsi:type="dcterms:W3CDTF">2026-04-14T10:19:00Z</dcterms:modified>
</cp:coreProperties>
</file>