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LUIS YAEL CARMONA GUTIÉRREZ</w:t>
      </w:r>
    </w:p>
    <w:p>
      <w:pPr>
        <w:spacing w:after="0"/>
        <w:jc w:val="center"/>
      </w:pPr>
      <w:r>
        <w:rPr>
          <w:sz w:val="18"/>
        </w:rPr>
        <w:t>Guadalajara, Jalisco, México • luisya4505@gmail.com • +52 (333) 129-5731</w:t>
      </w:r>
    </w:p>
    <w:p>
      <w:pPr>
        <w:spacing w:after="40"/>
        <w:jc w:val="center"/>
      </w:pPr>
      <w:r>
        <w:rPr>
          <w:i/>
          <w:sz w:val="18"/>
        </w:rPr>
        <w:t>LinkedIn Profile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0"/>
      </w:pPr>
      <w:r>
        <w:rPr>
          <w:sz w:val="18"/>
        </w:rPr>
        <w:t>I'm a recent Finance graduate who has spent the last few years turning financial analysis into a habit, not just a class requirement. I'm currently preparing for the AMIB Figura 3 (Bursatrón) certification, and on my own time I've been building AutoInvest Pro, a Python-based investment automation platform now twelve modules deep. Markets, commodities, and equity instruments are where my attention naturally goes.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CAVII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Administrative Assistant</w:t>
      </w:r>
      <w:r>
        <w:rPr>
          <w:i/>
          <w:sz w:val="18"/>
        </w:rPr>
        <w:tab/>
        <w:t>2023 – Present</w:t>
      </w:r>
    </w:p>
    <w:p>
      <w:pPr>
        <w:pStyle w:val="ListBullet"/>
        <w:spacing w:before="0" w:after="0"/>
        <w:ind w:left="317"/>
      </w:pPr>
      <w:r>
        <w:rPr>
          <w:sz w:val="18"/>
        </w:rPr>
        <w:t>Contributed to the preparation of financial reports, improving clarity in decision-making.</w:t>
      </w:r>
    </w:p>
    <w:p>
      <w:pPr>
        <w:pStyle w:val="ListBullet"/>
        <w:spacing w:before="0" w:after="0"/>
        <w:ind w:left="317"/>
      </w:pPr>
      <w:r>
        <w:rPr>
          <w:sz w:val="18"/>
        </w:rPr>
        <w:t>Improved financial accuracy by 99.5%, maintaining up-to-date records and monthly bank reconciliations.</w:t>
      </w:r>
    </w:p>
    <w:p>
      <w:pPr>
        <w:pStyle w:val="ListBullet"/>
        <w:spacing w:before="0" w:after="0"/>
        <w:ind w:left="317"/>
      </w:pPr>
      <w:r>
        <w:rPr>
          <w:sz w:val="18"/>
        </w:rPr>
        <w:t>Optimized document management (500 documents per month) and correspondence (300 communications per month).</w:t>
      </w:r>
    </w:p>
    <w:p>
      <w:pPr>
        <w:pStyle w:val="ListBullet"/>
        <w:spacing w:before="0" w:after="0"/>
        <w:ind w:left="317"/>
      </w:pPr>
      <w:r>
        <w:rPr>
          <w:sz w:val="18"/>
        </w:rPr>
        <w:t>Fostered continuous improvement, achieving a 15% increase in annual operational efficiency.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COPARMEX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Event Coordinator</w:t>
      </w:r>
      <w:r>
        <w:rPr>
          <w:i/>
          <w:sz w:val="18"/>
        </w:rPr>
        <w:tab/>
        <w:t>2022 – 2023</w:t>
      </w:r>
    </w:p>
    <w:p>
      <w:pPr>
        <w:pStyle w:val="ListBullet"/>
        <w:spacing w:before="0" w:after="0"/>
        <w:ind w:left="317"/>
      </w:pPr>
      <w:r>
        <w:rPr>
          <w:sz w:val="18"/>
        </w:rPr>
        <w:t>Planned and executed events with 95% efficiency, ensuring impeccable logistics.</w:t>
      </w:r>
    </w:p>
    <w:p>
      <w:pPr>
        <w:pStyle w:val="ListBullet"/>
        <w:spacing w:before="0" w:after="0"/>
        <w:ind w:left="317"/>
      </w:pPr>
      <w:r>
        <w:rPr>
          <w:sz w:val="18"/>
        </w:rPr>
        <w:t>Coordinated a team of five employees, meeting 100% of established deadlines.</w:t>
      </w:r>
    </w:p>
    <w:p>
      <w:pPr>
        <w:pStyle w:val="ListBullet"/>
        <w:spacing w:before="0" w:after="0"/>
        <w:ind w:left="317"/>
      </w:pPr>
      <w:r>
        <w:rPr>
          <w:sz w:val="18"/>
        </w:rPr>
        <w:t>Resolved unforeseen incidents in under 15 minutes, ensuring continuity of events.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Royal Prestige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Sales Representative</w:t>
      </w:r>
      <w:r>
        <w:rPr>
          <w:i/>
          <w:sz w:val="18"/>
        </w:rPr>
        <w:tab/>
        <w:t>2013 – 2015</w:t>
      </w:r>
    </w:p>
    <w:p>
      <w:pPr>
        <w:pStyle w:val="ListBullet"/>
        <w:spacing w:before="0" w:after="0"/>
        <w:ind w:left="317"/>
      </w:pPr>
      <w:r>
        <w:rPr>
          <w:sz w:val="18"/>
        </w:rPr>
        <w:t>Conducted product demonstrations with a 30% conversion rate, driving sales.</w:t>
      </w:r>
    </w:p>
    <w:p>
      <w:pPr>
        <w:pStyle w:val="ListBullet"/>
        <w:spacing w:before="0" w:after="0"/>
        <w:ind w:left="317"/>
      </w:pPr>
      <w:r>
        <w:rPr>
          <w:sz w:val="18"/>
        </w:rPr>
        <w:t>Built strong customer relationships, achieving a 75.3% satisfaction rate.</w:t>
      </w:r>
    </w:p>
    <w:p>
      <w:pPr>
        <w:pStyle w:val="ListBullet"/>
        <w:spacing w:before="0" w:after="0"/>
        <w:ind w:left="317"/>
      </w:pPr>
      <w:r>
        <w:rPr>
          <w:sz w:val="18"/>
        </w:rPr>
        <w:t>Expanded the customer base by 20% annually through prospecting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before="0" w:after="0"/>
        <w:ind w:left="317"/>
      </w:pPr>
      <w:r>
        <w:rPr>
          <w:sz w:val="18"/>
        </w:rPr>
        <w:t>Figura 3 (Bursatrón) — AMIB — in progress, 2026</w:t>
      </w:r>
    </w:p>
    <w:p>
      <w:pPr>
        <w:pStyle w:val="ListBullet"/>
        <w:spacing w:before="0" w:after="0"/>
        <w:ind w:left="317"/>
      </w:pPr>
      <w:r>
        <w:rPr>
          <w:sz w:val="18"/>
        </w:rPr>
        <w:t>Fintech y Data Science — Instituto de Estudios Bursátiles (IEB), Madrid, España — 2025</w:t>
      </w:r>
    </w:p>
    <w:p>
      <w:pPr>
        <w:pStyle w:val="ListBullet"/>
        <w:spacing w:before="0" w:after="0"/>
        <w:ind w:left="317"/>
      </w:pPr>
      <w:r>
        <w:rPr>
          <w:sz w:val="18"/>
        </w:rPr>
        <w:t>Ing. Citizen Data Scientist — Tecnológico de Monterrey — 2023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PERSONAL PROJECT</w:t>
      </w:r>
    </w:p>
    <w:p>
      <w:pPr>
        <w:spacing w:after="0"/>
      </w:pPr>
      <w:r>
        <w:rPr>
          <w:b/>
          <w:sz w:val="20"/>
        </w:rPr>
        <w:t>AutoInvest Pro</w:t>
      </w:r>
    </w:p>
    <w:p>
      <w:pPr>
        <w:pStyle w:val="ListBullet"/>
        <w:spacing w:before="0" w:after="0"/>
        <w:ind w:left="317"/>
      </w:pPr>
      <w:r>
        <w:rPr>
          <w:sz w:val="18"/>
        </w:rPr>
        <w:t>Independently built Python investment-automation platform, with 12 modules completed to date.</w:t>
      </w:r>
    </w:p>
    <w:p>
      <w:pPr>
        <w:pStyle w:val="ListBullet"/>
        <w:spacing w:before="0" w:after="0"/>
        <w:ind w:left="317"/>
      </w:pPr>
      <w:r>
        <w:rPr>
          <w:sz w:val="18"/>
        </w:rPr>
        <w:t>Apply data analysis and programming concepts directly to evaluating financial instruments and investment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Family Business Administration and Management</w:t>
      </w:r>
      <w:r>
        <w:rPr>
          <w:i/>
          <w:sz w:val="18"/>
        </w:rPr>
        <w:tab/>
        <w:t>2022 – 2026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Business Administration and Finance</w:t>
      </w:r>
      <w:r>
        <w:rPr>
          <w:i/>
          <w:sz w:val="18"/>
        </w:rPr>
        <w:tab/>
        <w:t>2025 –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LANGUAGES</w:t>
      </w:r>
    </w:p>
    <w:p>
      <w:pPr>
        <w:pStyle w:val="ListBullet"/>
        <w:spacing w:before="0" w:after="0"/>
        <w:ind w:left="317"/>
      </w:pPr>
      <w:r>
        <w:rPr>
          <w:sz w:val="18"/>
        </w:rPr>
        <w:t>Spanish — Native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— Advanced (TOEFL ITP: 550 points)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SKILLS &amp; INTERESTS</w:t>
      </w:r>
    </w:p>
    <w:p>
      <w:pPr>
        <w:pStyle w:val="ListBullet"/>
        <w:spacing w:before="0" w:after="0"/>
        <w:ind w:left="317"/>
      </w:pPr>
      <w:r>
        <w:rPr>
          <w:sz w:val="18"/>
        </w:rPr>
        <w:t>Python programming, Power BI, Advanced Excel for finance</w:t>
      </w:r>
    </w:p>
    <w:p>
      <w:pPr>
        <w:pStyle w:val="ListBullet"/>
        <w:spacing w:before="0" w:after="0"/>
        <w:ind w:left="317"/>
      </w:pPr>
      <w:r>
        <w:rPr>
          <w:sz w:val="18"/>
        </w:rPr>
        <w:t>Financial analysis, equity and commodity market tracking, bank reconciliation</w:t>
      </w:r>
    </w:p>
    <w:p>
      <w:pPr>
        <w:pStyle w:val="ListBullet"/>
        <w:spacing w:before="0" w:after="0"/>
        <w:ind w:left="317"/>
      </w:pPr>
      <w:r>
        <w:rPr>
          <w:sz w:val="18"/>
        </w:rPr>
        <w:t>Outside of work: stock investing, programming, singing, boxing, gym training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