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Guadalajara, Jalisco, México — 19 de agosto de 2026</w:t>
      </w:r>
    </w:p>
    <w:p/>
    <w:p>
      <w:r>
        <w:t>A quien corresponda,</w:t>
      </w:r>
    </w:p>
    <w:p>
      <w:pPr>
        <w:spacing w:after="200"/>
      </w:pPr>
      <w:r>
        <w:t>La vacante de Asesor Financiero Patrimonial A en Grupo Financiero Banorte me llamó la atención, y quiero explicar por qué con mis propias palabras. He pasado los últimos años equilibrando un programa de doble titulación exigente con un trabajo de tiempo completo.</w:t>
      </w:r>
    </w:p>
    <w:p>
      <w:pPr>
        <w:spacing w:after="200"/>
      </w:pPr>
      <w:r>
        <w:t>Fuera del horario de oficina he construido AutoInvest Pro, una plataforma propia en Python para automatizar decisiones de inversión, ya con doce módulos completados — no por un curso, sino porque los mercados son el tema al que naturalmente regreso. En CAVII llevo las conciliaciones bancarias mensuales y ayudo a preparar reportes financieros, y la parte que más disfruto es justamente la conciliación en sí — detectar la pequeña discrepancia antes de que se convierta en un problema real.</w:t>
      </w:r>
    </w:p>
    <w:p>
      <w:pPr>
        <w:spacing w:after="200"/>
      </w:pPr>
      <w:r>
        <w:t>Actualmente estoy en preparación para Figura 3 (Bursatrón), y es parte de por qué la regulación bancaria y cómo se aplica en la práctica es algo en lo que de verdad quiero invertir tiempo, no solo para cumplir con la descripción del puesto.</w:t>
      </w:r>
    </w:p>
    <w:p>
      <w:pPr>
        <w:spacing w:after="200"/>
      </w:pPr>
      <w:r>
        <w:t>Me encantaría tener la oportunidad de platicar esto directamente cuando sea conveniente.</w:t>
      </w:r>
    </w:p>
    <w:p>
      <w:r>
        <w:t>Saludos cordiales,</w:t>
      </w:r>
    </w:p>
    <w:p/>
    <w:p>
      <w:r>
        <w:t>Luis Yael Carmona Gutiérrez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