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Recent Finance graduate with hands-on experience in financial analysis and reporting, currently preparing for the AMIB Figura 3 (Bursatrón) securities-market certification. Genuine, active interest in equity and commodity markets: independently building a Python investment-automation platform (AutoInvest Pro), with 12 modules completed to date. Combines formal finance training, analytical judgment, and a natural pull toward market and instrument tracking.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Built strong customer relationships, achieving a 75.3% satisfaction rate.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Ing. Citizen Data Scientist — Tecnológico de Monterrey — 2023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pStyle w:val="ListBullet"/>
        <w:spacing w:before="0" w:after="0"/>
        <w:ind w:left="317"/>
      </w:pPr>
      <w:r>
        <w:rPr>
          <w:sz w:val="18"/>
        </w:rPr>
        <w:t>Apply data analysis and programming concepts directly to evaluating financial instruments and investment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Python programming, Power BI, Advanced Excel for finance</w:t>
      </w:r>
    </w:p>
    <w:p>
      <w:pPr>
        <w:pStyle w:val="ListBullet"/>
        <w:spacing w:before="0" w:after="0"/>
        <w:ind w:left="317"/>
      </w:pPr>
      <w:r>
        <w:rPr>
          <w:sz w:val="18"/>
        </w:rPr>
        <w:t>Outside of work: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