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3AC3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1. Титульный слайд</w:t>
      </w:r>
    </w:p>
    <w:p w14:paraId="6B052CEB" w14:textId="1F5FD8BC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Уважаемые члены комиссии, вашему вниманию представлена выпускная квалификационная работа на тему: «Разработка программно-аппаратного комплекса предиктивного обслуживания узлов робота-паллетизатора». Работа выполнена на кафедре РК9, научный руководитель — Сащенко Д</w:t>
      </w:r>
      <w:r w:rsidRPr="005D380E">
        <w:rPr>
          <w:rFonts w:ascii="Times New Roman" w:hAnsi="Times New Roman" w:cs="Times New Roman"/>
          <w:sz w:val="28"/>
          <w:szCs w:val="28"/>
        </w:rPr>
        <w:t>е</w:t>
      </w:r>
      <w:r w:rsidRPr="005D380E">
        <w:rPr>
          <w:rFonts w:ascii="Times New Roman" w:hAnsi="Times New Roman" w:cs="Times New Roman"/>
          <w:sz w:val="28"/>
          <w:szCs w:val="28"/>
        </w:rPr>
        <w:t xml:space="preserve"> Владимирович.</w:t>
      </w:r>
    </w:p>
    <w:p w14:paraId="40992AA8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2. Актуальность</w:t>
      </w:r>
    </w:p>
    <w:p w14:paraId="4F064F77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Актуальность работы связана с тем, что современные линии розлива и упаковки являются последовательными технологическими системами. Если на завершающем участке выходит из строя робот-паллетизатор, это приводит не только к остановке самого робота, но и к накоплению готовой продукции перед участком, нарушению ритма отгрузки и увеличению производственных потерь.</w:t>
      </w:r>
    </w:p>
    <w:p w14:paraId="4023594E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Традиционное планово-предупредительное обслуживание выполняется по регламенту и не всегда учитывает фактическое состояние приводов и механических узлов. Поэтому более эффективным подходом является предиктивное обслуживание, при котором решение о техническом воздействии принимается на основе телеметрии, диагностических признаков и прогноза остаточного ресурса.</w:t>
      </w:r>
    </w:p>
    <w:p w14:paraId="2725CD58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3. Цель и задачи</w:t>
      </w:r>
    </w:p>
    <w:p w14:paraId="704371C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Целью работы является разработка и апробация прототипа программно-аппаратного комплекса предиктивного обслуживания узлов робота-паллетизатора на базе цифровой модели, телеметрических данных и алгоритма прогнозирования остаточного ресурса RUL.</w:t>
      </w:r>
    </w:p>
    <w:p w14:paraId="66718E3A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Для достижения цели были решены следующие задачи: описан объект исследования и требования к системе, построена цифровая модель цикла паллетизации, организован сбор и обработка телеметрии, рассчитаны признаки деградации и RUL, а также выполнена оценка качества прогноза и экономического эффекта.</w:t>
      </w:r>
    </w:p>
    <w:p w14:paraId="2D6A2F4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4. Производственная линия</w:t>
      </w:r>
    </w:p>
    <w:p w14:paraId="5DA5437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Объект внедрения рассматривается на примере линии розлива. Паллетизация расположена на выходе линии, поэтому отказ робота в этой точке влияет на выпуск готовой транспортной единицы. При остановке паллетизатора продукция продолжает поступать с предыдущих операций, но не может быть полноценно подготовлена к отгрузке. Поэтому данный участок является критичным с точки зрения простоев и производственных потерь.</w:t>
      </w:r>
    </w:p>
    <w:p w14:paraId="281AD3D3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Слайд 5. Участок паллетизации</w:t>
      </w:r>
    </w:p>
    <w:p w14:paraId="283D0F15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 xml:space="preserve">На данном слайде показана схема участка паллетизации. Робот выполняет операции захвата и укладки упаковок, формирует слои на паллете, а затем загруженная паллета отводится </w:t>
      </w:r>
      <w:proofErr w:type="spellStart"/>
      <w:r w:rsidRPr="005D380E">
        <w:rPr>
          <w:rFonts w:ascii="Times New Roman" w:hAnsi="Times New Roman" w:cs="Times New Roman"/>
          <w:sz w:val="28"/>
          <w:szCs w:val="28"/>
        </w:rPr>
        <w:t>паллетным</w:t>
      </w:r>
      <w:proofErr w:type="spellEnd"/>
      <w:r w:rsidRPr="005D380E">
        <w:rPr>
          <w:rFonts w:ascii="Times New Roman" w:hAnsi="Times New Roman" w:cs="Times New Roman"/>
          <w:sz w:val="28"/>
          <w:szCs w:val="28"/>
        </w:rPr>
        <w:t xml:space="preserve"> конвейером.</w:t>
      </w:r>
    </w:p>
    <w:p w14:paraId="497872C4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В рамках работы цикл включает четыре картонных листа и двенадцать упаковок воды. Важная особенность такого процесса — повторяемость операций. Именно повторяемость фаз цикла позволяет сравнивать телеметрию между циклами и выявлять признаки изменения технического состояния.</w:t>
      </w:r>
    </w:p>
    <w:p w14:paraId="2CD7B6C0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6. Объект исследования</w:t>
      </w:r>
    </w:p>
    <w:p w14:paraId="6A8AACA7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 xml:space="preserve">В качестве основного технического объекта рассматривается промышленный робот ABB IRB 660–180/3.15. Это специализированный </w:t>
      </w:r>
      <w:proofErr w:type="spellStart"/>
      <w:r w:rsidRPr="005D380E">
        <w:rPr>
          <w:rFonts w:ascii="Times New Roman" w:hAnsi="Times New Roman" w:cs="Times New Roman"/>
          <w:sz w:val="28"/>
          <w:szCs w:val="28"/>
        </w:rPr>
        <w:t>паллетизирующий</w:t>
      </w:r>
      <w:proofErr w:type="spellEnd"/>
      <w:r w:rsidRPr="005D380E">
        <w:rPr>
          <w:rFonts w:ascii="Times New Roman" w:hAnsi="Times New Roman" w:cs="Times New Roman"/>
          <w:sz w:val="28"/>
          <w:szCs w:val="28"/>
        </w:rPr>
        <w:t xml:space="preserve"> робот с грузоподъёмностью 180 килограммов и рабочим радиусом до 3,15 метра.</w:t>
      </w:r>
    </w:p>
    <w:p w14:paraId="650E78C1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В цифровой модели контролируются приводы motor1...motor4. Для них собираются параметры движения и нагрузки: положение, скорость, ускорение и момент. Единичная переносимая нагрузка в модели составляет 63 килограмма, что не превышает паспортную грузоподъёмность выбранного робота.</w:t>
      </w:r>
    </w:p>
    <w:p w14:paraId="773B6824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7. Концепция PdM</w:t>
      </w:r>
    </w:p>
    <w:p w14:paraId="3D1719BA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Концепция предиктивного обслуживания в работе строится как последовательный контур обработки данных. Сначала система собирает телеметрию: момент, скорость и фазу цикла. Затем по этим данным рассчитываются диагностические признаки: RMS, энергия, длительность фаз и другие статистические показатели.</w:t>
      </w:r>
    </w:p>
    <w:p w14:paraId="3A42B6B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После этого рассчитывается Health Index, то есть показатель технического состояния, и прогнозируется RUL — остаточный полезный ресурс. На основе прогноза система формирует решение: продолжить наблюдение, усилить контроль или запланировать техническое обслуживание.</w:t>
      </w:r>
    </w:p>
    <w:p w14:paraId="2C690CAF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8. Цифровая модель в CoppeliaSim</w:t>
      </w:r>
    </w:p>
    <w:p w14:paraId="55186CDD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Цифровая модель реализована в среде CoppeliaSim. В сцене присутствует модель робота, конвейеры подачи упаковок и отвода паллеты, а также шаблоны упаковок, картонных листов и паллеты.</w:t>
      </w:r>
    </w:p>
    <w:p w14:paraId="25154B94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 xml:space="preserve">Цикл паллетизации включает захват листов и упаковок, перемещение, укладку по слоям и событие завершения цикла </w:t>
      </w:r>
      <w:proofErr w:type="spellStart"/>
      <w:r w:rsidRPr="005D380E">
        <w:rPr>
          <w:rFonts w:ascii="Times New Roman" w:hAnsi="Times New Roman" w:cs="Times New Roman"/>
          <w:sz w:val="28"/>
          <w:szCs w:val="28"/>
        </w:rPr>
        <w:t>cycle_complete</w:t>
      </w:r>
      <w:proofErr w:type="spellEnd"/>
      <w:r w:rsidRPr="005D380E">
        <w:rPr>
          <w:rFonts w:ascii="Times New Roman" w:hAnsi="Times New Roman" w:cs="Times New Roman"/>
          <w:sz w:val="28"/>
          <w:szCs w:val="28"/>
        </w:rPr>
        <w:t xml:space="preserve">. Такая модель позволяет безопасно воспроизводить технологический процесс, не вмешиваясь в реальное </w:t>
      </w:r>
      <w:r w:rsidRPr="005D380E">
        <w:rPr>
          <w:rFonts w:ascii="Times New Roman" w:hAnsi="Times New Roman" w:cs="Times New Roman"/>
          <w:sz w:val="28"/>
          <w:szCs w:val="28"/>
        </w:rPr>
        <w:lastRenderedPageBreak/>
        <w:t>оборудование, и получать данные для проверки алгоритмов предиктивного обслуживания.</w:t>
      </w:r>
    </w:p>
    <w:p w14:paraId="3D0138D1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9. Телеметрия и диагностические признаки</w:t>
      </w:r>
    </w:p>
    <w:p w14:paraId="72ED91C6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На этом слайде показаны состав собираемых данных и пример диагностического признака. Каждая запись содержит время, номер цикла, фазу, ось, положение, скорость, ускорение, момент, номер слоя, переносимый объект и признак нагрузки.</w:t>
      </w:r>
    </w:p>
    <w:p w14:paraId="1EFE4FB2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Далее по этим данным рассчитываются признаки: средние и максимальные значения, стандартное отклонение, RMS, энергия, наклон тренда и длительность фазы. Эти признаки позволяют перейти от сырых временных рядов к компактному описанию состояния робота.</w:t>
      </w:r>
    </w:p>
    <w:p w14:paraId="1D440F65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10. Архитектура разработанного ПАК</w:t>
      </w:r>
    </w:p>
    <w:p w14:paraId="570F6437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Архитектура комплекса построена модульно. Источником данных является цифровая модель CoppeliaSim. Сбор выполняется Python-клиентом через Remote API. Далее данные сохраняются в CSV и JSONL, проходят нормализацию и преобразуются в диагностические признаки.</w:t>
      </w:r>
    </w:p>
    <w:p w14:paraId="0484799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Аналитический модуль рассчитывает HI, RUL и уровень риска. Для хранения временных рядов используется InfluxDB, а для визуализации — Grafana. Такая архитектура позволяет в дальнейшем заменить цифровой источник данных реальным контроллером робота без изменения общей логики аналитического контура.</w:t>
      </w:r>
    </w:p>
    <w:p w14:paraId="693A112A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11. Алгоритм оценки RUL</w:t>
      </w:r>
    </w:p>
    <w:p w14:paraId="73B15AA3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Алгоритм оценки остаточного ресурса работает следующим образом. Сначала телеметрия поступает из цифровой модели и проходит предобработку: фильтрацию, нормализацию и проверку полноты данных. Затем данные группируются по фазам цикла и контролируемым приводам.</w:t>
      </w:r>
    </w:p>
    <w:p w14:paraId="75EF0C02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После этого формируются диагностические признаки, рассчитывается показатель состояния HI и выполняется прогноз RUL. Если остаточный ресурс приближается к пороговому значению, система формирует предупреждение о необходимости технического обслуживания.</w:t>
      </w:r>
    </w:p>
    <w:p w14:paraId="6EAC9F09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12. Модель деградации узлов</w:t>
      </w:r>
    </w:p>
    <w:p w14:paraId="6F5E1547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Для проверки алгоритма использованы четыре сценария деградации: S0 — нормальный режим, S1 и S2 — слабая и средняя деградация, S3 — ускоренное ухудшение состояния.</w:t>
      </w:r>
    </w:p>
    <w:p w14:paraId="07632C1F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lastRenderedPageBreak/>
        <w:t>При накоплении повреждения индекс HI снижается. Предельное состояние задаётся порогом HI, после достижения которого остаточный ресурс считается исчерпанным. Важно отметить, что данные сценарии являются модельными и используются для проверки алгоритмического контура, а не как готовая физическая модель разрушения конкретного редуктора.</w:t>
      </w:r>
    </w:p>
    <w:p w14:paraId="02A06753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13. Результаты апробации ПАК</w:t>
      </w:r>
    </w:p>
    <w:p w14:paraId="5EA88842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Апробация выполнена на наборе long_live_01. В результате получено 22174 сырых пакета телеметрии. После раскрытия четырёх осей сформировано 88696 нормализованных строк.</w:t>
      </w:r>
    </w:p>
    <w:p w14:paraId="02803329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На основе фаз и осей рассчитано 600 строк диагностических признаков. Далее для сценариев деградации сформировано 192000 RUL-оценок и нейросетевых прогнозов. Коэффициент полноты данных составил 1,000, коэффициент покрытия фаз также составил 1,000. В полном прогоне выделено 14 фаз технологического цикла.</w:t>
      </w:r>
    </w:p>
    <w:p w14:paraId="0B375496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14. Качество прогноза RUL</w:t>
      </w:r>
    </w:p>
    <w:p w14:paraId="64B4A3CF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Качество прогноза RUL оценивалось на тестовой выборке. В качестве рабочей модели использовался MLPRegressor. Средняя абсолютная ошибка составила MAE = 1,441 цикла, среднеквадратичная ошибка RMSE = 2,144 цикла, коэффициент детерминации R² = 0,988.</w:t>
      </w:r>
    </w:p>
    <w:p w14:paraId="00FD1835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Эти результаты показывают, что разработанный алгоритмический контур корректно восстанавливает зависимость между признаками деградации и остаточным ресурсом на модельных сценариях S0–S3. При этом важно отметить, что метрики получены на синтетически сформированных деградационных рядах.</w:t>
      </w:r>
    </w:p>
    <w:p w14:paraId="08964F8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15. Операторский мониторинг</w:t>
      </w:r>
    </w:p>
    <w:p w14:paraId="09765A5F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Для оператора предусмотрен мониторинг состояния. Панель отображает телеметрию, индекс HI, прогноз RUL, уровень риска и рекомендацию по обслуживанию.</w:t>
      </w:r>
    </w:p>
    <w:p w14:paraId="1C75A972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В качестве инфраструктуры используются InfluxDB для хранения временных рядов и Grafana для построения панелей и предупреждений. Средний шаг записи телеметрии составил 0,093 секунды. Обновление операторской панели может выполняться с заданным периодом, например 5 секунд.</w:t>
      </w:r>
    </w:p>
    <w:p w14:paraId="68F23BB6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16. Экономический эффект и выводы</w:t>
      </w:r>
    </w:p>
    <w:p w14:paraId="2FE9ADA4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lastRenderedPageBreak/>
        <w:t>Экономическая оценка выполнена по расчётному сценарию снижения внеплановых простоев. Предполагается предотвращение трёх аварийных событий в год, сокращение простоя с 8 до 2 часов при стоимости часа остановки 30000 рублей и годовых затратах на сопровождение 90000 рублей.</w:t>
      </w:r>
    </w:p>
    <w:p w14:paraId="32B739C1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Расчётный годовой эффект составляет 450000 рублей, а ориентировочный срок окупаемости — 1 год.</w:t>
      </w:r>
    </w:p>
    <w:p w14:paraId="3A2F7E66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По итогам работы разработан прототип ПАК от цифровой модели до мониторинга оператора. Получены проверяемые данные, признаки деградации и прогноз RUL. Результаты подтверждают работоспособность прототипа PdM-контура на модельных данных.</w:t>
      </w:r>
    </w:p>
    <w:p w14:paraId="4B10EE5D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Для промышленного внедрения потребуется подключение к реальному контроллеру робота, накопление эксплуатационной статистики, уточнение весов HI и переобучение модели RUL на данных фактических отказов и ремонтов.</w:t>
      </w:r>
    </w:p>
    <w:p w14:paraId="6395416C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b/>
          <w:bCs/>
          <w:sz w:val="28"/>
          <w:szCs w:val="28"/>
        </w:rPr>
        <w:t>Слайд 17. Спасибо за внимание</w:t>
      </w:r>
    </w:p>
    <w:p w14:paraId="6FFBABB1" w14:textId="77777777" w:rsidR="005D380E" w:rsidRPr="005D380E" w:rsidRDefault="005D380E" w:rsidP="005D380E">
      <w:pPr>
        <w:rPr>
          <w:rFonts w:ascii="Times New Roman" w:hAnsi="Times New Roman" w:cs="Times New Roman"/>
          <w:sz w:val="28"/>
          <w:szCs w:val="28"/>
        </w:rPr>
      </w:pPr>
      <w:r w:rsidRPr="005D380E">
        <w:rPr>
          <w:rFonts w:ascii="Times New Roman" w:hAnsi="Times New Roman" w:cs="Times New Roman"/>
          <w:sz w:val="28"/>
          <w:szCs w:val="28"/>
        </w:rPr>
        <w:t>Доклад окончен. Спасибо за внимание, готов ответить на ваши вопросы.</w:t>
      </w:r>
    </w:p>
    <w:p w14:paraId="3D6D2775" w14:textId="77777777" w:rsidR="00A236E4" w:rsidRPr="005D380E" w:rsidRDefault="00A236E4">
      <w:pPr>
        <w:rPr>
          <w:rFonts w:ascii="Times New Roman" w:hAnsi="Times New Roman" w:cs="Times New Roman"/>
          <w:sz w:val="28"/>
          <w:szCs w:val="28"/>
        </w:rPr>
      </w:pPr>
    </w:p>
    <w:sectPr w:rsidR="00A236E4" w:rsidRPr="005D380E" w:rsidSect="00F5780E">
      <w:pgSz w:w="11910" w:h="16840"/>
      <w:pgMar w:top="1134" w:right="567" w:bottom="1134" w:left="1701" w:header="708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DD"/>
    <w:rsid w:val="00371650"/>
    <w:rsid w:val="005D380E"/>
    <w:rsid w:val="00892380"/>
    <w:rsid w:val="008F5FDD"/>
    <w:rsid w:val="00A236E4"/>
    <w:rsid w:val="00A85D7F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ED8D0"/>
  <w15:chartTrackingRefBased/>
  <w15:docId w15:val="{C18DD3C2-4972-4EEF-8143-D3677F8B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F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5F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5F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5F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5F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5F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5F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5F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5F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5F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5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</cp:revision>
  <dcterms:created xsi:type="dcterms:W3CDTF">2026-05-29T09:45:00Z</dcterms:created>
  <dcterms:modified xsi:type="dcterms:W3CDTF">2026-05-29T09:46:00Z</dcterms:modified>
</cp:coreProperties>
</file>