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Project Final Evaluation Report</w:t>
      </w:r>
    </w:p>
    <w:p>
      <w:pPr>
        <w:pStyle w:val="Heading2"/>
        <w:pStyle w:val="MdHeading2"/>
      </w:pPr>
      <w:r>
        <w:t xml:space="preserve">Information Security Management System (ISMS) — Al-Afaq Digital Bank</w:t>
      </w:r>
    </w:p>
    <w:p>
      <w:pPr>
        <w:pStyle w:val="MdParagraph"/>
      </w:pPr>
      <w:r>
        <w:rPr>
          <w:rStyle w:val="MdStrong"/>
          <w:b/>
          <w:bCs/>
        </w:rPr>
        <w:t xml:space="preserve">Standard:</w:t>
      </w:r>
      <w:r>
        <w:t xml:space="preserve"> ISO/IEC 27001:2022</w:t>
      </w:r>
      <w:r>
        <w:rPr>
          <w:rStyle w:val="MdBr"/>
        </w:rPr>
        <w:br/>
        <w:t xml:space="preserve"/>
      </w:r>
      <w:r>
        <w:rPr>
          <w:rStyle w:val="MdStrong"/>
          <w:b/>
          <w:bCs/>
        </w:rPr>
        <w:t xml:space="preserve">Project type:</w:t>
      </w:r>
      <w:r>
        <w:t xml:space="preserve"> Academic implementation and audit-readiness simulation</w:t>
      </w:r>
      <w:r>
        <w:rPr>
          <w:rStyle w:val="MdBr"/>
        </w:rPr>
        <w:br/>
        <w:t xml:space="preserve"/>
      </w:r>
      <w:r>
        <w:rPr>
          <w:rStyle w:val="MdStrong"/>
          <w:b/>
          <w:bCs/>
        </w:rPr>
        <w:t xml:space="preserve">Assessment status:</w:t>
      </w:r>
      <w:r>
        <w:t xml:space="preserve"> Internal estimated evaluation</w:t>
      </w:r>
      <w:r>
        <w:rPr>
          <w:rStyle w:val="MdBr"/>
        </w:rPr>
        <w:br/>
        <w:t xml:space="preserve"/>
      </w:r>
      <w:r>
        <w:rPr>
          <w:rStyle w:val="MdStrong"/>
          <w:b/>
          <w:bCs/>
        </w:rPr>
        <w:t xml:space="preserve">Estimated readiness score:</w:t>
      </w:r>
      <w:r>
        <w:t xml:space="preserve"> </w:t>
      </w:r>
      <w:r>
        <w:rPr>
          <w:rStyle w:val="MdStrong"/>
          <w:b/>
          <w:bCs/>
        </w:rPr>
        <w:t xml:space="preserve">96/100</w:t>
      </w:r>
      <w:r>
        <w:rPr>
          <w:rStyle w:val="MdBr"/>
        </w:rPr>
        <w:br/>
        <w:t xml:space="preserve"/>
      </w:r>
      <w:r>
        <w:rPr>
          <w:rStyle w:val="MdStrong"/>
          <w:b/>
          <w:bCs/>
        </w:rPr>
        <w:t xml:space="preserve">Team:</w:t>
      </w:r>
      <w:r>
        <w:t xml:space="preserve"> Ali Ahmed Al-Ashwel, Abdulrahman AL-Salfy, Ghassan Faisal Mohammed Ali Obad, and Ammar Saeed Hatem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This report evaluates the Information Security Management System (ISMS) project prepared for Al-Afaq Digital Bank. The project translates a digital-banking security scenario into a structured ISO/IEC 27001:2022 implementation package.</w:t>
      </w:r>
    </w:p>
    <w:p>
      <w:pPr>
        <w:pStyle w:val="MdSpace"/>
        <w:spacing w:before="0" w:after="60"/>
      </w:pPr>
    </w:p>
    <w:p>
      <w:pPr>
        <w:pStyle w:val="MdParagraph"/>
      </w:pPr>
      <w:r>
        <w:t xml:space="preserve">The submission includes fifteen core ISMS documents covering scope, policy, assets, risk assessment, risk treatment, Statement of Applicability, security objectives, secure operations, incident response, business continuity, performance measurement, configuration standards, and internal audit. It also includes a supporting evidence package containing traceability, external-audit simulation, corrective-action planning, test scenarios, teamwork records, and an audit checklist.</w:t>
      </w:r>
    </w:p>
    <w:p>
      <w:pPr>
        <w:pStyle w:val="MdSpace"/>
        <w:spacing w:before="0" w:after="60"/>
      </w:pPr>
    </w:p>
    <w:p>
      <w:pPr>
        <w:pStyle w:val="MdBlockquote"/>
      </w:pPr>
      <w:r>
        <w:rPr>
          <w:rStyle w:val="MdStrong"/>
          <w:b/>
          <w:bCs/>
        </w:rPr>
        <w:t xml:space="preserve">Overall conclusion:</w:t>
      </w:r>
      <w:r>
        <w:t xml:space="preserve"> The project is highly complete, logically connected, practically oriented, and ready for academic presentation and audit simulation. Its estimated internal readiness score is </w:t>
      </w:r>
      <w:r>
        <w:rPr>
          <w:rStyle w:val="MdStrong"/>
          <w:b/>
          <w:bCs/>
        </w:rPr>
        <w:t xml:space="preserve">96/100</w:t>
      </w:r>
      <w:r>
        <w:t xml:space="preserve">. The official academic grade remains subject to the instructor’s evaluation, the team’s presentation, and the actual execution of the audit simulation.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Assessment Method</w:t>
      </w:r>
    </w:p>
    <w:p>
      <w:pPr>
        <w:pStyle w:val="MdParagraph"/>
      </w:pPr>
      <w:r>
        <w:t xml:space="preserve">The project was evaluated against the five criteria and weights provided for the final assessment: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Criterion</w:t>
            </w:r>
          </w:p>
        </w:tc>
        <w:tc>
          <w:tcPr>
            <w:tcMar>
              <w:top w:type="dxa" w:w="100"/>
              <w:left w:type="dxa" w:w="120"/>
              <w:bottom w:type="dxa" w:w="100"/>
              <w:right w:type="dxa" w:w="120"/>
            </w:tcMar>
            <w:vAlign w:val="center"/>
          </w:tcPr>
          <w:p>
            <w:pPr>
              <w:pStyle w:val="MdTableHeader"/>
              <w:jc w:val="right"/>
            </w:pPr>
            <w:r>
              <w:t xml:space="preserve">Weight</w:t>
            </w:r>
          </w:p>
        </w:tc>
        <w:tc>
          <w:tcPr>
            <w:tcBorders>
              <w:right w:val="none"/>
            </w:tcBorders>
            <w:tcMar>
              <w:top w:type="dxa" w:w="100"/>
              <w:left w:type="dxa" w:w="120"/>
              <w:bottom w:type="dxa" w:w="100"/>
              <w:right w:type="dxa" w:w="120"/>
            </w:tcMar>
            <w:vAlign w:val="center"/>
          </w:tcPr>
          <w:p>
            <w:pPr>
              <w:pStyle w:val="MdTableHeader"/>
            </w:pPr>
            <w:r>
              <w:t xml:space="preserve">Evaluation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Completeness and quality of documentation</w:t>
            </w:r>
          </w:p>
        </w:tc>
        <w:tc>
          <w:tcPr>
            <w:tcMar>
              <w:top w:type="dxa" w:w="80"/>
              <w:left w:type="dxa" w:w="120"/>
              <w:bottom w:type="dxa" w:w="80"/>
              <w:right w:type="dxa" w:w="120"/>
            </w:tcMar>
            <w:vAlign w:val="center"/>
          </w:tcPr>
          <w:p>
            <w:pPr>
              <w:pStyle w:val="MdTableCell"/>
              <w:jc w:val="right"/>
            </w:pPr>
            <w:r>
              <w:t xml:space="preserve">25%</w:t>
            </w:r>
          </w:p>
        </w:tc>
        <w:tc>
          <w:tcPr>
            <w:tcBorders>
              <w:right w:val="none"/>
            </w:tcBorders>
            <w:tcMar>
              <w:top w:type="dxa" w:w="80"/>
              <w:left w:type="dxa" w:w="120"/>
              <w:bottom w:type="dxa" w:w="80"/>
              <w:right w:type="dxa" w:w="120"/>
            </w:tcMar>
            <w:vAlign w:val="center"/>
          </w:tcPr>
          <w:p>
            <w:pPr>
              <w:pStyle w:val="MdTableCell"/>
            </w:pPr>
            <w:r>
              <w:t xml:space="preserve">Availability, accuracy, structure, customization, and professional quality of required documents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Logical consistency</w:t>
            </w:r>
          </w:p>
        </w:tc>
        <w:tc>
          <w:tcPr>
            <w:tcMar>
              <w:top w:type="dxa" w:w="80"/>
              <w:left w:type="dxa" w:w="120"/>
              <w:bottom w:type="dxa" w:w="80"/>
              <w:right w:type="dxa" w:w="120"/>
            </w:tcMar>
            <w:vAlign w:val="center"/>
          </w:tcPr>
          <w:p>
            <w:pPr>
              <w:pStyle w:val="MdTableCell"/>
              <w:jc w:val="right"/>
            </w:pPr>
            <w:r>
              <w:t xml:space="preserve">20%</w:t>
            </w:r>
          </w:p>
        </w:tc>
        <w:tc>
          <w:tcPr>
            <w:tcBorders>
              <w:right w:val="none"/>
            </w:tcBorders>
            <w:tcMar>
              <w:top w:type="dxa" w:w="80"/>
              <w:left w:type="dxa" w:w="120"/>
              <w:bottom w:type="dxa" w:w="80"/>
              <w:right w:type="dxa" w:w="120"/>
            </w:tcMar>
            <w:vAlign w:val="center"/>
          </w:tcPr>
          <w:p>
            <w:pPr>
              <w:pStyle w:val="MdTableCell"/>
            </w:pPr>
            <w:r>
              <w:t xml:space="preserve">Traceability from gaps and assets to risks, controls, objectives, actions, and indicators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Practical applicability</w:t>
            </w:r>
          </w:p>
        </w:tc>
        <w:tc>
          <w:tcPr>
            <w:tcMar>
              <w:top w:type="dxa" w:w="80"/>
              <w:left w:type="dxa" w:w="120"/>
              <w:bottom w:type="dxa" w:w="80"/>
              <w:right w:type="dxa" w:w="120"/>
            </w:tcMar>
            <w:vAlign w:val="center"/>
          </w:tcPr>
          <w:p>
            <w:pPr>
              <w:pStyle w:val="MdTableCell"/>
              <w:jc w:val="right"/>
            </w:pPr>
            <w:r>
              <w:t xml:space="preserve">20%</w:t>
            </w:r>
          </w:p>
        </w:tc>
        <w:tc>
          <w:tcPr>
            <w:tcBorders>
              <w:right w:val="none"/>
            </w:tcBorders>
            <w:tcMar>
              <w:top w:type="dxa" w:w="80"/>
              <w:left w:type="dxa" w:w="120"/>
              <w:bottom w:type="dxa" w:w="80"/>
              <w:right w:type="dxa" w:w="120"/>
            </w:tcMar>
            <w:vAlign w:val="center"/>
          </w:tcPr>
          <w:p>
            <w:pPr>
              <w:pStyle w:val="MdTableCell"/>
            </w:pPr>
            <w:r>
              <w:t xml:space="preserve">Whether the documents can be applied in a realistic banking environment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Performance in audit simulation</w:t>
            </w:r>
          </w:p>
        </w:tc>
        <w:tc>
          <w:tcPr>
            <w:tcMar>
              <w:top w:type="dxa" w:w="80"/>
              <w:left w:type="dxa" w:w="120"/>
              <w:bottom w:type="dxa" w:w="80"/>
              <w:right w:type="dxa" w:w="120"/>
            </w:tcMar>
            <w:vAlign w:val="center"/>
          </w:tcPr>
          <w:p>
            <w:pPr>
              <w:pStyle w:val="MdTableCell"/>
              <w:jc w:val="right"/>
            </w:pPr>
            <w:r>
              <w:t xml:space="preserve">20%</w:t>
            </w:r>
          </w:p>
        </w:tc>
        <w:tc>
          <w:tcPr>
            <w:tcBorders>
              <w:right w:val="none"/>
            </w:tcBorders>
            <w:tcMar>
              <w:top w:type="dxa" w:w="80"/>
              <w:left w:type="dxa" w:w="120"/>
              <w:bottom w:type="dxa" w:w="80"/>
              <w:right w:type="dxa" w:w="120"/>
            </w:tcMar>
            <w:vAlign w:val="center"/>
          </w:tcPr>
          <w:p>
            <w:pPr>
              <w:pStyle w:val="MdTableCell"/>
            </w:pPr>
            <w:r>
              <w:t xml:space="preserve">Evidence preparation, auditor questions, findings, corrective actions, and presentation readiness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Teamwork</w:t>
            </w:r>
          </w:p>
        </w:tc>
        <w:tc>
          <w:tcPr>
            <w:tcBorders>
              <w:bottom w:val="single" w:color="E1E4E8" w:sz="4"/>
            </w:tcBorders>
            <w:tcMar>
              <w:top w:type="dxa" w:w="80"/>
              <w:left w:type="dxa" w:w="120"/>
              <w:bottom w:type="dxa" w:w="80"/>
              <w:right w:type="dxa" w:w="120"/>
            </w:tcMar>
            <w:vAlign w:val="center"/>
          </w:tcPr>
          <w:p>
            <w:pPr>
              <w:pStyle w:val="MdTableCell"/>
              <w:jc w:val="right"/>
            </w:pPr>
            <w:r>
              <w:t xml:space="preserve">15%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Role allocation, participation, peer review, meeting records, and presentation responsibilities</w:t>
            </w:r>
          </w:p>
        </w:tc>
      </w:tr>
    </w:tbl>
    <w:p>
      <w:pPr>
        <w:pStyle w:val="MdParagraph"/>
      </w:pPr>
      <w:r>
        <w:t xml:space="preserve">The assessment includes the fifteen core documents, the additional evidence package, the presentation, and the project guides. Simulation documents are treated as educational readiness evidence unless the team performs the related activities in a real or controlled environment.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Final Score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Criterion</w:t>
            </w:r>
          </w:p>
        </w:tc>
        <w:tc>
          <w:tcPr>
            <w:tcMar>
              <w:top w:type="dxa" w:w="100"/>
              <w:left w:type="dxa" w:w="120"/>
              <w:bottom w:type="dxa" w:w="100"/>
              <w:right w:type="dxa" w:w="120"/>
            </w:tcMar>
            <w:vAlign w:val="center"/>
          </w:tcPr>
          <w:p>
            <w:pPr>
              <w:pStyle w:val="MdTableHeader"/>
              <w:jc w:val="right"/>
            </w:pPr>
            <w:r>
              <w:t xml:space="preserve">Weight</w:t>
            </w:r>
          </w:p>
        </w:tc>
        <w:tc>
          <w:tcPr>
            <w:tcMar>
              <w:top w:type="dxa" w:w="100"/>
              <w:left w:type="dxa" w:w="120"/>
              <w:bottom w:type="dxa" w:w="100"/>
              <w:right w:type="dxa" w:w="120"/>
            </w:tcMar>
            <w:vAlign w:val="center"/>
          </w:tcPr>
          <w:p>
            <w:pPr>
              <w:pStyle w:val="MdTableHeader"/>
              <w:jc w:val="right"/>
            </w:pPr>
            <w:r>
              <w:t xml:space="preserve">Estimated score</w:t>
            </w:r>
          </w:p>
        </w:tc>
        <w:tc>
          <w:tcPr>
            <w:tcMar>
              <w:top w:type="dxa" w:w="100"/>
              <w:left w:type="dxa" w:w="120"/>
              <w:bottom w:type="dxa" w:w="100"/>
              <w:right w:type="dxa" w:w="120"/>
            </w:tcMar>
            <w:vAlign w:val="center"/>
          </w:tcPr>
          <w:p>
            <w:pPr>
              <w:pStyle w:val="MdTableHeader"/>
              <w:jc w:val="right"/>
            </w:pPr>
            <w:r>
              <w:t xml:space="preserve">Weighted result</w:t>
            </w:r>
          </w:p>
        </w:tc>
        <w:tc>
          <w:tcPr>
            <w:tcBorders>
              <w:right w:val="none"/>
            </w:tcBorders>
            <w:tcMar>
              <w:top w:type="dxa" w:w="100"/>
              <w:left w:type="dxa" w:w="120"/>
              <w:bottom w:type="dxa" w:w="100"/>
              <w:right w:type="dxa" w:w="120"/>
            </w:tcMar>
            <w:vAlign w:val="center"/>
          </w:tcPr>
          <w:p>
            <w:pPr>
              <w:pStyle w:val="MdTableHeader"/>
            </w:pPr>
            <w:r>
              <w:t xml:space="preserve">Assessment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Completeness and quality of documentation</w:t>
            </w:r>
          </w:p>
        </w:tc>
        <w:tc>
          <w:tcPr>
            <w:tcMar>
              <w:top w:type="dxa" w:w="80"/>
              <w:left w:type="dxa" w:w="120"/>
              <w:bottom w:type="dxa" w:w="80"/>
              <w:right w:type="dxa" w:w="120"/>
            </w:tcMar>
            <w:vAlign w:val="center"/>
          </w:tcPr>
          <w:p>
            <w:pPr>
              <w:pStyle w:val="MdTableCell"/>
              <w:jc w:val="right"/>
            </w:pPr>
            <w:r>
              <w:t xml:space="preserve">25%</w:t>
            </w:r>
          </w:p>
        </w:tc>
        <w:tc>
          <w:tcPr>
            <w:tcMar>
              <w:top w:type="dxa" w:w="80"/>
              <w:left w:type="dxa" w:w="120"/>
              <w:bottom w:type="dxa" w:w="80"/>
              <w:right w:type="dxa" w:w="120"/>
            </w:tcMar>
            <w:vAlign w:val="center"/>
          </w:tcPr>
          <w:p>
            <w:pPr>
              <w:pStyle w:val="MdTableCell"/>
              <w:jc w:val="right"/>
            </w:pPr>
            <w:r>
              <w:t xml:space="preserve">25/25</w:t>
            </w:r>
          </w:p>
        </w:tc>
        <w:tc>
          <w:tcPr>
            <w:tcMar>
              <w:top w:type="dxa" w:w="80"/>
              <w:left w:type="dxa" w:w="120"/>
              <w:bottom w:type="dxa" w:w="80"/>
              <w:right w:type="dxa" w:w="120"/>
            </w:tcMar>
            <w:vAlign w:val="center"/>
          </w:tcPr>
          <w:p>
            <w:pPr>
              <w:pStyle w:val="MdTableCell"/>
              <w:jc w:val="right"/>
            </w:pPr>
            <w:r>
              <w:t xml:space="preserve">25</w:t>
            </w:r>
          </w:p>
        </w:tc>
        <w:tc>
          <w:tcPr>
            <w:tcBorders>
              <w:right w:val="none"/>
            </w:tcBorders>
            <w:tcMar>
              <w:top w:type="dxa" w:w="80"/>
              <w:left w:type="dxa" w:w="120"/>
              <w:bottom w:type="dxa" w:w="80"/>
              <w:right w:type="dxa" w:w="120"/>
            </w:tcMar>
            <w:vAlign w:val="center"/>
          </w:tcPr>
          <w:p>
            <w:pPr>
              <w:pStyle w:val="MdTableCell"/>
            </w:pPr>
            <w:r>
              <w:t xml:space="preserve">Excellent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Logical consistency</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jc w:val="right"/>
            </w:pPr>
            <w:r>
              <w:t xml:space="preserve">20/20</w:t>
            </w:r>
          </w:p>
        </w:tc>
        <w:tc>
          <w:tcPr>
            <w:tcMar>
              <w:top w:type="dxa" w:w="80"/>
              <w:left w:type="dxa" w:w="120"/>
              <w:bottom w:type="dxa" w:w="80"/>
              <w:right w:type="dxa" w:w="120"/>
            </w:tcMar>
            <w:vAlign w:val="center"/>
          </w:tcPr>
          <w:p>
            <w:pPr>
              <w:pStyle w:val="MdTableCell"/>
              <w:jc w:val="right"/>
            </w:pPr>
            <w:r>
              <w:t xml:space="preserve">20</w:t>
            </w:r>
          </w:p>
        </w:tc>
        <w:tc>
          <w:tcPr>
            <w:tcBorders>
              <w:right w:val="none"/>
            </w:tcBorders>
            <w:tcMar>
              <w:top w:type="dxa" w:w="80"/>
              <w:left w:type="dxa" w:w="120"/>
              <w:bottom w:type="dxa" w:w="80"/>
              <w:right w:type="dxa" w:w="120"/>
            </w:tcMar>
            <w:vAlign w:val="center"/>
          </w:tcPr>
          <w:p>
            <w:pPr>
              <w:pStyle w:val="MdTableCell"/>
            </w:pPr>
            <w:r>
              <w:t xml:space="preserve">Fully traceable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Practical applicability</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jc w:val="right"/>
            </w:pPr>
            <w:r>
              <w:t xml:space="preserve">19/20</w:t>
            </w:r>
          </w:p>
        </w:tc>
        <w:tc>
          <w:tcPr>
            <w:tcMar>
              <w:top w:type="dxa" w:w="80"/>
              <w:left w:type="dxa" w:w="120"/>
              <w:bottom w:type="dxa" w:w="80"/>
              <w:right w:type="dxa" w:w="120"/>
            </w:tcMar>
            <w:vAlign w:val="center"/>
          </w:tcPr>
          <w:p>
            <w:pPr>
              <w:pStyle w:val="MdTableCell"/>
              <w:jc w:val="right"/>
            </w:pPr>
            <w:r>
              <w:t xml:space="preserve">19</w:t>
            </w:r>
          </w:p>
        </w:tc>
        <w:tc>
          <w:tcPr>
            <w:tcBorders>
              <w:right w:val="none"/>
            </w:tcBorders>
            <w:tcMar>
              <w:top w:type="dxa" w:w="80"/>
              <w:left w:type="dxa" w:w="120"/>
              <w:bottom w:type="dxa" w:w="80"/>
              <w:right w:type="dxa" w:w="120"/>
            </w:tcMar>
            <w:vAlign w:val="center"/>
          </w:tcPr>
          <w:p>
            <w:pPr>
              <w:pStyle w:val="MdTableCell"/>
            </w:pPr>
            <w:r>
              <w:t xml:space="preserve">Highly applicable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Performance in audit simulation</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jc w:val="right"/>
            </w:pPr>
            <w:r>
              <w:t xml:space="preserve">18/20</w:t>
            </w:r>
          </w:p>
        </w:tc>
        <w:tc>
          <w:tcPr>
            <w:tcMar>
              <w:top w:type="dxa" w:w="80"/>
              <w:left w:type="dxa" w:w="120"/>
              <w:bottom w:type="dxa" w:w="80"/>
              <w:right w:type="dxa" w:w="120"/>
            </w:tcMar>
            <w:vAlign w:val="center"/>
          </w:tcPr>
          <w:p>
            <w:pPr>
              <w:pStyle w:val="MdTableCell"/>
              <w:jc w:val="right"/>
            </w:pPr>
            <w:r>
              <w:t xml:space="preserve">18</w:t>
            </w:r>
          </w:p>
        </w:tc>
        <w:tc>
          <w:tcPr>
            <w:tcBorders>
              <w:right w:val="none"/>
            </w:tcBorders>
            <w:tcMar>
              <w:top w:type="dxa" w:w="80"/>
              <w:left w:type="dxa" w:w="120"/>
              <w:bottom w:type="dxa" w:w="80"/>
              <w:right w:type="dxa" w:w="120"/>
            </w:tcMar>
            <w:vAlign w:val="center"/>
          </w:tcPr>
          <w:p>
            <w:pPr>
              <w:pStyle w:val="MdTableCell"/>
            </w:pPr>
            <w:r>
              <w:t xml:space="preserve">Strong simulation readiness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Teamwork</w:t>
            </w:r>
          </w:p>
        </w:tc>
        <w:tc>
          <w:tcPr>
            <w:tcMar>
              <w:top w:type="dxa" w:w="80"/>
              <w:left w:type="dxa" w:w="120"/>
              <w:bottom w:type="dxa" w:w="80"/>
              <w:right w:type="dxa" w:w="120"/>
            </w:tcMar>
            <w:vAlign w:val="center"/>
          </w:tcPr>
          <w:p>
            <w:pPr>
              <w:pStyle w:val="MdTableCell"/>
              <w:jc w:val="right"/>
            </w:pPr>
            <w:r>
              <w:t xml:space="preserve">15%</w:t>
            </w:r>
          </w:p>
        </w:tc>
        <w:tc>
          <w:tcPr>
            <w:tcMar>
              <w:top w:type="dxa" w:w="80"/>
              <w:left w:type="dxa" w:w="120"/>
              <w:bottom w:type="dxa" w:w="80"/>
              <w:right w:type="dxa" w:w="120"/>
            </w:tcMar>
            <w:vAlign w:val="center"/>
          </w:tcPr>
          <w:p>
            <w:pPr>
              <w:pStyle w:val="MdTableCell"/>
              <w:jc w:val="right"/>
            </w:pPr>
            <w:r>
              <w:t xml:space="preserve">14/15</w:t>
            </w:r>
          </w:p>
        </w:tc>
        <w:tc>
          <w:tcPr>
            <w:tcMar>
              <w:top w:type="dxa" w:w="80"/>
              <w:left w:type="dxa" w:w="120"/>
              <w:bottom w:type="dxa" w:w="80"/>
              <w:right w:type="dxa" w:w="120"/>
            </w:tcMar>
            <w:vAlign w:val="center"/>
          </w:tcPr>
          <w:p>
            <w:pPr>
              <w:pStyle w:val="MdTableCell"/>
              <w:jc w:val="right"/>
            </w:pPr>
            <w:r>
              <w:t xml:space="preserve">14</w:t>
            </w:r>
          </w:p>
        </w:tc>
        <w:tc>
          <w:tcPr>
            <w:tcBorders>
              <w:right w:val="none"/>
            </w:tcBorders>
            <w:tcMar>
              <w:top w:type="dxa" w:w="80"/>
              <w:left w:type="dxa" w:w="120"/>
              <w:bottom w:type="dxa" w:w="80"/>
              <w:right w:type="dxa" w:w="120"/>
            </w:tcMar>
            <w:vAlign w:val="center"/>
          </w:tcPr>
          <w:p>
            <w:pPr>
              <w:pStyle w:val="MdTableCell"/>
            </w:pPr>
            <w:r>
              <w:t xml:space="preserve">Well documented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Total</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100%</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96/100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Excellent readiness</w:t>
            </w:r>
          </w:p>
        </w:tc>
      </w:tr>
    </w:tbl>
    <w:p>
      <w:pPr>
        <w:pStyle w:val="MdHr"/>
        <w:pBdr>
          <w:bottom w:val="single" w:color="auto" w:sz="6" w:space="1"/>
        </w:pBdr>
      </w:pPr>
    </w:p>
    <w:p>
      <w:pPr>
        <w:pStyle w:val="MdSpace"/>
        <w:spacing w:before="0" w:after="60"/>
      </w:pPr>
    </w:p>
    <w:p>
      <w:pPr>
        <w:pStyle w:val="Heading2"/>
        <w:pStyle w:val="MdHeading2"/>
      </w:pPr>
      <w:r>
        <w:t xml:space="preserve">4. Completeness and Quality of Documentation — 25/25</w:t>
      </w:r>
    </w:p>
    <w:p>
      <w:pPr>
        <w:pStyle w:val="MdParagraph"/>
      </w:pPr>
      <w:r>
        <w:t xml:space="preserve">The project contains all fifteen core documents required for the ISMS implementation package. The documents cover the complete management-system lifecycle, from defining the ISMS context and scope to monitoring performance, conducting audits, and preparing corrective actions.</w:t>
      </w:r>
    </w:p>
    <w:p>
      <w:pPr>
        <w:pStyle w:val="MdSpace"/>
        <w:spacing w:before="0" w:after="60"/>
      </w:pPr>
    </w:p>
    <w:p>
      <w:pPr>
        <w:pStyle w:val="MdParagraph"/>
      </w:pPr>
      <w:r>
        <w:t xml:space="preserve">The documents are customized for a banking environment and address digital banking services, customer information, transaction systems, data centers, branches, ATMs, cloud services, technology suppliers, incident response, disaster recovery, and regulatory expectations.</w:t>
      </w:r>
    </w:p>
    <w:p>
      <w:pPr>
        <w:pStyle w:val="MdSpace"/>
        <w:spacing w:before="0" w:after="60"/>
      </w:pPr>
    </w:p>
    <w:p>
      <w:pPr>
        <w:pStyle w:val="MdParagraph"/>
      </w:pPr>
      <w:r>
        <w:t xml:space="preserve">The documentation is strengthened by consistent document titles, version and classification information, ownership, approval sections, Arabic right-to-left formatting in the core documents, and a restrained professional color palette.</w:t>
      </w:r>
    </w:p>
    <w:p>
      <w:pPr>
        <w:pStyle w:val="MdSpace"/>
        <w:spacing w:before="0" w:after="60"/>
      </w:pPr>
    </w:p>
    <w:p>
      <w:pPr>
        <w:pStyle w:val="Heading3"/>
        <w:pStyle w:val="MdHeading3"/>
      </w:pPr>
      <w:r>
        <w:t xml:space="preserve">4.1 Core documents reviewed</w:t>
      </w:r>
    </w:p>
    <w:p>
      <w:pPr>
        <w:pStyle w:val="MdListItem"/>
        <w:numPr>
          <w:ilvl w:val="0"/>
          <w:numId w:val="2"/>
        </w:numPr>
      </w:pPr>
      <w:r>
        <w:t xml:space="preserve">ISMS Scope Document.</w:t>
      </w:r>
    </w:p>
    <w:p>
      <w:pPr>
        <w:pStyle w:val="MdListItem"/>
        <w:numPr>
          <w:ilvl w:val="0"/>
          <w:numId w:val="2"/>
        </w:numPr>
      </w:pPr>
      <w:r>
        <w:t xml:space="preserve">Information Security Policy.</w:t>
      </w:r>
    </w:p>
    <w:p>
      <w:pPr>
        <w:pStyle w:val="MdListItem"/>
        <w:numPr>
          <w:ilvl w:val="0"/>
          <w:numId w:val="2"/>
        </w:numPr>
      </w:pPr>
      <w:r>
        <w:t xml:space="preserve">Risk Assessment and Treatment Register.</w:t>
      </w:r>
    </w:p>
    <w:p>
      <w:pPr>
        <w:pStyle w:val="MdListItem"/>
        <w:numPr>
          <w:ilvl w:val="0"/>
          <w:numId w:val="2"/>
        </w:numPr>
      </w:pPr>
      <w:r>
        <w:t xml:space="preserve">Statement of Applicability.</w:t>
      </w:r>
    </w:p>
    <w:p>
      <w:pPr>
        <w:pStyle w:val="MdListItem"/>
        <w:numPr>
          <w:ilvl w:val="0"/>
          <w:numId w:val="2"/>
        </w:numPr>
      </w:pPr>
      <w:r>
        <w:t xml:space="preserve">Risk Assessment and Treatment Methodology.</w:t>
      </w:r>
    </w:p>
    <w:p>
      <w:pPr>
        <w:pStyle w:val="MdListItem"/>
        <w:numPr>
          <w:ilvl w:val="0"/>
          <w:numId w:val="2"/>
        </w:numPr>
      </w:pPr>
      <w:r>
        <w:t xml:space="preserve">List of Security Objectives.</w:t>
      </w:r>
    </w:p>
    <w:p>
      <w:pPr>
        <w:pStyle w:val="MdListItem"/>
        <w:numPr>
          <w:ilvl w:val="0"/>
          <w:numId w:val="2"/>
        </w:numPr>
      </w:pPr>
      <w:r>
        <w:t xml:space="preserve">Risk Assessment and Treatment Report.</w:t>
      </w:r>
    </w:p>
    <w:p>
      <w:pPr>
        <w:pStyle w:val="MdListItem"/>
        <w:numPr>
          <w:ilvl w:val="0"/>
          <w:numId w:val="2"/>
        </w:numPr>
      </w:pPr>
      <w:r>
        <w:t xml:space="preserve">Information Asset Inventory.</w:t>
      </w:r>
    </w:p>
    <w:p>
      <w:pPr>
        <w:pStyle w:val="MdListItem"/>
        <w:numPr>
          <w:ilvl w:val="0"/>
          <w:numId w:val="2"/>
        </w:numPr>
      </w:pPr>
      <w:r>
        <w:t xml:space="preserve">Acceptable Use Policy.</w:t>
      </w:r>
    </w:p>
    <w:p>
      <w:pPr>
        <w:pStyle w:val="MdListItem"/>
        <w:numPr>
          <w:ilvl w:val="0"/>
          <w:numId w:val="2"/>
        </w:numPr>
      </w:pPr>
      <w:r>
        <w:t xml:space="preserve">Information Security Incident Response Procedure.</w:t>
      </w:r>
    </w:p>
    <w:p>
      <w:pPr>
        <w:pStyle w:val="MdListItem"/>
        <w:numPr>
          <w:ilvl w:val="0"/>
          <w:numId w:val="2"/>
        </w:numPr>
      </w:pPr>
      <w:r>
        <w:t xml:space="preserve">Internal Audit Report.</w:t>
      </w:r>
    </w:p>
    <w:p>
      <w:pPr>
        <w:pStyle w:val="MdListItem"/>
        <w:numPr>
          <w:ilvl w:val="0"/>
          <w:numId w:val="2"/>
        </w:numPr>
      </w:pPr>
      <w:r>
        <w:t xml:space="preserve">Security Operating Procedures for IT Management.</w:t>
      </w:r>
    </w:p>
    <w:p>
      <w:pPr>
        <w:pStyle w:val="MdListItem"/>
        <w:numPr>
          <w:ilvl w:val="0"/>
          <w:numId w:val="2"/>
        </w:numPr>
      </w:pPr>
      <w:r>
        <w:t xml:space="preserve">ISMS Performance Report.</w:t>
      </w:r>
    </w:p>
    <w:p>
      <w:pPr>
        <w:pStyle w:val="MdListItem"/>
        <w:numPr>
          <w:ilvl w:val="0"/>
          <w:numId w:val="2"/>
        </w:numPr>
      </w:pPr>
      <w:r>
        <w:t xml:space="preserve">Security Configuration Standard.</w:t>
      </w:r>
    </w:p>
    <w:p>
      <w:pPr>
        <w:pStyle w:val="MdListItem"/>
        <w:numPr>
          <w:ilvl w:val="0"/>
          <w:numId w:val="2"/>
        </w:numPr>
      </w:pPr>
      <w:r>
        <w:t xml:space="preserve">Business Continuity and Disaster Recovery Plan.</w:t>
      </w:r>
    </w:p>
    <w:p>
      <w:pPr>
        <w:pStyle w:val="MdSpace"/>
        <w:spacing w:before="0" w:after="60"/>
      </w:pPr>
    </w:p>
    <w:p>
      <w:pPr>
        <w:pStyle w:val="Heading3"/>
        <w:pStyle w:val="MdHeading3"/>
      </w:pPr>
      <w:r>
        <w:t xml:space="preserve">4.2 Supporting quality evidence</w:t>
      </w:r>
    </w:p>
    <w:p>
      <w:pPr>
        <w:pStyle w:val="MdParagraph"/>
      </w:pPr>
      <w:r>
        <w:t xml:space="preserve">The Traceability Matrix and Submission Index provides a structured overview of the fifteen core documents. The External Audit Plan, External Audit Report, Corrective Action Plan, Test Evidence Pack, Team Work Log, Meeting Minutes, and Audit Checklist strengthen the completeness of the final submission.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Logical Consistency — 20/20</w:t>
      </w:r>
    </w:p>
    <w:p>
      <w:pPr>
        <w:pStyle w:val="MdParagraph"/>
      </w:pPr>
      <w:r>
        <w:t xml:space="preserve">The project follows a clear and defensible information-security logic:</w:t>
      </w:r>
    </w:p>
    <w:p>
      <w:pPr>
        <w:pStyle w:val="MdSpace"/>
        <w:spacing w:before="0" w:after="60"/>
      </w:pPr>
    </w:p>
    <w:p>
      <w:pPr>
        <w:pStyle w:val="MdBlockquote"/>
      </w:pPr>
      <w:r>
        <w:rPr>
          <w:rStyle w:val="MdStrong"/>
          <w:b/>
          <w:bCs/>
        </w:rPr>
        <w:t xml:space="preserve">Bank context and gaps → ISMS scope and policy → information assets → risks → controls → security objectives → operating procedures → performance measurement → internal audit → corrective action and continual improvement.</w:t>
      </w:r>
    </w:p>
    <w:p>
      <w:pPr>
        <w:pStyle w:val="MdSpace"/>
        <w:spacing w:before="0" w:after="60"/>
      </w:pPr>
    </w:p>
    <w:p>
      <w:pPr>
        <w:pStyle w:val="MdParagraph"/>
      </w:pPr>
      <w:r>
        <w:t xml:space="preserve">The supporting Traceability Matrix connects scenario gaps to affected assets, risks, Annex A controls, related documents, security objectives, performance indicators, owners, and verification evidence.</w:t>
      </w:r>
    </w:p>
    <w:p>
      <w:pPr>
        <w:pStyle w:val="MdSpace"/>
        <w:spacing w:before="0" w:after="60"/>
      </w:pPr>
    </w:p>
    <w:p>
      <w:pPr>
        <w:pStyle w:val="Heading3"/>
        <w:pStyle w:val="MdHeading3"/>
      </w:pPr>
      <w:r>
        <w:t xml:space="preserve">5.1 Traceability examples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Scenario requirement</w:t>
            </w:r>
          </w:p>
        </w:tc>
        <w:tc>
          <w:tcPr>
            <w:tcMar>
              <w:top w:type="dxa" w:w="100"/>
              <w:left w:type="dxa" w:w="120"/>
              <w:bottom w:type="dxa" w:w="100"/>
              <w:right w:type="dxa" w:w="120"/>
            </w:tcMar>
            <w:vAlign w:val="center"/>
          </w:tcPr>
          <w:p>
            <w:pPr>
              <w:pStyle w:val="MdTableHeader"/>
            </w:pPr>
            <w:r>
              <w:t xml:space="preserve">Affected asset or service</w:t>
            </w:r>
          </w:p>
        </w:tc>
        <w:tc>
          <w:tcPr>
            <w:tcMar>
              <w:top w:type="dxa" w:w="100"/>
              <w:left w:type="dxa" w:w="120"/>
              <w:bottom w:type="dxa" w:w="100"/>
              <w:right w:type="dxa" w:w="120"/>
            </w:tcMar>
            <w:vAlign w:val="center"/>
          </w:tcPr>
          <w:p>
            <w:pPr>
              <w:pStyle w:val="MdTableHeader"/>
            </w:pPr>
            <w:r>
              <w:t xml:space="preserve">Risk</w:t>
            </w:r>
          </w:p>
        </w:tc>
        <w:tc>
          <w:tcPr>
            <w:tcMar>
              <w:top w:type="dxa" w:w="100"/>
              <w:left w:type="dxa" w:w="120"/>
              <w:bottom w:type="dxa" w:w="100"/>
              <w:right w:type="dxa" w:w="120"/>
            </w:tcMar>
            <w:vAlign w:val="center"/>
          </w:tcPr>
          <w:p>
            <w:pPr>
              <w:pStyle w:val="MdTableHeader"/>
            </w:pPr>
            <w:r>
              <w:t xml:space="preserve">Control or document</w:t>
            </w:r>
          </w:p>
        </w:tc>
        <w:tc>
          <w:tcPr>
            <w:tcMar>
              <w:top w:type="dxa" w:w="100"/>
              <w:left w:type="dxa" w:w="120"/>
              <w:bottom w:type="dxa" w:w="100"/>
              <w:right w:type="dxa" w:w="120"/>
            </w:tcMar>
            <w:vAlign w:val="center"/>
          </w:tcPr>
          <w:p>
            <w:pPr>
              <w:pStyle w:val="MdTableHeader"/>
            </w:pPr>
            <w:r>
              <w:t xml:space="preserve">Objective or indicator</w:t>
            </w:r>
          </w:p>
        </w:tc>
        <w:tc>
          <w:tcPr>
            <w:tcBorders>
              <w:right w:val="none"/>
            </w:tcBorders>
            <w:tcMar>
              <w:top w:type="dxa" w:w="100"/>
              <w:left w:type="dxa" w:w="120"/>
              <w:bottom w:type="dxa" w:w="100"/>
              <w:right w:type="dxa" w:w="120"/>
            </w:tcMar>
            <w:vAlign w:val="center"/>
          </w:tcPr>
          <w:p>
            <w:pPr>
              <w:pStyle w:val="MdTableHeader"/>
            </w:pPr>
            <w:r>
              <w:t xml:space="preserve">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Weak access review</w:t>
            </w:r>
          </w:p>
        </w:tc>
        <w:tc>
          <w:tcPr>
            <w:tcMar>
              <w:top w:type="dxa" w:w="80"/>
              <w:left w:type="dxa" w:w="120"/>
              <w:bottom w:type="dxa" w:w="80"/>
              <w:right w:type="dxa" w:w="120"/>
            </w:tcMar>
            <w:vAlign w:val="center"/>
          </w:tcPr>
          <w:p>
            <w:pPr>
              <w:pStyle w:val="MdTableCell"/>
            </w:pPr>
            <w:r>
              <w:t xml:space="preserve">IAM and privileged accounts</w:t>
            </w:r>
          </w:p>
        </w:tc>
        <w:tc>
          <w:tcPr>
            <w:tcMar>
              <w:top w:type="dxa" w:w="80"/>
              <w:left w:type="dxa" w:w="120"/>
              <w:bottom w:type="dxa" w:w="80"/>
              <w:right w:type="dxa" w:w="120"/>
            </w:tcMar>
            <w:vAlign w:val="center"/>
          </w:tcPr>
          <w:p>
            <w:pPr>
              <w:pStyle w:val="MdTableCell"/>
            </w:pPr>
            <w:r>
              <w:t xml:space="preserve">Unauthorized access</w:t>
            </w:r>
          </w:p>
        </w:tc>
        <w:tc>
          <w:tcPr>
            <w:tcMar>
              <w:top w:type="dxa" w:w="80"/>
              <w:left w:type="dxa" w:w="120"/>
              <w:bottom w:type="dxa" w:w="80"/>
              <w:right w:type="dxa" w:w="120"/>
            </w:tcMar>
            <w:vAlign w:val="center"/>
          </w:tcPr>
          <w:p>
            <w:pPr>
              <w:pStyle w:val="MdTableCell"/>
            </w:pPr>
            <w:r>
              <w:t xml:space="preserve">A.5.15, A.5.18, Configuration Standard</w:t>
            </w:r>
          </w:p>
        </w:tc>
        <w:tc>
          <w:tcPr>
            <w:tcMar>
              <w:top w:type="dxa" w:w="80"/>
              <w:left w:type="dxa" w:w="120"/>
              <w:bottom w:type="dxa" w:w="80"/>
              <w:right w:type="dxa" w:w="120"/>
            </w:tcMar>
            <w:vAlign w:val="center"/>
          </w:tcPr>
          <w:p>
            <w:pPr>
              <w:pStyle w:val="MdTableCell"/>
            </w:pPr>
            <w:r>
              <w:t xml:space="preserve">Review 100% of privileged access</w:t>
            </w:r>
          </w:p>
        </w:tc>
        <w:tc>
          <w:tcPr>
            <w:tcBorders>
              <w:right w:val="none"/>
            </w:tcBorders>
            <w:tcMar>
              <w:top w:type="dxa" w:w="80"/>
              <w:left w:type="dxa" w:w="120"/>
              <w:bottom w:type="dxa" w:w="80"/>
              <w:right w:type="dxa" w:w="120"/>
            </w:tcMar>
            <w:vAlign w:val="center"/>
          </w:tcPr>
          <w:p>
            <w:pPr>
              <w:pStyle w:val="MdTableCell"/>
            </w:pPr>
            <w:r>
              <w:t xml:space="preserve">Access-review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Accumulated vulnerabilities</w:t>
            </w:r>
          </w:p>
        </w:tc>
        <w:tc>
          <w:tcPr>
            <w:tcMar>
              <w:top w:type="dxa" w:w="80"/>
              <w:left w:type="dxa" w:w="120"/>
              <w:bottom w:type="dxa" w:w="80"/>
              <w:right w:type="dxa" w:w="120"/>
            </w:tcMar>
            <w:vAlign w:val="center"/>
          </w:tcPr>
          <w:p>
            <w:pPr>
              <w:pStyle w:val="MdTableCell"/>
            </w:pPr>
            <w:r>
              <w:t xml:space="preserve">Servers and applications</w:t>
            </w:r>
          </w:p>
        </w:tc>
        <w:tc>
          <w:tcPr>
            <w:tcMar>
              <w:top w:type="dxa" w:w="80"/>
              <w:left w:type="dxa" w:w="120"/>
              <w:bottom w:type="dxa" w:w="80"/>
              <w:right w:type="dxa" w:w="120"/>
            </w:tcMar>
            <w:vAlign w:val="center"/>
          </w:tcPr>
          <w:p>
            <w:pPr>
              <w:pStyle w:val="MdTableCell"/>
            </w:pPr>
            <w:r>
              <w:t xml:space="preserve">Exploitation of a critical vulnerability</w:t>
            </w:r>
          </w:p>
        </w:tc>
        <w:tc>
          <w:tcPr>
            <w:tcMar>
              <w:top w:type="dxa" w:w="80"/>
              <w:left w:type="dxa" w:w="120"/>
              <w:bottom w:type="dxa" w:w="80"/>
              <w:right w:type="dxa" w:w="120"/>
            </w:tcMar>
            <w:vAlign w:val="center"/>
          </w:tcPr>
          <w:p>
            <w:pPr>
              <w:pStyle w:val="MdTableCell"/>
            </w:pPr>
            <w:r>
              <w:t xml:space="preserve">A.8.8 and Risk Treatment Register</w:t>
            </w:r>
          </w:p>
        </w:tc>
        <w:tc>
          <w:tcPr>
            <w:tcMar>
              <w:top w:type="dxa" w:w="80"/>
              <w:left w:type="dxa" w:w="120"/>
              <w:bottom w:type="dxa" w:w="80"/>
              <w:right w:type="dxa" w:w="120"/>
            </w:tcMar>
            <w:vAlign w:val="center"/>
          </w:tcPr>
          <w:p>
            <w:pPr>
              <w:pStyle w:val="MdTableCell"/>
            </w:pPr>
            <w:r>
              <w:t xml:space="preserve">Close at least 95% of high-risk findings</w:t>
            </w:r>
          </w:p>
        </w:tc>
        <w:tc>
          <w:tcPr>
            <w:tcBorders>
              <w:right w:val="none"/>
            </w:tcBorders>
            <w:tcMar>
              <w:top w:type="dxa" w:w="80"/>
              <w:left w:type="dxa" w:w="120"/>
              <w:bottom w:type="dxa" w:w="80"/>
              <w:right w:type="dxa" w:w="120"/>
            </w:tcMar>
            <w:vAlign w:val="center"/>
          </w:tcPr>
          <w:p>
            <w:pPr>
              <w:pStyle w:val="MdTableCell"/>
            </w:pPr>
            <w:r>
              <w:t xml:space="preserve">Vulnerability report and re-scan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Ransomware exposure</w:t>
            </w:r>
          </w:p>
        </w:tc>
        <w:tc>
          <w:tcPr>
            <w:tcMar>
              <w:top w:type="dxa" w:w="80"/>
              <w:left w:type="dxa" w:w="120"/>
              <w:bottom w:type="dxa" w:w="80"/>
              <w:right w:type="dxa" w:w="120"/>
            </w:tcMar>
            <w:vAlign w:val="center"/>
          </w:tcPr>
          <w:p>
            <w:pPr>
              <w:pStyle w:val="MdTableCell"/>
            </w:pPr>
            <w:r>
              <w:t xml:space="preserve">Afaq Plus and databases</w:t>
            </w:r>
          </w:p>
        </w:tc>
        <w:tc>
          <w:tcPr>
            <w:tcMar>
              <w:top w:type="dxa" w:w="80"/>
              <w:left w:type="dxa" w:w="120"/>
              <w:bottom w:type="dxa" w:w="80"/>
              <w:right w:type="dxa" w:w="120"/>
            </w:tcMar>
            <w:vAlign w:val="center"/>
          </w:tcPr>
          <w:p>
            <w:pPr>
              <w:pStyle w:val="MdTableCell"/>
            </w:pPr>
            <w:r>
              <w:t xml:space="preserve">Service disruption and data loss</w:t>
            </w:r>
          </w:p>
        </w:tc>
        <w:tc>
          <w:tcPr>
            <w:tcMar>
              <w:top w:type="dxa" w:w="80"/>
              <w:left w:type="dxa" w:w="120"/>
              <w:bottom w:type="dxa" w:w="80"/>
              <w:right w:type="dxa" w:w="120"/>
            </w:tcMar>
            <w:vAlign w:val="center"/>
          </w:tcPr>
          <w:p>
            <w:pPr>
              <w:pStyle w:val="MdTableCell"/>
            </w:pPr>
            <w:r>
              <w:t xml:space="preserve">Incident Response and A.8.13</w:t>
            </w:r>
          </w:p>
        </w:tc>
        <w:tc>
          <w:tcPr>
            <w:tcMar>
              <w:top w:type="dxa" w:w="80"/>
              <w:left w:type="dxa" w:w="120"/>
              <w:bottom w:type="dxa" w:w="80"/>
              <w:right w:type="dxa" w:w="120"/>
            </w:tcMar>
            <w:vAlign w:val="center"/>
          </w:tcPr>
          <w:p>
            <w:pPr>
              <w:pStyle w:val="MdTableCell"/>
            </w:pPr>
            <w:r>
              <w:t xml:space="preserve">Meet RTO and RPO targets</w:t>
            </w:r>
          </w:p>
        </w:tc>
        <w:tc>
          <w:tcPr>
            <w:tcBorders>
              <w:right w:val="none"/>
            </w:tcBorders>
            <w:tcMar>
              <w:top w:type="dxa" w:w="80"/>
              <w:left w:type="dxa" w:w="120"/>
              <w:bottom w:type="dxa" w:w="80"/>
              <w:right w:type="dxa" w:w="120"/>
            </w:tcMar>
            <w:vAlign w:val="center"/>
          </w:tcPr>
          <w:p>
            <w:pPr>
              <w:pStyle w:val="MdTableCell"/>
            </w:pPr>
            <w:r>
              <w:t xml:space="preserve">Exercise and restoration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Unclear recovery capability</w:t>
            </w:r>
          </w:p>
        </w:tc>
        <w:tc>
          <w:tcPr>
            <w:tcMar>
              <w:top w:type="dxa" w:w="80"/>
              <w:left w:type="dxa" w:w="120"/>
              <w:bottom w:type="dxa" w:w="80"/>
              <w:right w:type="dxa" w:w="120"/>
            </w:tcMar>
            <w:vAlign w:val="center"/>
          </w:tcPr>
          <w:p>
            <w:pPr>
              <w:pStyle w:val="MdTableCell"/>
            </w:pPr>
            <w:r>
              <w:t xml:space="preserve">Data centers and critical services</w:t>
            </w:r>
          </w:p>
        </w:tc>
        <w:tc>
          <w:tcPr>
            <w:tcMar>
              <w:top w:type="dxa" w:w="80"/>
              <w:left w:type="dxa" w:w="120"/>
              <w:bottom w:type="dxa" w:w="80"/>
              <w:right w:type="dxa" w:w="120"/>
            </w:tcMar>
            <w:vAlign w:val="center"/>
          </w:tcPr>
          <w:p>
            <w:pPr>
              <w:pStyle w:val="MdTableCell"/>
            </w:pPr>
            <w:r>
              <w:t xml:space="preserve">Extended banking outage</w:t>
            </w:r>
          </w:p>
        </w:tc>
        <w:tc>
          <w:tcPr>
            <w:tcMar>
              <w:top w:type="dxa" w:w="80"/>
              <w:left w:type="dxa" w:w="120"/>
              <w:bottom w:type="dxa" w:w="80"/>
              <w:right w:type="dxa" w:w="120"/>
            </w:tcMar>
            <w:vAlign w:val="center"/>
          </w:tcPr>
          <w:p>
            <w:pPr>
              <w:pStyle w:val="MdTableCell"/>
            </w:pPr>
            <w:r>
              <w:t xml:space="preserve">BCP/DR Plan, A.5.29, A.5.30, A.8.14</w:t>
            </w:r>
          </w:p>
        </w:tc>
        <w:tc>
          <w:tcPr>
            <w:tcMar>
              <w:top w:type="dxa" w:w="80"/>
              <w:left w:type="dxa" w:w="120"/>
              <w:bottom w:type="dxa" w:w="80"/>
              <w:right w:type="dxa" w:w="120"/>
            </w:tcMar>
            <w:vAlign w:val="center"/>
          </w:tcPr>
          <w:p>
            <w:pPr>
              <w:pStyle w:val="MdTableCell"/>
            </w:pPr>
            <w:r>
              <w:t xml:space="preserve">RTO of two hours and RPO of 15 minutes</w:t>
            </w:r>
          </w:p>
        </w:tc>
        <w:tc>
          <w:tcPr>
            <w:tcBorders>
              <w:right w:val="none"/>
            </w:tcBorders>
            <w:tcMar>
              <w:top w:type="dxa" w:w="80"/>
              <w:left w:type="dxa" w:w="120"/>
              <w:bottom w:type="dxa" w:w="80"/>
              <w:right w:type="dxa" w:w="120"/>
            </w:tcMar>
            <w:vAlign w:val="center"/>
          </w:tcPr>
          <w:p>
            <w:pPr>
              <w:pStyle w:val="MdTableCell"/>
            </w:pPr>
            <w:r>
              <w:t xml:space="preserve">Failover test record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Inconsistent security awareness</w:t>
            </w:r>
          </w:p>
        </w:tc>
        <w:tc>
          <w:tcPr>
            <w:tcBorders>
              <w:bottom w:val="single" w:color="E1E4E8" w:sz="4"/>
            </w:tcBorders>
            <w:tcMar>
              <w:top w:type="dxa" w:w="80"/>
              <w:left w:type="dxa" w:w="120"/>
              <w:bottom w:type="dxa" w:w="80"/>
              <w:right w:type="dxa" w:w="120"/>
            </w:tcMar>
            <w:vAlign w:val="center"/>
          </w:tcPr>
          <w:p>
            <w:pPr>
              <w:pStyle w:val="MdTableCell"/>
            </w:pPr>
            <w:r>
              <w:t xml:space="preserve">Employees and email systems</w:t>
            </w:r>
          </w:p>
        </w:tc>
        <w:tc>
          <w:tcPr>
            <w:tcBorders>
              <w:bottom w:val="single" w:color="E1E4E8" w:sz="4"/>
            </w:tcBorders>
            <w:tcMar>
              <w:top w:type="dxa" w:w="80"/>
              <w:left w:type="dxa" w:w="120"/>
              <w:bottom w:type="dxa" w:w="80"/>
              <w:right w:type="dxa" w:w="120"/>
            </w:tcMar>
            <w:vAlign w:val="center"/>
          </w:tcPr>
          <w:p>
            <w:pPr>
              <w:pStyle w:val="MdTableCell"/>
            </w:pPr>
            <w:r>
              <w:t xml:space="preserve">Credential theft and phishing</w:t>
            </w:r>
          </w:p>
        </w:tc>
        <w:tc>
          <w:tcPr>
            <w:tcBorders>
              <w:bottom w:val="single" w:color="E1E4E8" w:sz="4"/>
            </w:tcBorders>
            <w:tcMar>
              <w:top w:type="dxa" w:w="80"/>
              <w:left w:type="dxa" w:w="120"/>
              <w:bottom w:type="dxa" w:w="80"/>
              <w:right w:type="dxa" w:w="120"/>
            </w:tcMar>
            <w:vAlign w:val="center"/>
          </w:tcPr>
          <w:p>
            <w:pPr>
              <w:pStyle w:val="MdTableCell"/>
            </w:pPr>
            <w:r>
              <w:t xml:space="preserve">Acceptable Use Policy and awareness objectives</w:t>
            </w:r>
          </w:p>
        </w:tc>
        <w:tc>
          <w:tcPr>
            <w:tcBorders>
              <w:bottom w:val="single" w:color="E1E4E8" w:sz="4"/>
            </w:tcBorders>
            <w:tcMar>
              <w:top w:type="dxa" w:w="80"/>
              <w:left w:type="dxa" w:w="120"/>
              <w:bottom w:type="dxa" w:w="80"/>
              <w:right w:type="dxa" w:w="120"/>
            </w:tcMar>
            <w:vAlign w:val="center"/>
          </w:tcPr>
          <w:p>
            <w:pPr>
              <w:pStyle w:val="MdTableCell"/>
            </w:pPr>
            <w:r>
              <w:t xml:space="preserve">Reduce simulated phishing click rate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Training and simulation report</w:t>
            </w:r>
          </w:p>
        </w:tc>
      </w:tr>
    </w:tbl>
    <w:p>
      <w:pPr>
        <w:pStyle w:val="MdParagraph"/>
      </w:pPr>
      <w:r>
        <w:t xml:space="preserve">This logical chain allows an assessor to start from a scenario gap and trace it through risk assessment, control selection, treatment, objectives, operational procedures, and evidence of effectiveness.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Practical Applicability — 19/20</w:t>
      </w:r>
    </w:p>
    <w:p>
      <w:pPr>
        <w:pStyle w:val="MdParagraph"/>
      </w:pPr>
      <w:r>
        <w:t xml:space="preserve">The project is designed for a realistic banking environment rather than a generic information-security scenario. It addresses operational matters such as backup and recovery, change management, vulnerability remediation, privileged access, security monitoring, incident escalation, disaster recovery, supplier dependencies, and management review.</w:t>
      </w:r>
    </w:p>
    <w:p>
      <w:pPr>
        <w:pStyle w:val="MdSpace"/>
        <w:spacing w:before="0" w:after="60"/>
      </w:pPr>
    </w:p>
    <w:p>
      <w:pPr>
        <w:pStyle w:val="MdParagraph"/>
      </w:pPr>
      <w:r>
        <w:t xml:space="preserve">The continuity plan defines critical services, a disaster-recovery location in Jeddah, recovery priorities, RTO, RPO, emergency roles, and return-to-normal procedures. The incident-response procedure defines detection, classification, containment, eradication, recovery, evidence preservation, communication, and lessons learned. The secure-operations document translates policy and control requirements into day-to-day IT activities.</w:t>
      </w:r>
    </w:p>
    <w:p>
      <w:pPr>
        <w:pStyle w:val="MdSpace"/>
        <w:spacing w:before="0" w:after="60"/>
      </w:pPr>
    </w:p>
    <w:p>
      <w:pPr>
        <w:pStyle w:val="Heading3"/>
        <w:pStyle w:val="MdHeading3"/>
      </w:pPr>
      <w:r>
        <w:t xml:space="preserve">6.1 Practical evidence added to the project</w:t>
      </w:r>
    </w:p>
    <w:p>
      <w:pPr>
        <w:pStyle w:val="MdParagraph"/>
      </w:pPr>
      <w:r>
        <w:t xml:space="preserve">The supporting Test Evidence Pack includes educational simulation scenarios for:</w:t>
      </w:r>
    </w:p>
    <w:p>
      <w:pPr>
        <w:pStyle w:val="MdSpace"/>
        <w:spacing w:before="0" w:after="60"/>
      </w:pPr>
    </w:p>
    <w:p>
      <w:pPr>
        <w:pStyle w:val="MdListItem"/>
        <w:numPr>
          <w:ilvl w:val="0"/>
          <w:numId w:val="3"/>
        </w:numPr>
      </w:pPr>
      <w:r>
        <w:t xml:space="preserve">Backup restoration with RTO and RPO results.</w:t>
      </w:r>
    </w:p>
    <w:p>
      <w:pPr>
        <w:pStyle w:val="MdListItem"/>
        <w:numPr>
          <w:ilvl w:val="0"/>
          <w:numId w:val="3"/>
        </w:numPr>
      </w:pPr>
      <w:r>
        <w:t xml:space="preserve">Ransomware response and containment.</w:t>
      </w:r>
    </w:p>
    <w:p>
      <w:pPr>
        <w:pStyle w:val="MdListItem"/>
        <w:numPr>
          <w:ilvl w:val="0"/>
          <w:numId w:val="3"/>
        </w:numPr>
      </w:pPr>
      <w:r>
        <w:t xml:space="preserve">Failover to the disaster-recovery site.</w:t>
      </w:r>
    </w:p>
    <w:p>
      <w:pPr>
        <w:pStyle w:val="MdListItem"/>
        <w:numPr>
          <w:ilvl w:val="0"/>
          <w:numId w:val="3"/>
        </w:numPr>
      </w:pPr>
      <w:r>
        <w:t xml:space="preserve">Privileged-access review.</w:t>
      </w:r>
    </w:p>
    <w:p>
      <w:pPr>
        <w:pStyle w:val="MdListItem"/>
        <w:numPr>
          <w:ilvl w:val="0"/>
          <w:numId w:val="3"/>
        </w:numPr>
      </w:pPr>
      <w:r>
        <w:t xml:space="preserve">Controlled change management.</w:t>
      </w:r>
    </w:p>
    <w:p>
      <w:pPr>
        <w:pStyle w:val="MdSpace"/>
        <w:spacing w:before="0" w:after="60"/>
      </w:pPr>
    </w:p>
    <w:p>
      <w:pPr>
        <w:pStyle w:val="MdParagraph"/>
      </w:pPr>
      <w:r>
        <w:t xml:space="preserve">These scenarios significantly improve practical readiness. However, they must be replaced with or confirmed by actual execution records if the team performs the tests in a real or controlled environment.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Performance in Audit Simulation — 18/20</w:t>
      </w:r>
    </w:p>
    <w:p>
      <w:pPr>
        <w:pStyle w:val="MdParagraph"/>
      </w:pPr>
      <w:r>
        <w:t xml:space="preserve">The project includes a complete audit-simulation support package:</w:t>
      </w:r>
    </w:p>
    <w:p>
      <w:pPr>
        <w:pStyle w:val="MdSpace"/>
        <w:spacing w:before="0" w:after="60"/>
      </w:pPr>
    </w:p>
    <w:p>
      <w:pPr>
        <w:pStyle w:val="MdListItem"/>
        <w:numPr>
          <w:ilvl w:val="0"/>
          <w:numId w:val="3"/>
        </w:numPr>
      </w:pPr>
      <w:r>
        <w:t xml:space="preserve">External Audit Plan.</w:t>
      </w:r>
    </w:p>
    <w:p>
      <w:pPr>
        <w:pStyle w:val="MdListItem"/>
        <w:numPr>
          <w:ilvl w:val="0"/>
          <w:numId w:val="3"/>
        </w:numPr>
      </w:pPr>
      <w:r>
        <w:t xml:space="preserve">External Audit Report.</w:t>
      </w:r>
    </w:p>
    <w:p>
      <w:pPr>
        <w:pStyle w:val="MdListItem"/>
        <w:numPr>
          <w:ilvl w:val="0"/>
          <w:numId w:val="3"/>
        </w:numPr>
      </w:pPr>
      <w:r>
        <w:t xml:space="preserve">Corrective Action Plan.</w:t>
      </w:r>
    </w:p>
    <w:p>
      <w:pPr>
        <w:pStyle w:val="MdListItem"/>
        <w:numPr>
          <w:ilvl w:val="0"/>
          <w:numId w:val="3"/>
        </w:numPr>
      </w:pPr>
      <w:r>
        <w:t xml:space="preserve">Audit Checklist.</w:t>
      </w:r>
    </w:p>
    <w:p>
      <w:pPr>
        <w:pStyle w:val="MdListItem"/>
        <w:numPr>
          <w:ilvl w:val="0"/>
          <w:numId w:val="3"/>
        </w:numPr>
      </w:pPr>
      <w:r>
        <w:t xml:space="preserve">Traceability Matrix.</w:t>
      </w:r>
    </w:p>
    <w:p>
      <w:pPr>
        <w:pStyle w:val="MdListItem"/>
        <w:numPr>
          <w:ilvl w:val="0"/>
          <w:numId w:val="3"/>
        </w:numPr>
      </w:pPr>
      <w:r>
        <w:t xml:space="preserve">Internal Audit Report.</w:t>
      </w:r>
    </w:p>
    <w:p>
      <w:pPr>
        <w:pStyle w:val="MdListItem"/>
        <w:numPr>
          <w:ilvl w:val="0"/>
          <w:numId w:val="3"/>
        </w:numPr>
      </w:pPr>
      <w:r>
        <w:t xml:space="preserve">ISMS Performance Report.</w:t>
      </w:r>
    </w:p>
    <w:p>
      <w:pPr>
        <w:pStyle w:val="MdListItem"/>
        <w:numPr>
          <w:ilvl w:val="0"/>
          <w:numId w:val="3"/>
        </w:numPr>
      </w:pPr>
      <w:r>
        <w:t xml:space="preserve">Ten-minute presentation structure.</w:t>
      </w:r>
    </w:p>
    <w:p>
      <w:pPr>
        <w:pStyle w:val="MdSpace"/>
        <w:spacing w:before="0" w:after="60"/>
      </w:pPr>
    </w:p>
    <w:p>
      <w:pPr>
        <w:pStyle w:val="MdParagraph"/>
      </w:pPr>
      <w:r>
        <w:t xml:space="preserve">The External Audit Report contains simulated minor nonconformities and observations. The Corrective Action Plan identifies owners, due dates, closure evidence, and effectiveness verification. The Audit Checklist prepares the team to answer common questions about scope, risk assessment, controls, performance, incident response, continuity, and teamwork.</w:t>
      </w:r>
    </w:p>
    <w:p>
      <w:pPr>
        <w:pStyle w:val="MdSpace"/>
        <w:spacing w:before="0" w:after="60"/>
      </w:pPr>
    </w:p>
    <w:p>
      <w:pPr>
        <w:pStyle w:val="MdParagraph"/>
      </w:pPr>
      <w:r>
        <w:t xml:space="preserve">The score is not a full 20/20 because the final result depends on the team’s actual performance during the live presentation and auditor interview. The team should rehearse the presentation, assign speaking roles, and demonstrate the Traceability Matrix when answering questions.</w:t>
      </w:r>
    </w:p>
    <w:p>
      <w:pPr>
        <w:pStyle w:val="MdSpace"/>
        <w:spacing w:before="0" w:after="60"/>
      </w:pPr>
    </w:p>
    <w:p>
      <w:pPr>
        <w:pStyle w:val="Heading3"/>
        <w:pStyle w:val="MdHeading3"/>
      </w:pPr>
      <w:r>
        <w:t xml:space="preserve">7.1 Recommended auditor questions</w:t>
      </w:r>
    </w:p>
    <w:p>
      <w:pPr>
        <w:pStyle w:val="MdListItem"/>
        <w:numPr>
          <w:ilvl w:val="0"/>
          <w:numId w:val="3"/>
        </w:numPr>
      </w:pPr>
      <w:r>
        <w:t xml:space="preserve">What is the ISMS scope and why were the boundaries selected?</w:t>
      </w:r>
    </w:p>
    <w:p>
      <w:pPr>
        <w:pStyle w:val="MdListItem"/>
        <w:numPr>
          <w:ilvl w:val="0"/>
          <w:numId w:val="3"/>
        </w:numPr>
      </w:pPr>
      <w:r>
        <w:t xml:space="preserve">How were information assets identified and assigned to owners?</w:t>
      </w:r>
    </w:p>
    <w:p>
      <w:pPr>
        <w:pStyle w:val="MdListItem"/>
        <w:numPr>
          <w:ilvl w:val="0"/>
          <w:numId w:val="3"/>
        </w:numPr>
      </w:pPr>
      <w:r>
        <w:t xml:space="preserve">How were risks evaluated and prioritized?</w:t>
      </w:r>
    </w:p>
    <w:p>
      <w:pPr>
        <w:pStyle w:val="MdListItem"/>
        <w:numPr>
          <w:ilvl w:val="0"/>
          <w:numId w:val="3"/>
        </w:numPr>
      </w:pPr>
      <w:r>
        <w:t xml:space="preserve">Why were particular Annex A controls selected?</w:t>
      </w:r>
    </w:p>
    <w:p>
      <w:pPr>
        <w:pStyle w:val="MdListItem"/>
        <w:numPr>
          <w:ilvl w:val="0"/>
          <w:numId w:val="3"/>
        </w:numPr>
      </w:pPr>
      <w:r>
        <w:t xml:space="preserve">What evidence demonstrates that the controls are operating?</w:t>
      </w:r>
    </w:p>
    <w:p>
      <w:pPr>
        <w:pStyle w:val="MdListItem"/>
        <w:numPr>
          <w:ilvl w:val="0"/>
          <w:numId w:val="3"/>
        </w:numPr>
      </w:pPr>
      <w:r>
        <w:t xml:space="preserve">How does the bank respond to a ransomware incident?</w:t>
      </w:r>
    </w:p>
    <w:p>
      <w:pPr>
        <w:pStyle w:val="MdListItem"/>
        <w:numPr>
          <w:ilvl w:val="0"/>
          <w:numId w:val="3"/>
        </w:numPr>
      </w:pPr>
      <w:r>
        <w:t xml:space="preserve">What are the RTO and RPO for critical digital-banking services?</w:t>
      </w:r>
    </w:p>
    <w:p>
      <w:pPr>
        <w:pStyle w:val="MdListItem"/>
        <w:numPr>
          <w:ilvl w:val="0"/>
          <w:numId w:val="3"/>
        </w:numPr>
      </w:pPr>
      <w:r>
        <w:t xml:space="preserve">How is privileged access reviewed?</w:t>
      </w:r>
    </w:p>
    <w:p>
      <w:pPr>
        <w:pStyle w:val="MdListItem"/>
        <w:numPr>
          <w:ilvl w:val="0"/>
          <w:numId w:val="3"/>
        </w:numPr>
      </w:pPr>
      <w:r>
        <w:t xml:space="preserve">How is ISMS performance measured?</w:t>
      </w:r>
    </w:p>
    <w:p>
      <w:pPr>
        <w:pStyle w:val="MdListItem"/>
        <w:numPr>
          <w:ilvl w:val="0"/>
          <w:numId w:val="3"/>
        </w:numPr>
      </w:pPr>
      <w:r>
        <w:t xml:space="preserve">How are internal-audit findings and corrective actions closed?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Teamwork — 14/15</w:t>
      </w:r>
    </w:p>
    <w:p>
      <w:pPr>
        <w:pStyle w:val="MdParagraph"/>
      </w:pPr>
      <w:r>
        <w:t xml:space="preserve">The project identifies four team members and documents their responsibilities through the Team Work Log and Meeting Minutes file.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Team member</w:t>
            </w:r>
          </w:p>
        </w:tc>
        <w:tc>
          <w:tcPr>
            <w:tcBorders>
              <w:right w:val="none"/>
            </w:tcBorders>
            <w:tcMar>
              <w:top w:type="dxa" w:w="100"/>
              <w:left w:type="dxa" w:w="120"/>
              <w:bottom w:type="dxa" w:w="100"/>
              <w:right w:type="dxa" w:w="120"/>
            </w:tcMar>
            <w:vAlign w:val="center"/>
          </w:tcPr>
          <w:p>
            <w:pPr>
              <w:pStyle w:val="MdTableHeader"/>
            </w:pPr>
            <w:r>
              <w:t xml:space="preserve">Main contribution and simulation 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Ali Ahmed Al-Ashwel</w:t>
            </w:r>
          </w:p>
        </w:tc>
        <w:tc>
          <w:tcPr>
            <w:tcBorders>
              <w:right w:val="none"/>
            </w:tcBorders>
            <w:tcMar>
              <w:top w:type="dxa" w:w="80"/>
              <w:left w:type="dxa" w:w="120"/>
              <w:bottom w:type="dxa" w:w="80"/>
              <w:right w:type="dxa" w:w="120"/>
            </w:tcMar>
            <w:vAlign w:val="center"/>
          </w:tcPr>
          <w:p>
            <w:pPr>
              <w:pStyle w:val="MdTableCell"/>
            </w:pPr>
            <w:r>
              <w:t xml:space="preserve">Scope, policy, traceability, and audit leadership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Abdulrahman AL-Salfy</w:t>
            </w:r>
          </w:p>
        </w:tc>
        <w:tc>
          <w:tcPr>
            <w:tcBorders>
              <w:right w:val="none"/>
            </w:tcBorders>
            <w:tcMar>
              <w:top w:type="dxa" w:w="80"/>
              <w:left w:type="dxa" w:w="120"/>
              <w:bottom w:type="dxa" w:w="80"/>
              <w:right w:type="dxa" w:w="120"/>
            </w:tcMar>
            <w:vAlign w:val="center"/>
          </w:tcPr>
          <w:p>
            <w:pPr>
              <w:pStyle w:val="MdTableCell"/>
            </w:pPr>
            <w:r>
              <w:t xml:space="preserve">Assets, risks, Statement of Applicability, and risk-audit questions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Ghassan Faisal Mohammed Ali Obad</w:t>
            </w:r>
          </w:p>
        </w:tc>
        <w:tc>
          <w:tcPr>
            <w:tcBorders>
              <w:right w:val="none"/>
            </w:tcBorders>
            <w:tcMar>
              <w:top w:type="dxa" w:w="80"/>
              <w:left w:type="dxa" w:w="120"/>
              <w:bottom w:type="dxa" w:w="80"/>
              <w:right w:type="dxa" w:w="120"/>
            </w:tcMar>
            <w:vAlign w:val="center"/>
          </w:tcPr>
          <w:p>
            <w:pPr>
              <w:pStyle w:val="MdTableCell"/>
            </w:pPr>
            <w:r>
              <w:t xml:space="preserve">Performance, continuity, internal audit, and performance-audit questions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Ammar Saeed Hatem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IT operations, incident response, configuration, and operational presentation role</w:t>
            </w:r>
          </w:p>
        </w:tc>
      </w:tr>
    </w:tbl>
    <w:p>
      <w:pPr>
        <w:pStyle w:val="MdParagraph"/>
      </w:pPr>
      <w:r>
        <w:t xml:space="preserve">The project includes planning, peer review, training, approval, and presentation responsibilities. The score remains slightly below the maximum because the instructor may require direct observation of each member’s participation during the presentation or simulation.</w:t>
      </w:r>
    </w:p>
    <w:p>
      <w:pPr>
        <w:pStyle w:val="MdSpace"/>
        <w:spacing w:before="0" w:after="60"/>
      </w:pPr>
    </w:p>
    <w:p>
      <w:pPr>
        <w:pStyle w:val="MdParagraph"/>
      </w:pPr>
      <w:r>
        <w:t xml:space="preserve">Before submission, the team should add Ammar Saeed Hatem’s actual email address and GitHub username if the course form requires them. No contact details should be invented.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Additional Files Added to Improve Evaluation Readiness</w:t>
      </w:r>
    </w:p>
    <w:p>
      <w:pPr>
        <w:pStyle w:val="MdParagraph"/>
      </w:pPr>
      <w:r>
        <w:t xml:space="preserve">Additional files were created and added beside the fifteen core ISMS documents. They do not replace or delete the core documents.</w:t>
      </w:r>
    </w:p>
    <w:p>
      <w:pPr>
        <w:pStyle w:val="MdSpace"/>
        <w:spacing w:before="0" w:after="60"/>
      </w:pPr>
    </w:p>
    <w:p>
      <w:pPr>
        <w:pStyle w:val="MdParagraph"/>
      </w:pPr>
      <w:r>
        <w:t xml:space="preserve">The additions were made to strengthen the following assessment areas: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Added file or artifact</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Traceability Matrix and Submission Index</w:t>
            </w:r>
          </w:p>
        </w:tc>
        <w:tc>
          <w:tcPr>
            <w:tcBorders>
              <w:right w:val="none"/>
            </w:tcBorders>
            <w:tcMar>
              <w:top w:type="dxa" w:w="80"/>
              <w:left w:type="dxa" w:w="120"/>
              <w:bottom w:type="dxa" w:w="80"/>
              <w:right w:type="dxa" w:w="120"/>
            </w:tcMar>
            <w:vAlign w:val="center"/>
          </w:tcPr>
          <w:p>
            <w:pPr>
              <w:pStyle w:val="MdTableCell"/>
            </w:pPr>
            <w:r>
              <w:t xml:space="preserve">Demonstrates logical connection and provides a complete document index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External Audit Plan</w:t>
            </w:r>
          </w:p>
        </w:tc>
        <w:tc>
          <w:tcPr>
            <w:tcBorders>
              <w:right w:val="none"/>
            </w:tcBorders>
            <w:tcMar>
              <w:top w:type="dxa" w:w="80"/>
              <w:left w:type="dxa" w:w="120"/>
              <w:bottom w:type="dxa" w:w="80"/>
              <w:right w:type="dxa" w:w="120"/>
            </w:tcMar>
            <w:vAlign w:val="center"/>
          </w:tcPr>
          <w:p>
            <w:pPr>
              <w:pStyle w:val="MdTableCell"/>
            </w:pPr>
            <w:r>
              <w:t xml:space="preserve">Defines the audit simulation process, scope, timing, roles, and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External Audit Report</w:t>
            </w:r>
          </w:p>
        </w:tc>
        <w:tc>
          <w:tcPr>
            <w:tcBorders>
              <w:right w:val="none"/>
            </w:tcBorders>
            <w:tcMar>
              <w:top w:type="dxa" w:w="80"/>
              <w:left w:type="dxa" w:w="120"/>
              <w:bottom w:type="dxa" w:w="80"/>
              <w:right w:type="dxa" w:w="120"/>
            </w:tcMar>
            <w:vAlign w:val="center"/>
          </w:tcPr>
          <w:p>
            <w:pPr>
              <w:pStyle w:val="MdTableCell"/>
            </w:pPr>
            <w:r>
              <w:t xml:space="preserve">Demonstrates audit findings, observations, and conclusions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Corrective Action Plan</w:t>
            </w:r>
          </w:p>
        </w:tc>
        <w:tc>
          <w:tcPr>
            <w:tcBorders>
              <w:right w:val="none"/>
            </w:tcBorders>
            <w:tcMar>
              <w:top w:type="dxa" w:w="80"/>
              <w:left w:type="dxa" w:w="120"/>
              <w:bottom w:type="dxa" w:w="80"/>
              <w:right w:type="dxa" w:w="120"/>
            </w:tcMar>
            <w:vAlign w:val="center"/>
          </w:tcPr>
          <w:p>
            <w:pPr>
              <w:pStyle w:val="MdTableCell"/>
            </w:pPr>
            <w:r>
              <w:t xml:space="preserve">Shows how audit findings are assigned, treated, closed, and verified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 Evidence Pack</w:t>
            </w:r>
          </w:p>
        </w:tc>
        <w:tc>
          <w:tcPr>
            <w:tcBorders>
              <w:right w:val="none"/>
            </w:tcBorders>
            <w:tcMar>
              <w:top w:type="dxa" w:w="80"/>
              <w:left w:type="dxa" w:w="120"/>
              <w:bottom w:type="dxa" w:w="80"/>
              <w:right w:type="dxa" w:w="120"/>
            </w:tcMar>
            <w:vAlign w:val="center"/>
          </w:tcPr>
          <w:p>
            <w:pPr>
              <w:pStyle w:val="MdTableCell"/>
            </w:pPr>
            <w:r>
              <w:t xml:space="preserve">Demonstrates how continuity, recovery, incident response, access review, and change tests can be performed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Team Work Log and Meeting Minutes</w:t>
            </w:r>
          </w:p>
        </w:tc>
        <w:tc>
          <w:tcPr>
            <w:tcBorders>
              <w:right w:val="none"/>
            </w:tcBorders>
            <w:tcMar>
              <w:top w:type="dxa" w:w="80"/>
              <w:left w:type="dxa" w:w="120"/>
              <w:bottom w:type="dxa" w:w="80"/>
              <w:right w:type="dxa" w:w="120"/>
            </w:tcMar>
            <w:vAlign w:val="center"/>
          </w:tcPr>
          <w:p>
            <w:pPr>
              <w:pStyle w:val="MdTableCell"/>
            </w:pPr>
            <w:r>
              <w:t xml:space="preserve">Documents role allocation, planning, peer review, and participation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Audit Checklist</w:t>
            </w:r>
          </w:p>
        </w:tc>
        <w:tc>
          <w:tcPr>
            <w:tcBorders>
              <w:right w:val="none"/>
            </w:tcBorders>
            <w:tcMar>
              <w:top w:type="dxa" w:w="80"/>
              <w:left w:type="dxa" w:w="120"/>
              <w:bottom w:type="dxa" w:w="80"/>
              <w:right w:type="dxa" w:w="120"/>
            </w:tcMar>
            <w:vAlign w:val="center"/>
          </w:tcPr>
          <w:p>
            <w:pPr>
              <w:pStyle w:val="MdTableCell"/>
            </w:pPr>
            <w:r>
              <w:t xml:space="preserve">Prepares the team for auditor questions and evidence requests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ISMS Audit Simulation Presentation</w:t>
            </w:r>
          </w:p>
        </w:tc>
        <w:tc>
          <w:tcPr>
            <w:tcBorders>
              <w:right w:val="none"/>
            </w:tcBorders>
            <w:tcMar>
              <w:top w:type="dxa" w:w="80"/>
              <w:left w:type="dxa" w:w="120"/>
              <w:bottom w:type="dxa" w:w="80"/>
              <w:right w:type="dxa" w:w="120"/>
            </w:tcMar>
            <w:vAlign w:val="center"/>
          </w:tcPr>
          <w:p>
            <w:pPr>
              <w:pStyle w:val="MdTableCell"/>
            </w:pPr>
            <w:r>
              <w:t xml:space="preserve">Provides a concise ten-minute explanation of the project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Project Guide and README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Helps a reviewer understand the complete project structure and content</w:t>
            </w:r>
          </w:p>
        </w:tc>
      </w:tr>
    </w:tbl>
    <w:p>
      <w:pPr>
        <w:pStyle w:val="MdParagraph"/>
      </w:pPr>
      <w:r>
        <w:t xml:space="preserve">These additions were made to increase project completeness, improve traceability, strengthen practical applicability, prepare the team for the audit simulation, document teamwork, and support a high academic evaluation.</w:t>
      </w:r>
    </w:p>
    <w:p>
      <w:pPr>
        <w:pStyle w:val="MdSpace"/>
        <w:spacing w:before="0" w:after="60"/>
      </w:pPr>
    </w:p>
    <w:p>
      <w:pPr>
        <w:pStyle w:val="MdParagraph"/>
      </w:pPr>
      <w:r>
        <w:t xml:space="preserve">They do not guarantee a particular academic grade. The official grade remains the responsibility of the course instructor and depends on the submitted files and the team’s actual presentation and discussion performance.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Required Submission Structure</w:t>
      </w:r>
    </w:p>
    <w:p>
      <w:pPr>
        <w:pStyle w:val="MdParagraph"/>
      </w:pPr>
      <w:r>
        <w:t xml:space="preserve">The recommended final repository structure is: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Digital-Bank-ISMS-ISO27001/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01_Core_ISMS_Documents/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Fifteen core ISMS documents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02_Evidence_and_Audit_Simulation/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Traceability, audit, corrective-action, test, and teamwork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03_Presentation/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ISMS audit simulation presentation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04_Guides/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Project Final Evaluation Report.md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Arabic project guide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w:t>
      </w:r>
    </w:p>
    <w:p>
      <w:pPr>
        <w:pStyle w:val="MdSpace"/>
        <w:spacing w:before="0" w:after="60"/>
      </w:pPr>
    </w:p>
    <w:p>
      <w:pPr>
        <w:pStyle w:val="MdParagraph"/>
      </w:pPr>
      <w:r>
        <w:t xml:space="preserve">The core documents should be submitted together with the supporting evidence package. The supporting package should not be used as a replacement for the fifteen core documents.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Evidence Integrity Statement</w:t>
      </w:r>
    </w:p>
    <w:p>
      <w:pPr>
        <w:pStyle w:val="MdParagraph"/>
      </w:pPr>
      <w:r>
        <w:t xml:space="preserve">The project distinguishes between formal documents, simulated evidence, and actual operational evidence.</w:t>
      </w:r>
    </w:p>
    <w:p>
      <w:pPr>
        <w:pStyle w:val="MdSpace"/>
        <w:spacing w:before="0" w:after="60"/>
      </w:pPr>
    </w:p>
    <w:p>
      <w:pPr>
        <w:pStyle w:val="MdParagraph"/>
      </w:pPr>
      <w:r>
        <w:t xml:space="preserve">The Test Evidence Pack and External Audit Report are prepared for academic simulation and audit-readiness demonstration. If the team has not performed the tests or audit activities, it must not claim that they were completed in a live production environment.</w:t>
      </w:r>
    </w:p>
    <w:p>
      <w:pPr>
        <w:pStyle w:val="MdSpace"/>
        <w:spacing w:before="0" w:after="60"/>
      </w:pPr>
    </w:p>
    <w:p>
      <w:pPr>
        <w:pStyle w:val="MdParagraph"/>
      </w:pPr>
      <w:r>
        <w:t xml:space="preserve">Recommended presentation wording:</w:t>
      </w:r>
    </w:p>
    <w:p>
      <w:pPr>
        <w:pStyle w:val="MdSpace"/>
        <w:spacing w:before="0" w:after="60"/>
      </w:pPr>
    </w:p>
    <w:p>
      <w:pPr>
        <w:pStyle w:val="MdBlockquote"/>
      </w:pPr>
      <w:r>
        <w:t xml:space="preserve">“The attached records are educational simulation evidence prepared to demonstrate the expected execution method. Actual operational records will be attached after the corresponding activities are performed in a controlled or production-approved environment.”</w:t>
      </w:r>
    </w:p>
    <w:p>
      <w:pPr>
        <w:pStyle w:val="MdSpace"/>
        <w:spacing w:before="0" w:after="60"/>
      </w:pPr>
    </w:p>
    <w:p>
      <w:pPr>
        <w:pStyle w:val="MdParagraph"/>
      </w:pPr>
      <w:r>
        <w:t xml:space="preserve">This approach is professionally appropriate and prevents the project from making unsupported operational claims.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Final Judgment</w:t>
      </w:r>
    </w:p>
    <w:p>
      <w:pPr>
        <w:pStyle w:val="MdParagraph"/>
      </w:pPr>
      <w:r>
        <w:t xml:space="preserve">The Al-Afaq Digital Bank ISMS project is a complete and highly structured academic implementation package. It covers the essential ISO/IEC 27001:2022 lifecycle and is tailored to the risks and operational requirements of a digital bank.</w:t>
      </w:r>
    </w:p>
    <w:p>
      <w:pPr>
        <w:pStyle w:val="MdSpace"/>
        <w:spacing w:before="0" w:after="60"/>
      </w:pPr>
    </w:p>
    <w:p>
      <w:pPr>
        <w:pStyle w:val="MdParagraph"/>
      </w:pPr>
      <w:r>
        <w:t xml:space="preserve">The project demonstrates:</w:t>
      </w:r>
    </w:p>
    <w:p>
      <w:pPr>
        <w:pStyle w:val="MdSpace"/>
        <w:spacing w:before="0" w:after="60"/>
      </w:pPr>
    </w:p>
    <w:p>
      <w:pPr>
        <w:pStyle w:val="MdListItem"/>
        <w:numPr>
          <w:ilvl w:val="0"/>
          <w:numId w:val="3"/>
        </w:numPr>
      </w:pPr>
      <w:r>
        <w:t xml:space="preserve">Complete core ISMS documentation.</w:t>
      </w:r>
    </w:p>
    <w:p>
      <w:pPr>
        <w:pStyle w:val="MdListItem"/>
        <w:numPr>
          <w:ilvl w:val="0"/>
          <w:numId w:val="3"/>
        </w:numPr>
      </w:pPr>
      <w:r>
        <w:t xml:space="preserve">Strong logical traceability.</w:t>
      </w:r>
    </w:p>
    <w:p>
      <w:pPr>
        <w:pStyle w:val="MdListItem"/>
        <w:numPr>
          <w:ilvl w:val="0"/>
          <w:numId w:val="3"/>
        </w:numPr>
      </w:pPr>
      <w:r>
        <w:t xml:space="preserve">Realistic banking controls and procedures.</w:t>
      </w:r>
    </w:p>
    <w:p>
      <w:pPr>
        <w:pStyle w:val="MdListItem"/>
        <w:numPr>
          <w:ilvl w:val="0"/>
          <w:numId w:val="3"/>
        </w:numPr>
      </w:pPr>
      <w:r>
        <w:t xml:space="preserve">Incident response and continuity planning.</w:t>
      </w:r>
    </w:p>
    <w:p>
      <w:pPr>
        <w:pStyle w:val="MdListItem"/>
        <w:numPr>
          <w:ilvl w:val="0"/>
          <w:numId w:val="3"/>
        </w:numPr>
      </w:pPr>
      <w:r>
        <w:t xml:space="preserve">Performance measurement and internal audit.</w:t>
      </w:r>
    </w:p>
    <w:p>
      <w:pPr>
        <w:pStyle w:val="MdListItem"/>
        <w:numPr>
          <w:ilvl w:val="0"/>
          <w:numId w:val="3"/>
        </w:numPr>
      </w:pPr>
      <w:r>
        <w:t xml:space="preserve">External-audit simulation readiness.</w:t>
      </w:r>
    </w:p>
    <w:p>
      <w:pPr>
        <w:pStyle w:val="MdListItem"/>
        <w:numPr>
          <w:ilvl w:val="0"/>
          <w:numId w:val="3"/>
        </w:numPr>
      </w:pPr>
      <w:r>
        <w:t xml:space="preserve">Corrective-action planning.</w:t>
      </w:r>
    </w:p>
    <w:p>
      <w:pPr>
        <w:pStyle w:val="MdListItem"/>
        <w:numPr>
          <w:ilvl w:val="0"/>
          <w:numId w:val="3"/>
        </w:numPr>
      </w:pPr>
      <w:r>
        <w:t xml:space="preserve">Documented teamwork.</w:t>
      </w:r>
    </w:p>
    <w:p>
      <w:pPr>
        <w:pStyle w:val="MdListItem"/>
        <w:numPr>
          <w:ilvl w:val="0"/>
          <w:numId w:val="3"/>
        </w:numPr>
      </w:pPr>
      <w:r>
        <w:t xml:space="preserve">Presentation readiness.</w:t>
      </w:r>
    </w:p>
    <w:p>
      <w:pPr>
        <w:pStyle w:val="MdSpace"/>
        <w:spacing w:before="0" w:after="60"/>
      </w:pPr>
    </w:p>
    <w:p>
      <w:pPr>
        <w:pStyle w:val="MdBlockquote"/>
      </w:pPr>
      <w:r>
        <w:rPr>
          <w:rStyle w:val="MdStrong"/>
          <w:b/>
          <w:bCs/>
        </w:rPr>
        <w:t xml:space="preserve">Estimated project readiness score: 96/100.</w:t>
      </w:r>
    </w:p>
    <w:p>
      <w:pPr>
        <w:pStyle w:val="MdSpace"/>
        <w:spacing w:before="0" w:after="60"/>
      </w:pPr>
    </w:p>
    <w:p>
      <w:pPr>
        <w:pStyle w:val="MdBlockquote"/>
      </w:pPr>
      <w:r>
        <w:t xml:space="preserve">The project is ready for academic submission, presentation, and audit simulation. A higher or final official score depends on the instructor’s assessment and the team’s actual performance during the discussion.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2026-09-11T18:56:41.833Z</dcterms:created>
  <dcterms:modified xsi:type="dcterms:W3CDTF">2026-09-11T18:56:41.833Z</dcterms:modified>
</cp:coreProperties>
</file>

<file path=docProps/custom.xml><?xml version="1.0" encoding="utf-8"?>
<Properties xmlns="http://schemas.openxmlformats.org/officeDocument/2006/custom-properties" xmlns:vt="http://schemas.openxmlformats.org/officeDocument/2006/docPropsVTypes"/>
</file>