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AC479"/>
    <w:tbl>
      <w:tblPr>
        <w:tblStyle w:val="20"/>
        <w:tblW w:w="99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9088"/>
      </w:tblGrid>
      <w:tr w14:paraId="1F460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</w:trPr>
        <w:tc>
          <w:tcPr>
            <w:tcW w:w="0" w:type="auto"/>
          </w:tcPr>
          <w:p w14:paraId="4247804E">
            <w:pPr>
              <w:spacing w:after="0" w:line="240" w:lineRule="auto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color w:val="1D2763"/>
                <w:sz w:val="28"/>
                <w:szCs w:val="28"/>
                <w:lang w:eastAsia="es-CL"/>
              </w:rPr>
              <w:drawing>
                <wp:inline distT="0" distB="0" distL="0" distR="0">
                  <wp:extent cx="393065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6"/>
        <w:tblW w:w="1005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7"/>
      </w:tblGrid>
      <w:tr w14:paraId="77243A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</w:tcPr>
          <w:p w14:paraId="4D2748E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4EDC7B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0CADB62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65586F2B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14:paraId="6ED2840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>
            <w:pPr>
              <w:spacing w:after="0" w:line="240" w:lineRule="auto"/>
              <w:jc w:val="both"/>
              <w:rPr>
                <w:rFonts w:hint="default" w:eastAsiaTheme="majorEastAsia"/>
                <w:color w:val="767171" w:themeColor="background2" w:themeShade="80"/>
                <w:sz w:val="24"/>
                <w:szCs w:val="24"/>
                <w:lang w:val="es-CL"/>
              </w:rPr>
            </w:pPr>
            <w:r>
              <w:rPr>
                <w:rFonts w:hint="default" w:eastAsiaTheme="majorEastAsia"/>
                <w:color w:val="767171" w:themeColor="background2" w:themeShade="80"/>
                <w:sz w:val="24"/>
                <w:szCs w:val="24"/>
                <w:lang w:val="es-CL"/>
              </w:rPr>
              <w:t xml:space="preserve">R: </w:t>
            </w:r>
            <w:r>
              <w:rPr>
                <w:rFonts w:hint="default" w:ascii="Calibri" w:hAnsi="Calibri" w:cs="Calibri" w:eastAsiaTheme="minorEastAs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  <w:lang w:val="es-CL"/>
              </w:rPr>
              <w:t>C</w:t>
            </w:r>
            <w:r>
              <w:rPr>
                <w:rFonts w:hint="default" w:ascii="Calibri" w:hAnsi="Calibri" w:cs="Calibri" w:eastAsiaTheme="minorEastAs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</w:rPr>
              <w:t>onsider</w:t>
            </w:r>
            <w:r>
              <w:rPr>
                <w:rFonts w:hint="default" w:ascii="Calibri" w:hAnsi="Calibri" w:cs="Calibri" w:eastAsiaTheme="minorEastAs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  <w:lang w:val="es-CL"/>
              </w:rPr>
              <w:t>o</w:t>
            </w:r>
            <w:r>
              <w:rPr>
                <w:rFonts w:hint="default" w:ascii="Calibri" w:hAnsi="Calibri" w:cs="Calibri" w:eastAsiaTheme="minorEastAs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</w:rPr>
              <w:t xml:space="preserve"> que el cumplimiento ha sido parcial, pero con avances relevantes respecto de lo planificado en la Fase 1. La planificación inicial permitió ordenar el alcance del MVP y priorizar componentes críticos como Core CSA, el modelo de datos, la seguridad basada en roles y la integración entre módulos. Sin embargo, algunas actividades han requerido más análisis y ajustes de los previstos, especialmente por la necesidad de mantener coherencia entre requerimientos, arquitectura, modelo de datos, permisos y documentación técnica antes de continuar con nuevas funcionalidades. Han facilitado el trabajo la definición previa del MVP, el repositorio de código, la arquitectura modular y la comunicación con CSA. Entre las principales dificultades identifi</w:t>
            </w:r>
            <w:r>
              <w:rPr>
                <w:rFonts w:hint="default" w:ascii="Calibri" w:hAnsi="Calibri" w:cs="Calibri" w:eastAsiaTheme="minorEastAs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  <w:lang w:val="es-CL"/>
              </w:rPr>
              <w:t>que</w:t>
            </w:r>
            <w:r>
              <w:rPr>
                <w:rFonts w:hint="default" w:ascii="Calibri" w:hAnsi="Calibri" w:cs="Calibri" w:eastAsiaTheme="minorEastAsi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</w:rPr>
              <w:t xml:space="preserve"> la coordinación de dependencias entre módulos, la necesidad de documentar decisiones técnicas y la rigidez de la planificación inicial frente al carácter iterativo de Scrum.</w:t>
            </w:r>
          </w:p>
          <w:p w14:paraId="1F17CAF9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tbl>
      <w:tblPr>
        <w:tblStyle w:val="2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470EE22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45BEE2C8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14:paraId="4956627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BC4D618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hint="default" w:ascii="Calibri" w:hAnsi="Calibri"/>
                <w:b/>
                <w:bCs/>
                <w:color w:val="1F4E79" w:themeColor="accent1" w:themeShade="80"/>
                <w:lang w:val="es-CL"/>
              </w:rPr>
              <w:t xml:space="preserve">R: 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</w:rPr>
              <w:t>Las dificultades se han enfrentado mediante revisión y ajuste progresivo de la planificación, procurando no ampliar el alcance del MVP. Para la Fase 2 propon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  <w:lang w:val="es-CL"/>
              </w:rPr>
              <w:t>go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</w:rPr>
              <w:t xml:space="preserve"> mantener la Carta Gantt como una referencia macro de los hitos académicos, pero gestionar la ejecución real mediante Scrum: Product Backlog priorizado, Sprint Goals, Sprint Backlogs, revisiones de incremento y retrospectivas. También se reforzará la trazabilidad entre requerimientos, tareas, pruebas y evidencias, junto con criterios de aceptación y una Definition of Done común. Cuando una actividad no pueda completarse dentro del Sprint, deberá registrarse la causa, reordenarse en el backlog y justificarse el ajuste. Además, se priorizarán primero los requerimientos P0 y se incorporarán pruebas durante cada Sprint, evitando dejar la validación únicamente para el cierre del proyecto.</w:t>
            </w:r>
          </w:p>
        </w:tc>
      </w:tr>
    </w:tbl>
    <w:p w14:paraId="120C1991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53D9B3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305818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5777F753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14:paraId="6AA7394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4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3BE9AC1F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hint="default" w:ascii="Calibri" w:hAnsi="Calibri"/>
                <w:b/>
                <w:bCs/>
                <w:color w:val="1F4E79" w:themeColor="accent1" w:themeShade="80"/>
                <w:lang w:val="es-CL"/>
              </w:rPr>
              <w:t xml:space="preserve">R: 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</w:rPr>
              <w:t>Evalu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  <w:lang w:val="es-CL"/>
              </w:rPr>
              <w:t>o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</w:rPr>
              <w:t xml:space="preserve"> positivamente 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  <w:lang w:val="es-CL"/>
              </w:rPr>
              <w:t xml:space="preserve">mi 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</w:rPr>
              <w:t>trabajo realizado hasta el momento, principalmente porque se ha avanzado en la definición técnica del proyecto y se ha buscado mantener coherencia entre problema, alcance, arquitectura, modelo de datos, seguridad y desarrollo. Destacamos la revisión constante de decisiones antes de implementarlas, el uso de control de versiones y la preocupación por la trazabilidad y la seguridad de la información. Como aspectos a mejorar, necesitamos transformar con mayor rapidez la planificación y documentación en incrementos funcionales verificables, registrar de forma más sistemática los resultados de cada Sprint y mantener mayor visibilidad sobre impedimentos, tareas pendientes y evidencias. También debemos fortalecer la coordinación del equipo para evitar que el conocimiento o ciertas tareas queden concentrados en una sola persona.</w:t>
            </w:r>
          </w:p>
          <w:p w14:paraId="5D99CA8E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639E983F"/>
    <w:tbl>
      <w:tblPr>
        <w:tblStyle w:val="2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7AB5404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56439B9A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14:paraId="73E50CE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1E61CA1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hint="default" w:ascii="Calibri" w:hAnsi="Calibri"/>
                <w:b/>
                <w:bCs/>
                <w:color w:val="1F4E79" w:themeColor="accent1" w:themeShade="80"/>
                <w:lang w:val="es-CL"/>
              </w:rPr>
              <w:t xml:space="preserve">R: 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</w:rPr>
              <w:t>La principal inquietud es cómo mantener la planificación exigida académicamente sin perder la adaptabilidad propia de Scrum. No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  <w:lang w:val="es-CL"/>
              </w:rPr>
              <w:t xml:space="preserve"> me interesa 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</w:rPr>
              <w:t>confirmar con el docente si la Carta Gantt puede utilizarse como una planificación macro del semestre, mientras que la planificación operativa se gestiona mediante Product Backlog y Sprint Backlog, registrando y justificando los cambios surgidos durante cada Sprint. Tambié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  <w:lang w:val="es-CL"/>
              </w:rPr>
              <w:t>n quiero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</w:rPr>
              <w:t xml:space="preserve"> validar qué nivel de evidencia espera el docente para el informe de avance: por ejemplo, si es suficiente demostrar incrementos funcionales mediante repositorio, pruebas, capturas y video, o si además debemos adjuntar registros formales de Sprint Review, retrospectivas e indicadores de avance.</w:t>
            </w:r>
          </w:p>
        </w:tc>
      </w:tr>
    </w:tbl>
    <w:p w14:paraId="352DC20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377986E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3CC82F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4C38DECD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14:paraId="7C63D85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C35FF15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eastAsiaTheme="majorEastAsia"/>
                <w:color w:val="767171" w:themeColor="background2" w:themeShade="80"/>
                <w:sz w:val="24"/>
                <w:szCs w:val="24"/>
                <w:lang w:val="es-CL"/>
              </w:rPr>
              <w:t xml:space="preserve">R: 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DEEAF6"/>
              </w:rPr>
              <w:t>No consideramos necesario realizar una redistribución completa de las responsabilidades, pero sí aplicar una asignación más flexible por Sprint según prioridad, capacidad y dependencias técnicas. Las responsabilidades principales pueden mantenerse, evitando que se transformen en silos de trabajo; todos los Developers deben contribuir al incremento y apoyar integración, pruebas y correcciones cuando sea necesario. Como nuevas actividades de seguimiento proponemos formalizar el refinamiento del Product Backlog, registrar Sprint Goals, mantener una matriz de trazabilidad, recopilar evidencias por Sprint y realizar pruebas continuas. Estas tareas pueden distribuirse entre los integrantes de acuerdo con la carga de cada iteración y revisarse durante la planificación del Sprint.</w:t>
            </w:r>
          </w:p>
          <w:p w14:paraId="66D7B5BC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F90E13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2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6"/>
      </w:tblGrid>
      <w:tr w14:paraId="054A76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76" w:type="dxa"/>
            <w:vAlign w:val="center"/>
          </w:tcPr>
          <w:p w14:paraId="741C85EB">
            <w:pPr>
              <w:spacing w:after="0" w:line="240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6. APT  grupal</w:t>
            </w:r>
          </w:p>
        </w:tc>
      </w:tr>
      <w:tr w14:paraId="2DC141D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9" w:hRule="atLeast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B1F5A55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hint="default" w:eastAsiaTheme="majorEastAsia"/>
                <w:color w:val="767171" w:themeColor="background2" w:themeShade="80"/>
                <w:sz w:val="24"/>
                <w:szCs w:val="24"/>
                <w:lang w:val="es-CL"/>
              </w:rPr>
              <w:t xml:space="preserve">R: </w:t>
            </w: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DEEAF6"/>
              </w:rPr>
              <w:t>Como equipo evaluamos el trabajo grupal de manera positiva. Destacamos la disposición para colaborar, la complementariedad de conocimientos y la capacidad de revisar decisiones técnicas antes de avanzar, especialmente en un proyecto que integra desarrollo, datos, seguridad y gestión. También valoramos que exista un objetivo común y un alcance MVP definido para evitar incorporar funcionalidades que corresponden a etapas futuras. Como aspectos de mejora, necesitamos aumentar la frecuencia de comunicació</w:t>
            </w:r>
            <w:bookmarkStart w:id="0" w:name="_GoBack"/>
            <w:bookmarkEnd w:id="0"/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DEEAF6"/>
              </w:rPr>
              <w:t>n sobre bloqueos y avances, hacer más visible el estado real del trabajo en cada Sprint y definir criterios comunes para considerar una actividad terminada. Asimismo, debemos reforzar las revisiones entre pares y la integración temprana del trabajo de cada integrante para reducir problemas al final de los Sprints.</w:t>
            </w:r>
          </w:p>
          <w:p w14:paraId="14A8E0B5">
            <w:pPr>
              <w:spacing w:after="0" w:line="24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514D172B">
      <w:pPr>
        <w:spacing w:after="0" w:line="360" w:lineRule="auto"/>
        <w:jc w:val="both"/>
        <w:rPr>
          <w:b/>
          <w:bCs/>
          <w:sz w:val="24"/>
          <w:szCs w:val="24"/>
        </w:rPr>
      </w:pPr>
    </w:p>
    <w:sectPr>
      <w:headerReference r:id="rId6" w:type="first"/>
      <w:headerReference r:id="rId5" w:type="default"/>
      <w:footerReference r:id="rId7" w:type="default"/>
      <w:pgSz w:w="12240" w:h="15840"/>
      <w:pgMar w:top="1440" w:right="1077" w:bottom="1134" w:left="1077" w:header="567" w:footer="465" w:gutter="0"/>
      <w:pgNumType w:start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37982979"/>
      <w:docPartObj>
        <w:docPartGallery w:val="autotext"/>
      </w:docPartObj>
    </w:sdtPr>
    <w:sdtContent>
      <w:p w14:paraId="2EA7557A">
        <w:pPr>
          <w:pStyle w:val="12"/>
        </w:pPr>
        <w:r>
          <w:rPr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o:spid="_x0000_s1026" o:spt="203" style="position:absolute;left:0pt;margin-left:0.75pt;margin-top:756.5pt;height:15pt;width:610.5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y&#10;zjGz1QAAAAUBAAAPAAAAAAAAAAEAIAAAACIAAABkcnMvZG93bnJldi54bWxQSwECFAAUAAAACACH&#10;TuJAhIlmW30DAACvCgAADgAAAAAAAAABACAAAAAkAQAAZHJzL2Uyb0RvYy54bWxQSwUGAAAAAAYA&#10;BgBZAQAAEwcAAAAA&#10;">
                  <o:lock v:ext="edit" aspectratio="f"/>
    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ABF99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6" o:spt="203" style="position:absolute;left:0;top:14970;flip:x;height:230;width:12255;" coordorigin="-8,14978" coordsize="12255,230" o:gfxdata="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sKx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y6DM77wAAADb&#10;AAAADwAAAGRycy9kb3ducmV2LnhtbEWPzWrDMBCE74W8g9hAbrWcBEzsRgmhpLT0VqcPsFgby9ha&#10;GUv1T5++KhR6HGbmG+Z4nm0nRhp841jBNklBEFdON1wr+Ly9PB5A+ICssXNMChbycD6tHo5YaDfx&#10;B41lqEWEsC9QgQmhL6T0lSGLPnE9cfTubrAYohxqqQecItx2cpemmbTYcFww2NOzoaotv6yCq7aH&#10;S5W/ttOSvy++bLLv1mRKbdbb9AlEoDn8h//ab1rBPoPfL/EHyN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gzO+8AAAA&#10;2wAAAA8AAAAAAAAAAQAgAAAAIgAAAGRycy9kb3ducmV2LnhtbFBLAQIUABQAAAAIAIdO4kAzLwWe&#10;OwAAADkAAAAQAAAAAAAAAAEAIAAAAAsBAABkcnMvc2hhcGV4bWwueG1sUEsFBgAAAAAGAAYAWwEA&#10;ALUDAAAAAA==&#10;" adj="10800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skZHvb4AAADb&#10;AAAADwAAAGRycy9kb3ducmV2LnhtbEWPT2vCQBTE74V+h+UVvNWNFTSmrh6sERF6qKkHb8/sazaY&#10;fRuy679v7xYEj8PM/IaZzq+2EWfqfO1YwaCfgCAuna65UvBb5O8pCB+QNTaOScGNPMxnry9TzLS7&#10;8A+dt6ESEcI+QwUmhDaT0peGLPq+a4mj9+c6iyHKrpK6w0uE20Z+JMlIWqw5LhhsaWGoPG5PVkF+&#10;KL4XX7kp0nQVaLObLN2+PCrVexsknyACXcMz/GivtYLhGP6/x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ZHvb4A&#10;AADbAAAADwAAAAAAAAABACAAAAAiAAAAZHJzL2Rvd25yZXYueG1sUEsBAhQAFAAAAAgAh07iQDMv&#10;BZ47AAAAOQAAABAAAAAAAAAAAQAgAAAADQEAAGRycy9zaGFwZXhtbC54bWxQSwUGAAAAAAYABgBb&#10;AQAAtwMAAAAA&#10;" adj="20904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</v:group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W w:w="9923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707"/>
      <w:gridCol w:w="4216"/>
    </w:tblGrid>
    <w:tr w14:paraId="68D166F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97" w:hRule="atLeast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2</w:t>
          </w:r>
        </w:p>
        <w:p w14:paraId="67F7BED4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>
    <w:pPr>
      <w:pStyle w:val="15"/>
      <w:tabs>
        <w:tab w:val="left" w:pos="8122"/>
        <w:tab w:val="clear" w:pos="4419"/>
        <w:tab w:val="clear" w:pos="8838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86"/>
      <w:gridCol w:w="6126"/>
      <w:gridCol w:w="3390"/>
    </w:tblGrid>
    <w:tr w14:paraId="284D07F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3B340650">
          <w:pPr>
            <w:spacing w:after="0" w:line="240" w:lineRule="auto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/>
              <w:b/>
              <w:sz w:val="30"/>
              <w:szCs w:val="30"/>
              <w:lang w:eastAsia="es-CL"/>
            </w:rPr>
            <w:drawing>
              <wp:inline distT="0" distB="0" distL="0" distR="0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>
          <w:pPr>
            <w:spacing w:after="0" w:line="240" w:lineRule="auto"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>
          <w:pPr>
            <w:spacing w:after="0" w:line="240" w:lineRule="auto"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63860A7B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/>
              <w:b/>
              <w:sz w:val="30"/>
              <w:szCs w:val="30"/>
              <w:lang w:eastAsia="es-CL"/>
            </w:rPr>
            <w:drawing>
              <wp:inline distT="0" distB="0" distL="0" distR="0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>
    <w:pPr>
      <w:pStyle w:val="15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EF83767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8B12A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3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8">
    <w:name w:val="caption"/>
    <w:basedOn w:val="1"/>
    <w:next w:val="1"/>
    <w:unhideWhenUsed/>
    <w:qFormat/>
    <w:uiPriority w:val="35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  <w14:textFill>
        <w14:solidFill>
          <w14:schemeClr w14:val="accent1"/>
        </w14:solidFill>
      </w14:textFill>
    </w:rPr>
  </w:style>
  <w:style w:type="character" w:styleId="9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36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37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9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styleId="13">
    <w:name w:val="footnote reference"/>
    <w:basedOn w:val="5"/>
    <w:unhideWhenUsed/>
    <w:qFormat/>
    <w:uiPriority w:val="0"/>
    <w:rPr>
      <w:vertAlign w:val="superscript"/>
    </w:rPr>
  </w:style>
  <w:style w:type="paragraph" w:styleId="14">
    <w:name w:val="footnote text"/>
    <w:basedOn w:val="1"/>
    <w:link w:val="49"/>
    <w:semiHidden/>
    <w:unhideWhenUsed/>
    <w:qFormat/>
    <w:uiPriority w:val="99"/>
    <w:pPr>
      <w:spacing w:after="0" w:line="240" w:lineRule="auto"/>
    </w:pPr>
    <w:rPr>
      <w:sz w:val="20"/>
      <w:szCs w:val="20"/>
      <w:lang w:val="es-ES"/>
    </w:rPr>
  </w:style>
  <w:style w:type="paragraph" w:styleId="15">
    <w:name w:val="header"/>
    <w:basedOn w:val="1"/>
    <w:link w:val="28"/>
    <w:unhideWhenUsed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character" w:styleId="1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18">
    <w:name w:val="Strong"/>
    <w:basedOn w:val="5"/>
    <w:qFormat/>
    <w:uiPriority w:val="22"/>
    <w:rPr>
      <w:b/>
      <w:bCs/>
    </w:rPr>
  </w:style>
  <w:style w:type="paragraph" w:styleId="19">
    <w:name w:val="Subtitle"/>
    <w:basedOn w:val="1"/>
    <w:next w:val="1"/>
    <w:link w:val="40"/>
    <w:unhideWhenUsed/>
    <w:qFormat/>
    <w:uiPriority w:val="19"/>
    <w:p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styleId="20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2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3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24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25">
    <w:name w:val="No Spacing"/>
    <w:link w:val="26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character" w:customStyle="1" w:styleId="26">
    <w:name w:val="Sin espaciado Car"/>
    <w:basedOn w:val="5"/>
    <w:link w:val="25"/>
    <w:qFormat/>
    <w:uiPriority w:val="1"/>
    <w:rPr>
      <w:rFonts w:eastAsiaTheme="minorEastAsia"/>
      <w:lang w:eastAsia="es-CL"/>
    </w:rPr>
  </w:style>
  <w:style w:type="character" w:customStyle="1" w:styleId="27">
    <w:name w:val="Título Car"/>
    <w:basedOn w:val="5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Encabezado Car"/>
    <w:basedOn w:val="5"/>
    <w:link w:val="15"/>
    <w:uiPriority w:val="0"/>
  </w:style>
  <w:style w:type="character" w:customStyle="1" w:styleId="29">
    <w:name w:val="Pie de página Car"/>
    <w:basedOn w:val="5"/>
    <w:link w:val="12"/>
    <w:qFormat/>
    <w:uiPriority w:val="99"/>
  </w:style>
  <w:style w:type="table" w:customStyle="1" w:styleId="30">
    <w:name w:val="Tabla normal 11"/>
    <w:basedOn w:val="6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1">
    <w:name w:val="List Paragraph"/>
    <w:basedOn w:val="1"/>
    <w:link w:val="46"/>
    <w:qFormat/>
    <w:uiPriority w:val="34"/>
    <w:pPr>
      <w:ind w:left="720"/>
      <w:contextualSpacing/>
    </w:pPr>
  </w:style>
  <w:style w:type="character" w:customStyle="1" w:styleId="32">
    <w:name w:val="Texto de globo Car"/>
    <w:basedOn w:val="5"/>
    <w:link w:val="7"/>
    <w:semiHidden/>
    <w:uiPriority w:val="99"/>
    <w:rPr>
      <w:rFonts w:ascii="Segoe UI" w:hAnsi="Segoe UI" w:cs="Segoe UI"/>
      <w:sz w:val="18"/>
      <w:szCs w:val="18"/>
    </w:rPr>
  </w:style>
  <w:style w:type="character" w:customStyle="1" w:styleId="33">
    <w:name w:val="Título 1 Car"/>
    <w:basedOn w:val="5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4">
    <w:name w:val="Título 2 Car"/>
    <w:basedOn w:val="5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5">
    <w:name w:val="Título 3 Car"/>
    <w:basedOn w:val="5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36">
    <w:name w:val="Texto comentario Car"/>
    <w:basedOn w:val="5"/>
    <w:link w:val="10"/>
    <w:uiPriority w:val="99"/>
    <w:rPr>
      <w:sz w:val="20"/>
      <w:szCs w:val="20"/>
    </w:rPr>
  </w:style>
  <w:style w:type="character" w:customStyle="1" w:styleId="37">
    <w:name w:val="Asunto del comentario Car"/>
    <w:basedOn w:val="36"/>
    <w:link w:val="11"/>
    <w:semiHidden/>
    <w:uiPriority w:val="99"/>
    <w:rPr>
      <w:b/>
      <w:bCs/>
      <w:sz w:val="20"/>
      <w:szCs w:val="20"/>
    </w:rPr>
  </w:style>
  <w:style w:type="table" w:customStyle="1" w:styleId="38">
    <w:name w:val="Tabla con cuadrícula 1 clara - Énfasis 11"/>
    <w:basedOn w:val="6"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9">
    <w:name w:val="Mención sin resolver1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40">
    <w:name w:val="Subtítulo Car"/>
    <w:basedOn w:val="5"/>
    <w:link w:val="19"/>
    <w:uiPriority w:val="19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customStyle="1" w:styleId="41">
    <w:name w:val="Tabla financiera"/>
    <w:basedOn w:val="6"/>
    <w:uiPriority w:val="99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D8D8D8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42">
    <w:name w:val="Plain Table 5"/>
    <w:basedOn w:val="6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3">
    <w:name w:val="List Table 2 Accent 5"/>
    <w:basedOn w:val="6"/>
    <w:qFormat/>
    <w:uiPriority w:val="47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44">
    <w:name w:val="3CBD5A742C28424DA5172AD252E32316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paragraph" w:customStyle="1" w:styleId="45">
    <w:name w:val="TOC Heading"/>
    <w:basedOn w:val="2"/>
    <w:next w:val="1"/>
    <w:unhideWhenUsed/>
    <w:qFormat/>
    <w:uiPriority w:val="39"/>
    <w:pPr>
      <w:outlineLvl w:val="9"/>
    </w:pPr>
    <w:rPr>
      <w:lang w:eastAsia="es-CL"/>
    </w:rPr>
  </w:style>
  <w:style w:type="character" w:customStyle="1" w:styleId="46">
    <w:name w:val="Párrafo de lista Car"/>
    <w:link w:val="31"/>
    <w:qFormat/>
    <w:uiPriority w:val="34"/>
  </w:style>
  <w:style w:type="paragraph" w:styleId="47">
    <w:name w:val="Intense Quote"/>
    <w:basedOn w:val="1"/>
    <w:next w:val="1"/>
    <w:link w:val="48"/>
    <w:qFormat/>
    <w:uiPriority w:val="30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8">
    <w:name w:val="Cita destacada Car"/>
    <w:basedOn w:val="5"/>
    <w:link w:val="47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9">
    <w:name w:val="Texto nota pie Car"/>
    <w:basedOn w:val="5"/>
    <w:link w:val="14"/>
    <w:semiHidden/>
    <w:qFormat/>
    <w:uiPriority w:val="99"/>
    <w:rPr>
      <w:sz w:val="20"/>
      <w:szCs w:val="20"/>
      <w:lang w:val="es-ES"/>
    </w:rPr>
  </w:style>
  <w:style w:type="character" w:customStyle="1" w:styleId="50">
    <w:name w:val="normaltextrun"/>
    <w:basedOn w:val="5"/>
    <w:qFormat/>
    <w:uiPriority w:val="0"/>
  </w:style>
  <w:style w:type="paragraph" w:customStyle="1" w:styleId="5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CL" w:eastAsia="en-US" w:bidi="ar-SA"/>
    </w:rPr>
  </w:style>
  <w:style w:type="table" w:customStyle="1" w:styleId="52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3">
    <w:name w:val="Cuadrícula de tabla clara1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4">
    <w:name w:val="m_4042760116434134222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customStyle="1" w:styleId="5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5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/>
</ds:datastoreItem>
</file>

<file path=customXml/itemProps3.xml><?xml version="1.0" encoding="utf-8"?>
<ds:datastoreItem xmlns:ds="http://schemas.openxmlformats.org/officeDocument/2006/customXml" ds:itemID="{5F1783E3-BA1C-4CA3-8E32-C9B378BBED03}">
  <ds:schemaRefs/>
</ds:datastoreItem>
</file>

<file path=customXml/itemProps4.xml><?xml version="1.0" encoding="utf-8"?>
<ds:datastoreItem xmlns:ds="http://schemas.openxmlformats.org/officeDocument/2006/customXml" ds:itemID="{DABAA964-10BA-4DBC-ABF2-CDEAC0FAF7AA}">
  <ds:schemaRefs/>
</ds:datastoreItem>
</file>

<file path=customXml/itemProps5.xml><?xml version="1.0" encoding="utf-8"?>
<ds:datastoreItem xmlns:ds="http://schemas.openxmlformats.org/officeDocument/2006/customXml" ds:itemID="{FBD61725-A60E-40F3-AB5D-0E7F797DD7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Wal-Mart Stores, Inc.</Company>
  <Pages>3</Pages>
  <Words>950</Words>
  <Characters>5529</Characters>
  <Lines>10</Lines>
  <Paragraphs>3</Paragraphs>
  <TotalTime>10</TotalTime>
  <ScaleCrop>false</ScaleCrop>
  <LinksUpToDate>false</LinksUpToDate>
  <CharactersWithSpaces>6464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cp:lastModifiedBy>Leonel González</cp:lastModifiedBy>
  <cp:lastPrinted>2019-12-16T20:10:00Z</cp:lastPrinted>
  <dcterms:modified xsi:type="dcterms:W3CDTF">2026-09-28T00:59:54Z</dcterms:modified>
  <dc:title>AsignaturaPortafolioTitulo_APT2.0</dc:title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TemplateDocerSaveRecord">
    <vt:lpwstr>eyJoZGlkIjoiM2U0OTMzZjE3YmU3YWQ5YWRkMGNmY2MzNTZlNTY1MGMiLCJ1c2VySWQiOiIxNjY2ODc0NjU1MjAyIn0=</vt:lpwstr>
  </property>
  <property fmtid="{D5CDD505-2E9C-101B-9397-08002B2CF9AE}" pid="5" name="KSOProductBuildVer">
    <vt:lpwstr>1033-12.1.0.28485</vt:lpwstr>
  </property>
  <property fmtid="{D5CDD505-2E9C-101B-9397-08002B2CF9AE}" pid="6" name="ICV">
    <vt:lpwstr>0E590835B02942B4A2F9F5D4A72F5067_12</vt:lpwstr>
  </property>
</Properties>
</file>