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140"/>
      </w:pPr>
      <w:r>
        <w:rPr>
          <w:rFonts w:ascii="Aptos" w:hAnsi="Aptos"/>
          <w:b/>
          <w:i w:val="0"/>
          <w:color w:val="2457D6"/>
          <w:sz w:val="27"/>
        </w:rPr>
        <w:t>REPORTE DE ANÁLISIS FUNCIONAL</w:t>
      </w:r>
    </w:p>
    <w:p>
      <w:pPr>
        <w:spacing w:after="80"/>
      </w:pPr>
      <w:r>
        <w:rPr>
          <w:rFonts w:ascii="Aptos Display" w:hAnsi="Aptos Display"/>
          <w:b/>
          <w:i w:val="0"/>
          <w:color w:val="16324F"/>
          <w:sz w:val="51"/>
        </w:rPr>
        <w:t>Salud Visual, Óptica y procesos relacionados</w:t>
      </w:r>
    </w:p>
    <w:p>
      <w:pPr>
        <w:spacing w:after="360"/>
      </w:pPr>
      <w:r>
        <w:rPr>
          <w:rFonts w:ascii="Aptos" w:hAnsi="Aptos"/>
          <w:b/>
          <w:i w:val="0"/>
          <w:color w:val="1D2939"/>
          <w:sz w:val="28"/>
        </w:rPr>
        <w:t>CSA Platform · Referencias funcionales para Sprint 2</w:t>
      </w:r>
    </w:p>
    <w:tbl>
      <w:tblPr>
        <w:tblW w:type="auto" w:w="0"/>
        <w:tblLook w:firstColumn="1" w:firstRow="1" w:lastColumn="0" w:lastRow="0" w:noHBand="0" w:noVBand="1" w:val="04A0"/>
      </w:tblPr>
      <w:tblGrid>
        <w:gridCol w:w="10166"/>
      </w:tblGrid>
      <w:tr>
        <w:tc>
          <w:tcPr>
            <w:tcW w:type="dxa" w:w="10166"/>
            <w:shd w:fill="2457D6"/>
          </w:tcPr>
          <w:p>
            <w:pPr>
              <w:spacing w:after="0"/>
            </w:pPr>
            <w:r>
              <w:t xml:space="preserve"> </w:t>
            </w:r>
          </w:p>
        </w:tc>
      </w:tr>
    </w:tbl>
    <w:p/>
    <w:tbl>
      <w:tblPr>
        <w:tblW w:type="auto" w:w="0"/>
        <w:jc w:val="center"/>
        <w:tblLook w:firstColumn="1" w:firstRow="1" w:lastColumn="0" w:lastRow="0" w:noHBand="0" w:noVBand="1" w:val="04A0"/>
      </w:tblPr>
      <w:tblGrid>
        <w:gridCol w:w="5083"/>
        <w:gridCol w:w="5083"/>
      </w:tblGrid>
      <w:tr>
        <w:tc>
          <w:tcPr>
            <w:tcW w:type="dxa" w:w="5083"/>
            <w:shd w:fill="F6F8FB"/>
            <w:tcMar>
              <w:top w:w="70" w:type="dxa"/>
              <w:start w:w="85" w:type="dxa"/>
              <w:bottom w:w="70" w:type="dxa"/>
              <w:end w:w="85" w:type="dxa"/>
            </w:tcMar>
            <w:vAlign w:val="center"/>
          </w:tcPr>
          <w:p>
            <w:r>
              <w:rPr>
                <w:rFonts w:ascii="Aptos" w:hAnsi="Aptos"/>
                <w:b/>
                <w:i w:val="0"/>
                <w:color w:val="16324F"/>
                <w:sz w:val="18"/>
              </w:rPr>
              <w:t>Proyecto</w:t>
            </w:r>
          </w:p>
        </w:tc>
        <w:tc>
          <w:tcPr>
            <w:tcW w:type="dxa" w:w="5083"/>
            <w:tcMar>
              <w:top w:w="70" w:type="dxa"/>
              <w:start w:w="85" w:type="dxa"/>
              <w:bottom w:w="70" w:type="dxa"/>
              <w:end w:w="85" w:type="dxa"/>
            </w:tcMar>
            <w:vAlign w:val="center"/>
          </w:tcPr>
          <w:p>
            <w:r>
              <w:rPr>
                <w:rFonts w:ascii="Aptos" w:hAnsi="Aptos"/>
                <w:b w:val="0"/>
                <w:i w:val="0"/>
                <w:color w:val="1D2939"/>
                <w:sz w:val="18"/>
              </w:rPr>
              <w:t>CSA Platform</w:t>
            </w:r>
          </w:p>
        </w:tc>
      </w:tr>
      <w:tr>
        <w:tc>
          <w:tcPr>
            <w:tcW w:type="dxa" w:w="5083"/>
            <w:shd w:fill="F6F8FB"/>
            <w:tcMar>
              <w:top w:w="70" w:type="dxa"/>
              <w:start w:w="85" w:type="dxa"/>
              <w:bottom w:w="70" w:type="dxa"/>
              <w:end w:w="85" w:type="dxa"/>
            </w:tcMar>
            <w:vAlign w:val="center"/>
          </w:tcPr>
          <w:p>
            <w:r>
              <w:rPr>
                <w:rFonts w:ascii="Aptos" w:hAnsi="Aptos"/>
                <w:b/>
                <w:i w:val="0"/>
                <w:color w:val="16324F"/>
                <w:sz w:val="18"/>
              </w:rPr>
              <w:t>Empresa</w:t>
            </w:r>
          </w:p>
        </w:tc>
        <w:tc>
          <w:tcPr>
            <w:tcW w:type="dxa" w:w="5083"/>
            <w:tcMar>
              <w:top w:w="70" w:type="dxa"/>
              <w:start w:w="85" w:type="dxa"/>
              <w:bottom w:w="70" w:type="dxa"/>
              <w:end w:w="85" w:type="dxa"/>
            </w:tcMar>
            <w:vAlign w:val="center"/>
          </w:tcPr>
          <w:p>
            <w:r>
              <w:rPr>
                <w:rFonts w:ascii="Aptos" w:hAnsi="Aptos"/>
                <w:b w:val="0"/>
                <w:i w:val="0"/>
                <w:color w:val="1D2939"/>
                <w:sz w:val="18"/>
              </w:rPr>
              <w:t>CSA Salud Integral SpA</w:t>
            </w:r>
          </w:p>
        </w:tc>
      </w:tr>
      <w:tr>
        <w:tc>
          <w:tcPr>
            <w:tcW w:type="dxa" w:w="5083"/>
            <w:shd w:fill="F6F8FB"/>
            <w:tcMar>
              <w:top w:w="70" w:type="dxa"/>
              <w:start w:w="85" w:type="dxa"/>
              <w:bottom w:w="70" w:type="dxa"/>
              <w:end w:w="85" w:type="dxa"/>
            </w:tcMar>
            <w:vAlign w:val="center"/>
          </w:tcPr>
          <w:p>
            <w:r>
              <w:rPr>
                <w:rFonts w:ascii="Aptos" w:hAnsi="Aptos"/>
                <w:b/>
                <w:i w:val="0"/>
                <w:color w:val="16324F"/>
                <w:sz w:val="18"/>
              </w:rPr>
              <w:t>Documento base</w:t>
            </w:r>
          </w:p>
        </w:tc>
        <w:tc>
          <w:tcPr>
            <w:tcW w:type="dxa" w:w="5083"/>
            <w:tcMar>
              <w:top w:w="70" w:type="dxa"/>
              <w:start w:w="85" w:type="dxa"/>
              <w:bottom w:w="70" w:type="dxa"/>
              <w:end w:w="85" w:type="dxa"/>
            </w:tcMar>
            <w:vAlign w:val="center"/>
          </w:tcPr>
          <w:p>
            <w:r>
              <w:rPr>
                <w:rFonts w:ascii="Aptos" w:hAnsi="Aptos"/>
                <w:b w:val="0"/>
                <w:i w:val="0"/>
                <w:color w:val="1D2939"/>
                <w:sz w:val="18"/>
              </w:rPr>
              <w:t>Objetivo Semanal Nº 4 · Sprint 2</w:t>
            </w:r>
          </w:p>
        </w:tc>
      </w:tr>
      <w:tr>
        <w:tc>
          <w:tcPr>
            <w:tcW w:type="dxa" w:w="5083"/>
            <w:shd w:fill="F6F8FB"/>
            <w:tcMar>
              <w:top w:w="70" w:type="dxa"/>
              <w:start w:w="85" w:type="dxa"/>
              <w:bottom w:w="70" w:type="dxa"/>
              <w:end w:w="85" w:type="dxa"/>
            </w:tcMar>
            <w:vAlign w:val="center"/>
          </w:tcPr>
          <w:p>
            <w:r>
              <w:rPr>
                <w:rFonts w:ascii="Aptos" w:hAnsi="Aptos"/>
                <w:b/>
                <w:i w:val="0"/>
                <w:color w:val="16324F"/>
                <w:sz w:val="18"/>
              </w:rPr>
              <w:t>Periodo de análisis</w:t>
            </w:r>
          </w:p>
        </w:tc>
        <w:tc>
          <w:tcPr>
            <w:tcW w:type="dxa" w:w="5083"/>
            <w:tcMar>
              <w:top w:w="70" w:type="dxa"/>
              <w:start w:w="85" w:type="dxa"/>
              <w:bottom w:w="70" w:type="dxa"/>
              <w:end w:w="85" w:type="dxa"/>
            </w:tcMar>
            <w:vAlign w:val="center"/>
          </w:tcPr>
          <w:p>
            <w:r>
              <w:rPr>
                <w:rFonts w:ascii="Aptos" w:hAnsi="Aptos"/>
                <w:b w:val="0"/>
                <w:i w:val="0"/>
                <w:color w:val="1D2939"/>
                <w:sz w:val="18"/>
              </w:rPr>
              <w:t>Semana del 21 al 25 de septiembre de 2026</w:t>
            </w:r>
          </w:p>
        </w:tc>
      </w:tr>
      <w:tr>
        <w:tc>
          <w:tcPr>
            <w:tcW w:type="dxa" w:w="5083"/>
            <w:shd w:fill="F6F8FB"/>
            <w:tcMar>
              <w:top w:w="70" w:type="dxa"/>
              <w:start w:w="85" w:type="dxa"/>
              <w:bottom w:w="70" w:type="dxa"/>
              <w:end w:w="85" w:type="dxa"/>
            </w:tcMar>
            <w:vAlign w:val="center"/>
          </w:tcPr>
          <w:p>
            <w:r>
              <w:rPr>
                <w:rFonts w:ascii="Aptos" w:hAnsi="Aptos"/>
                <w:b/>
                <w:i w:val="0"/>
                <w:color w:val="16324F"/>
                <w:sz w:val="18"/>
              </w:rPr>
              <w:t>Propósito</w:t>
            </w:r>
          </w:p>
        </w:tc>
        <w:tc>
          <w:tcPr>
            <w:tcW w:type="dxa" w:w="5083"/>
            <w:tcMar>
              <w:top w:w="70" w:type="dxa"/>
              <w:start w:w="85" w:type="dxa"/>
              <w:bottom w:w="70" w:type="dxa"/>
              <w:end w:w="85" w:type="dxa"/>
            </w:tcMar>
            <w:vAlign w:val="center"/>
          </w:tcPr>
          <w:p>
            <w:r>
              <w:rPr>
                <w:rFonts w:ascii="Aptos" w:hAnsi="Aptos"/>
                <w:b w:val="0"/>
                <w:i w:val="0"/>
                <w:color w:val="1D2939"/>
                <w:sz w:val="18"/>
              </w:rPr>
              <w:t>Consolidar hallazgos de los softwares actuales y orientar la implementación sin replicarlos literalmente.</w:t>
            </w:r>
          </w:p>
        </w:tc>
      </w:tr>
    </w:tbl>
    <w:p/>
    <w:tbl>
      <w:tblPr>
        <w:tblW w:type="auto" w:w="0"/>
        <w:jc w:val="center"/>
        <w:tblLook w:firstColumn="1" w:firstRow="1" w:lastColumn="0" w:lastRow="0" w:noHBand="0" w:noVBand="1" w:val="04A0"/>
      </w:tblPr>
      <w:tblGrid>
        <w:gridCol w:w="10166"/>
      </w:tblGrid>
      <w:tr>
        <w:tc>
          <w:tcPr>
            <w:tcW w:type="dxa" w:w="10166"/>
            <w:shd w:fill="E8F5EC"/>
            <w:tcMar>
              <w:top w:w="95" w:type="dxa"/>
              <w:start w:w="120" w:type="dxa"/>
              <w:bottom w:w="95" w:type="dxa"/>
              <w:end w:w="120" w:type="dxa"/>
            </w:tcMar>
          </w:tcPr>
          <w:p>
            <w:pPr>
              <w:spacing w:after="0"/>
            </w:pPr>
            <w:r>
              <w:rPr>
                <w:rFonts w:ascii="Aptos" w:hAnsi="Aptos"/>
                <w:b/>
                <w:i w:val="0"/>
                <w:color w:val="16324F"/>
                <w:sz w:val="19"/>
              </w:rPr>
              <w:t xml:space="preserve">Criterio de análisis: </w:t>
            </w:r>
            <w:r>
              <w:rPr>
                <w:rFonts w:ascii="Aptos" w:hAnsi="Aptos"/>
                <w:b w:val="0"/>
                <w:i w:val="0"/>
                <w:color w:val="1D2939"/>
                <w:sz w:val="19"/>
              </w:rPr>
              <w:t>Los videos se utilizan como referencia funcional para comprender procesos, datos, automatizaciones y controles valorados por CSA. No se plantea copiar pantalla por pantalla los sistemas actuales, sino trasladar sus necesidades a la arquitectura modular de CSA Platform.</w:t>
            </w:r>
          </w:p>
        </w:tc>
      </w:tr>
    </w:tbl>
    <w:p>
      <w:pPr>
        <w:spacing w:after="0"/>
      </w:pPr>
    </w:p>
    <w:p>
      <w:r>
        <w:br w:type="page"/>
      </w:r>
    </w:p>
    <w:p>
      <w:pPr>
        <w:pStyle w:val="Heading1"/>
        <w:spacing w:before="160" w:after="80"/>
        <w:keepNext/>
      </w:pPr>
      <w:r>
        <w:t>1. Material revisado y objetivo del análisis</w:t>
      </w:r>
    </w:p>
    <w:p>
      <w:pPr>
        <w:spacing w:before="0" w:after="100" w:line="252" w:lineRule="auto"/>
      </w:pPr>
      <w:r>
        <w:rPr>
          <w:rFonts w:ascii="Aptos" w:hAnsi="Aptos"/>
          <w:b w:val="0"/>
          <w:i w:val="0"/>
          <w:color w:val="1D2939"/>
          <w:sz w:val="20"/>
        </w:rPr>
        <w:t>El análisis consolidó el Objetivo Semanal Nº 4 y los videos de referencia entregados por CSA sobre operativos oftalmológicos, Salud Visual y el software Vezplus utilizado en Óptica. El propósito fue identificar el flujo real del negocio, las reglas que evitan errores, los datos que deben conservarse y las funcionalidades que conviene trasladar progresivamente a CSA Platform.</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6324F"/>
          </w:tcPr>
          <w:p>
            <w:r>
              <w:rPr>
                <w:rFonts w:ascii="Aptos" w:hAnsi="Aptos"/>
                <w:b/>
                <w:i w:val="0"/>
                <w:color w:val="FFFFFF"/>
                <w:sz w:val="18"/>
              </w:rPr>
              <w:t>Referencia</w:t>
            </w:r>
          </w:p>
        </w:tc>
        <w:tc>
          <w:tcPr>
            <w:tcW w:type="dxa" w:w="5083"/>
            <w:shd w:fill="16324F"/>
          </w:tcPr>
          <w:p>
            <w:r>
              <w:rPr>
                <w:rFonts w:ascii="Aptos" w:hAnsi="Aptos"/>
                <w:b/>
                <w:i w:val="0"/>
                <w:color w:val="FFFFFF"/>
                <w:sz w:val="18"/>
              </w:rPr>
              <w:t>Aporte principal</w:t>
            </w:r>
          </w:p>
        </w:tc>
      </w:tr>
      <w:tr>
        <w:tc>
          <w:tcPr>
            <w:tcW w:type="dxa" w:w="5083"/>
            <w:tcMar>
              <w:top w:w="70" w:type="dxa"/>
              <w:start w:w="85" w:type="dxa"/>
              <w:bottom w:w="70" w:type="dxa"/>
              <w:end w:w="85" w:type="dxa"/>
            </w:tcMar>
          </w:tcPr>
          <w:p>
            <w:r>
              <w:rPr>
                <w:rFonts w:ascii="Aptos" w:hAnsi="Aptos"/>
                <w:b w:val="0"/>
                <w:i w:val="0"/>
                <w:color w:val="1D2939"/>
                <w:sz w:val="18"/>
              </w:rPr>
              <w:t>Objetivo Semanal Nº 4</w:t>
            </w:r>
          </w:p>
        </w:tc>
        <w:tc>
          <w:tcPr>
            <w:tcW w:type="dxa" w:w="5083"/>
            <w:tcMar>
              <w:top w:w="70" w:type="dxa"/>
              <w:start w:w="85" w:type="dxa"/>
              <w:bottom w:w="70" w:type="dxa"/>
              <w:end w:w="85" w:type="dxa"/>
            </w:tcMar>
          </w:tcPr>
          <w:p>
            <w:r>
              <w:rPr>
                <w:rFonts w:ascii="Aptos" w:hAnsi="Aptos"/>
                <w:b w:val="0"/>
                <w:i w:val="0"/>
                <w:color w:val="1D2939"/>
                <w:sz w:val="18"/>
              </w:rPr>
              <w:t>Define el flujo mínimo demostrable: paciente → atención de Salud Visual → receta → persistencia → consulta, además de RBAC y Google Workspace.</w:t>
            </w:r>
          </w:p>
        </w:tc>
      </w:tr>
      <w:tr>
        <w:tc>
          <w:tcPr>
            <w:tcW w:type="dxa" w:w="5083"/>
            <w:tcMar>
              <w:top w:w="70" w:type="dxa"/>
              <w:start w:w="85" w:type="dxa"/>
              <w:bottom w:w="70" w:type="dxa"/>
              <w:end w:w="85" w:type="dxa"/>
            </w:tcMar>
          </w:tcPr>
          <w:p>
            <w:r>
              <w:rPr>
                <w:rFonts w:ascii="Aptos" w:hAnsi="Aptos"/>
                <w:b w:val="0"/>
                <w:i w:val="0"/>
                <w:color w:val="1D2939"/>
                <w:sz w:val="18"/>
              </w:rPr>
              <w:t>Operativos oftalmológicos</w:t>
            </w:r>
          </w:p>
        </w:tc>
        <w:tc>
          <w:tcPr>
            <w:tcW w:type="dxa" w:w="5083"/>
            <w:tcMar>
              <w:top w:w="70" w:type="dxa"/>
              <w:start w:w="85" w:type="dxa"/>
              <w:bottom w:w="70" w:type="dxa"/>
              <w:end w:w="85" w:type="dxa"/>
            </w:tcMar>
          </w:tcPr>
          <w:p>
            <w:r>
              <w:rPr>
                <w:rFonts w:ascii="Aptos" w:hAnsi="Aptos"/>
                <w:b w:val="0"/>
                <w:i w:val="0"/>
                <w:color w:val="1D2939"/>
                <w:sz w:val="18"/>
              </w:rPr>
              <w:t>Muestra inscripción, screening, ficha oftalmológica, receta y generación de PDF.</w:t>
            </w:r>
          </w:p>
        </w:tc>
      </w:tr>
      <w:tr>
        <w:tc>
          <w:tcPr>
            <w:tcW w:type="dxa" w:w="5083"/>
            <w:tcMar>
              <w:top w:w="70" w:type="dxa"/>
              <w:start w:w="85" w:type="dxa"/>
              <w:bottom w:w="70" w:type="dxa"/>
              <w:end w:w="85" w:type="dxa"/>
            </w:tcMar>
          </w:tcPr>
          <w:p>
            <w:r>
              <w:rPr>
                <w:rFonts w:ascii="Aptos" w:hAnsi="Aptos"/>
                <w:b w:val="0"/>
                <w:i w:val="0"/>
                <w:color w:val="1D2939"/>
                <w:sz w:val="18"/>
              </w:rPr>
              <w:t>Vezplus – Partes 1 a 3</w:t>
            </w:r>
          </w:p>
        </w:tc>
        <w:tc>
          <w:tcPr>
            <w:tcW w:type="dxa" w:w="5083"/>
            <w:tcMar>
              <w:top w:w="70" w:type="dxa"/>
              <w:start w:w="85" w:type="dxa"/>
              <w:bottom w:w="70" w:type="dxa"/>
              <w:end w:w="85" w:type="dxa"/>
            </w:tcMar>
          </w:tcPr>
          <w:p>
            <w:r>
              <w:rPr>
                <w:rFonts w:ascii="Aptos" w:hAnsi="Aptos"/>
                <w:b w:val="0"/>
                <w:i w:val="0"/>
                <w:color w:val="1D2939"/>
                <w:sz w:val="18"/>
              </w:rPr>
              <w:t>Muestra OT, armazones, cristales, pagos, validaciones, impresión y reportes de venta/conversión.</w:t>
            </w:r>
          </w:p>
        </w:tc>
      </w:tr>
      <w:tr>
        <w:tc>
          <w:tcPr>
            <w:tcW w:type="dxa" w:w="5083"/>
            <w:tcMar>
              <w:top w:w="70" w:type="dxa"/>
              <w:start w:w="85" w:type="dxa"/>
              <w:bottom w:w="70" w:type="dxa"/>
              <w:end w:w="85" w:type="dxa"/>
            </w:tcMar>
          </w:tcPr>
          <w:p>
            <w:r>
              <w:rPr>
                <w:rFonts w:ascii="Aptos" w:hAnsi="Aptos"/>
                <w:b w:val="0"/>
                <w:i w:val="0"/>
                <w:color w:val="1D2939"/>
                <w:sz w:val="18"/>
              </w:rPr>
              <w:t>CSA Salud Visual – Carol</w:t>
            </w:r>
          </w:p>
        </w:tc>
        <w:tc>
          <w:tcPr>
            <w:tcW w:type="dxa" w:w="5083"/>
            <w:tcMar>
              <w:top w:w="70" w:type="dxa"/>
              <w:start w:w="85" w:type="dxa"/>
              <w:bottom w:w="70" w:type="dxa"/>
              <w:end w:w="85" w:type="dxa"/>
            </w:tcMar>
          </w:tcPr>
          <w:p>
            <w:r>
              <w:rPr>
                <w:rFonts w:ascii="Aptos" w:hAnsi="Aptos"/>
                <w:b w:val="0"/>
                <w:i w:val="0"/>
                <w:color w:val="1D2939"/>
                <w:sz w:val="18"/>
              </w:rPr>
              <w:t>Aclara funcionalidades deseadas: equipo por operativo, documentos clínicos, automatizaciones, retinografía, calendario, KPIs y exportación Excel.</w:t>
            </w:r>
          </w:p>
        </w:tc>
      </w:tr>
    </w:tbl>
    <w:p>
      <w:pPr>
        <w:pStyle w:val="Heading1"/>
        <w:spacing w:before="160" w:after="80"/>
        <w:keepNext/>
      </w:pPr>
      <w:r>
        <w:t>2. Flujo funcional consolidado</w:t>
      </w:r>
    </w:p>
    <w:p>
      <w:pPr>
        <w:spacing w:before="0" w:after="100" w:line="252" w:lineRule="auto"/>
      </w:pPr>
      <w:r>
        <w:rPr>
          <w:rFonts w:ascii="Aptos" w:hAnsi="Aptos"/>
          <w:b w:val="0"/>
          <w:i w:val="0"/>
          <w:color w:val="1D2939"/>
          <w:sz w:val="20"/>
        </w:rPr>
        <w:t>La secuencia de negocio observada puede sintetizarse en tres niveles conectados: clínico, óptico/comercial y gestión.</w:t>
      </w:r>
    </w:p>
    <w:tbl>
      <w:tblPr>
        <w:tblW w:type="auto" w:w="0"/>
        <w:jc w:val="center"/>
        <w:tblLook w:firstColumn="1" w:firstRow="1" w:lastColumn="0" w:lastRow="0" w:noHBand="0" w:noVBand="1" w:val="04A0"/>
      </w:tblPr>
      <w:tblGrid>
        <w:gridCol w:w="10166"/>
      </w:tblGrid>
      <w:tr>
        <w:tc>
          <w:tcPr>
            <w:tcW w:type="dxa" w:w="10166"/>
            <w:shd w:fill="F3F6FA"/>
            <w:tcMar>
              <w:top w:w="100" w:type="dxa"/>
              <w:start w:w="120" w:type="dxa"/>
              <w:bottom w:w="100" w:type="dxa"/>
              <w:end w:w="120" w:type="dxa"/>
            </w:tcMar>
          </w:tcPr>
          <w:p>
            <w:pPr>
              <w:spacing w:after="0"/>
              <w:jc w:val="center"/>
            </w:pPr>
            <w:r>
              <w:rPr>
                <w:rFonts w:ascii="Aptos" w:hAnsi="Aptos"/>
                <w:b/>
                <w:i w:val="0"/>
                <w:color w:val="16324F"/>
                <w:sz w:val="19"/>
              </w:rPr>
              <w:t>Operativo  →  Paciente  →  Screening  →  Atención Salud Visual  →  Receta óptica  →  Óptica  →  OT  →  Venta / Pago</w:t>
            </w:r>
          </w:p>
        </w:tc>
      </w:tr>
    </w:tbl>
    <w:p>
      <w:pPr>
        <w:spacing w:after="0"/>
      </w:pP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2457D6"/>
          </w:tcPr>
          <w:p>
            <w:r>
              <w:rPr>
                <w:rFonts w:ascii="Aptos" w:hAnsi="Aptos"/>
                <w:b/>
                <w:i w:val="0"/>
                <w:color w:val="FFFFFF"/>
                <w:sz w:val="18"/>
              </w:rPr>
              <w:t>Nivel clínico</w:t>
            </w:r>
          </w:p>
        </w:tc>
        <w:tc>
          <w:tcPr>
            <w:tcW w:type="dxa" w:w="3389"/>
            <w:shd w:fill="2457D6"/>
          </w:tcPr>
          <w:p>
            <w:r>
              <w:rPr>
                <w:rFonts w:ascii="Aptos" w:hAnsi="Aptos"/>
                <w:b/>
                <w:i w:val="0"/>
                <w:color w:val="FFFFFF"/>
                <w:sz w:val="18"/>
              </w:rPr>
              <w:t>Nivel óptico/comercial</w:t>
            </w:r>
          </w:p>
        </w:tc>
        <w:tc>
          <w:tcPr>
            <w:tcW w:type="dxa" w:w="3389"/>
            <w:shd w:fill="2457D6"/>
          </w:tcPr>
          <w:p>
            <w:r>
              <w:rPr>
                <w:rFonts w:ascii="Aptos" w:hAnsi="Aptos"/>
                <w:b/>
                <w:i w:val="0"/>
                <w:color w:val="FFFFFF"/>
                <w:sz w:val="18"/>
              </w:rPr>
              <w:t>Nivel de gestión</w:t>
            </w:r>
          </w:p>
        </w:tc>
      </w:tr>
      <w:tr>
        <w:tc>
          <w:tcPr>
            <w:tcW w:type="dxa" w:w="3389"/>
            <w:tcMar>
              <w:top w:w="70" w:type="dxa"/>
              <w:start w:w="85" w:type="dxa"/>
              <w:bottom w:w="70" w:type="dxa"/>
              <w:end w:w="85" w:type="dxa"/>
            </w:tcMar>
          </w:tcPr>
          <w:p>
            <w:r>
              <w:rPr>
                <w:rFonts w:ascii="Aptos" w:hAnsi="Aptos"/>
                <w:b w:val="0"/>
                <w:i w:val="0"/>
                <w:color w:val="1D2939"/>
                <w:sz w:val="17"/>
              </w:rPr>
              <w:t>Paciente único y ficha longitudinal</w:t>
            </w:r>
          </w:p>
        </w:tc>
        <w:tc>
          <w:tcPr>
            <w:tcW w:type="dxa" w:w="3389"/>
            <w:tcMar>
              <w:top w:w="70" w:type="dxa"/>
              <w:start w:w="85" w:type="dxa"/>
              <w:bottom w:w="70" w:type="dxa"/>
              <w:end w:w="85" w:type="dxa"/>
            </w:tcMar>
          </w:tcPr>
          <w:p>
            <w:r>
              <w:rPr>
                <w:rFonts w:ascii="Aptos" w:hAnsi="Aptos"/>
                <w:b w:val="0"/>
                <w:i w:val="0"/>
                <w:color w:val="1D2939"/>
                <w:sz w:val="17"/>
              </w:rPr>
              <w:t>Reutilización de receta</w:t>
            </w:r>
          </w:p>
        </w:tc>
        <w:tc>
          <w:tcPr>
            <w:tcW w:type="dxa" w:w="3389"/>
            <w:tcMar>
              <w:top w:w="70" w:type="dxa"/>
              <w:start w:w="85" w:type="dxa"/>
              <w:bottom w:w="70" w:type="dxa"/>
              <w:end w:w="85" w:type="dxa"/>
            </w:tcMar>
          </w:tcPr>
          <w:p>
            <w:r>
              <w:rPr>
                <w:rFonts w:ascii="Aptos" w:hAnsi="Aptos"/>
                <w:b w:val="0"/>
                <w:i w:val="0"/>
                <w:color w:val="1D2939"/>
                <w:sz w:val="17"/>
              </w:rPr>
              <w:t>Calendario de operativos</w:t>
            </w:r>
          </w:p>
        </w:tc>
      </w:tr>
      <w:tr>
        <w:tc>
          <w:tcPr>
            <w:tcW w:type="dxa" w:w="3389"/>
            <w:tcMar>
              <w:top w:w="70" w:type="dxa"/>
              <w:start w:w="85" w:type="dxa"/>
              <w:bottom w:w="70" w:type="dxa"/>
              <w:end w:w="85" w:type="dxa"/>
            </w:tcMar>
          </w:tcPr>
          <w:p>
            <w:r>
              <w:rPr>
                <w:rFonts w:ascii="Aptos" w:hAnsi="Aptos"/>
                <w:b w:val="0"/>
                <w:i w:val="0"/>
                <w:color w:val="1D2939"/>
                <w:sz w:val="17"/>
              </w:rPr>
              <w:t>Screening y antecedentes</w:t>
            </w:r>
          </w:p>
        </w:tc>
        <w:tc>
          <w:tcPr>
            <w:tcW w:type="dxa" w:w="3389"/>
            <w:tcMar>
              <w:top w:w="70" w:type="dxa"/>
              <w:start w:w="85" w:type="dxa"/>
              <w:bottom w:w="70" w:type="dxa"/>
              <w:end w:w="85" w:type="dxa"/>
            </w:tcMar>
          </w:tcPr>
          <w:p>
            <w:r>
              <w:rPr>
                <w:rFonts w:ascii="Aptos" w:hAnsi="Aptos"/>
                <w:b w:val="0"/>
                <w:i w:val="0"/>
                <w:color w:val="1D2939"/>
                <w:sz w:val="17"/>
              </w:rPr>
              <w:t>Orden de Trabajo</w:t>
            </w:r>
          </w:p>
        </w:tc>
        <w:tc>
          <w:tcPr>
            <w:tcW w:type="dxa" w:w="3389"/>
            <w:tcMar>
              <w:top w:w="70" w:type="dxa"/>
              <w:start w:w="85" w:type="dxa"/>
              <w:bottom w:w="70" w:type="dxa"/>
              <w:end w:w="85" w:type="dxa"/>
            </w:tcMar>
          </w:tcPr>
          <w:p>
            <w:r>
              <w:rPr>
                <w:rFonts w:ascii="Aptos" w:hAnsi="Aptos"/>
                <w:b w:val="0"/>
                <w:i w:val="0"/>
                <w:color w:val="1D2939"/>
                <w:sz w:val="17"/>
              </w:rPr>
              <w:t>Dashboard y KPIs</w:t>
            </w:r>
          </w:p>
        </w:tc>
      </w:tr>
      <w:tr>
        <w:tc>
          <w:tcPr>
            <w:tcW w:type="dxa" w:w="3389"/>
            <w:tcMar>
              <w:top w:w="70" w:type="dxa"/>
              <w:start w:w="85" w:type="dxa"/>
              <w:bottom w:w="70" w:type="dxa"/>
              <w:end w:w="85" w:type="dxa"/>
            </w:tcMar>
          </w:tcPr>
          <w:p>
            <w:r>
              <w:rPr>
                <w:rFonts w:ascii="Aptos" w:hAnsi="Aptos"/>
                <w:b w:val="0"/>
                <w:i w:val="0"/>
                <w:color w:val="1D2939"/>
                <w:sz w:val="17"/>
              </w:rPr>
              <w:t>Receta óptica</w:t>
            </w:r>
          </w:p>
        </w:tc>
        <w:tc>
          <w:tcPr>
            <w:tcW w:type="dxa" w:w="3389"/>
            <w:tcMar>
              <w:top w:w="70" w:type="dxa"/>
              <w:start w:w="85" w:type="dxa"/>
              <w:bottom w:w="70" w:type="dxa"/>
              <w:end w:w="85" w:type="dxa"/>
            </w:tcMar>
          </w:tcPr>
          <w:p>
            <w:r>
              <w:rPr>
                <w:rFonts w:ascii="Aptos" w:hAnsi="Aptos"/>
                <w:b w:val="0"/>
                <w:i w:val="0"/>
                <w:color w:val="1D2939"/>
                <w:sz w:val="17"/>
              </w:rPr>
              <w:t>Armazón y cristales</w:t>
            </w:r>
          </w:p>
        </w:tc>
        <w:tc>
          <w:tcPr>
            <w:tcW w:type="dxa" w:w="3389"/>
            <w:tcMar>
              <w:top w:w="70" w:type="dxa"/>
              <w:start w:w="85" w:type="dxa"/>
              <w:bottom w:w="70" w:type="dxa"/>
              <w:end w:w="85" w:type="dxa"/>
            </w:tcMar>
          </w:tcPr>
          <w:p>
            <w:r>
              <w:rPr>
                <w:rFonts w:ascii="Aptos" w:hAnsi="Aptos"/>
                <w:b w:val="0"/>
                <w:i w:val="0"/>
                <w:color w:val="1D2939"/>
                <w:sz w:val="17"/>
              </w:rPr>
              <w:t>Conversión y recaudación</w:t>
            </w:r>
          </w:p>
        </w:tc>
      </w:tr>
      <w:tr>
        <w:tc>
          <w:tcPr>
            <w:tcW w:type="dxa" w:w="3389"/>
            <w:tcMar>
              <w:top w:w="70" w:type="dxa"/>
              <w:start w:w="85" w:type="dxa"/>
              <w:bottom w:w="70" w:type="dxa"/>
              <w:end w:w="85" w:type="dxa"/>
            </w:tcMar>
          </w:tcPr>
          <w:p>
            <w:r>
              <w:rPr>
                <w:rFonts w:ascii="Aptos" w:hAnsi="Aptos"/>
                <w:b w:val="0"/>
                <w:i w:val="0"/>
                <w:color w:val="1D2939"/>
                <w:sz w:val="17"/>
              </w:rPr>
              <w:t>Retinografía / documentos</w:t>
            </w:r>
          </w:p>
        </w:tc>
        <w:tc>
          <w:tcPr>
            <w:tcW w:type="dxa" w:w="3389"/>
            <w:tcMar>
              <w:top w:w="70" w:type="dxa"/>
              <w:start w:w="85" w:type="dxa"/>
              <w:bottom w:w="70" w:type="dxa"/>
              <w:end w:w="85" w:type="dxa"/>
            </w:tcMar>
          </w:tcPr>
          <w:p>
            <w:r>
              <w:rPr>
                <w:rFonts w:ascii="Aptos" w:hAnsi="Aptos"/>
                <w:b w:val="0"/>
                <w:i w:val="0"/>
                <w:color w:val="1D2939"/>
                <w:sz w:val="17"/>
              </w:rPr>
              <w:t>Venta y pagos</w:t>
            </w:r>
          </w:p>
        </w:tc>
        <w:tc>
          <w:tcPr>
            <w:tcW w:type="dxa" w:w="3389"/>
            <w:tcMar>
              <w:top w:w="70" w:type="dxa"/>
              <w:start w:w="85" w:type="dxa"/>
              <w:bottom w:w="70" w:type="dxa"/>
              <w:end w:w="85" w:type="dxa"/>
            </w:tcMar>
          </w:tcPr>
          <w:p>
            <w:r>
              <w:rPr>
                <w:rFonts w:ascii="Aptos" w:hAnsi="Aptos"/>
                <w:b w:val="0"/>
                <w:i w:val="0"/>
                <w:color w:val="1D2939"/>
                <w:sz w:val="17"/>
              </w:rPr>
              <w:t>Exportación Excel</w:t>
            </w:r>
          </w:p>
        </w:tc>
      </w:tr>
    </w:tbl>
    <w:tbl>
      <w:tblPr>
        <w:tblW w:type="auto" w:w="0"/>
        <w:jc w:val="center"/>
        <w:tblLook w:firstColumn="1" w:firstRow="1" w:lastColumn="0" w:lastRow="0" w:noHBand="0" w:noVBand="1" w:val="04A0"/>
      </w:tblPr>
      <w:tblGrid>
        <w:gridCol w:w="10166"/>
      </w:tblGrid>
      <w:tr>
        <w:tc>
          <w:tcPr>
            <w:tcW w:type="dxa" w:w="10166"/>
            <w:shd w:fill="EEF4FF"/>
            <w:tcMar>
              <w:top w:w="95" w:type="dxa"/>
              <w:start w:w="120" w:type="dxa"/>
              <w:bottom w:w="95" w:type="dxa"/>
              <w:end w:w="120" w:type="dxa"/>
            </w:tcMar>
          </w:tcPr>
          <w:p>
            <w:pPr>
              <w:spacing w:after="0"/>
            </w:pPr>
            <w:r>
              <w:rPr>
                <w:rFonts w:ascii="Aptos" w:hAnsi="Aptos"/>
                <w:b/>
                <w:i w:val="0"/>
                <w:color w:val="16324F"/>
                <w:sz w:val="19"/>
              </w:rPr>
              <w:t xml:space="preserve">Principio central: </w:t>
            </w:r>
            <w:r>
              <w:rPr>
                <w:rFonts w:ascii="Aptos" w:hAnsi="Aptos"/>
                <w:b w:val="0"/>
                <w:i w:val="0"/>
                <w:color w:val="1D2939"/>
                <w:sz w:val="19"/>
              </w:rPr>
              <w:t>El paciente debe registrarse una sola vez. Operativos, atenciones, recetas, ventas y documentos deben relacionarse con esa identidad única, evitando reingreso y duplicación de información.</w:t>
            </w:r>
          </w:p>
        </w:tc>
      </w:tr>
    </w:tbl>
    <w:p>
      <w:pPr>
        <w:spacing w:after="0"/>
      </w:pPr>
    </w:p>
    <w:p>
      <w:r>
        <w:br w:type="page"/>
      </w:r>
    </w:p>
    <w:p>
      <w:pPr>
        <w:pStyle w:val="Heading1"/>
        <w:spacing w:before="160" w:after="80"/>
        <w:keepNext/>
      </w:pPr>
      <w:r>
        <w:t>3. Hallazgos funcionales principales</w:t>
      </w:r>
    </w:p>
    <w:p>
      <w:pPr>
        <w:pStyle w:val="Heading2"/>
        <w:spacing w:before="100" w:after="80"/>
        <w:keepNext/>
      </w:pPr>
      <w:r>
        <w:t>3.1 Operativos y equipo de trabajo</w:t>
      </w:r>
    </w:p>
    <w:p>
      <w:pPr>
        <w:spacing w:before="0" w:after="100" w:line="252" w:lineRule="auto"/>
      </w:pPr>
      <w:r>
        <w:rPr>
          <w:rFonts w:ascii="Aptos" w:hAnsi="Aptos"/>
          <w:b w:val="0"/>
          <w:i w:val="0"/>
          <w:color w:val="1D2939"/>
          <w:sz w:val="20"/>
        </w:rPr>
        <w:t>Los operativos no deben tratarse como un dato aislado. La información de empresa, dirección, fecha, horario, programa y equipo de terreno se repite para todos los pacientes de una misma jornada. Por ello, el equipo debe configurarse una sola vez en el operativo y quedar disponible para las atenciones asociadas.</w:t>
      </w:r>
    </w:p>
    <w:p>
      <w:pPr>
        <w:pStyle w:val="ListBullet"/>
        <w:spacing w:after="40" w:line="247" w:lineRule="auto"/>
      </w:pPr>
      <w:r>
        <w:rPr>
          <w:rFonts w:ascii="Aptos" w:hAnsi="Aptos"/>
          <w:b w:val="0"/>
          <w:i w:val="0"/>
          <w:color w:val="1D2939"/>
          <w:sz w:val="19"/>
        </w:rPr>
        <w:t>Equipo observado: profesional de salud, coordinador, screening, asesor óptico, administrativo y ejecutivo comercial.</w:t>
      </w:r>
    </w:p>
    <w:p>
      <w:pPr>
        <w:pStyle w:val="ListBullet"/>
        <w:spacing w:after="40" w:line="247" w:lineRule="auto"/>
      </w:pPr>
      <w:r>
        <w:rPr>
          <w:rFonts w:ascii="Aptos" w:hAnsi="Aptos"/>
          <w:b w:val="0"/>
          <w:i w:val="0"/>
          <w:color w:val="1D2939"/>
          <w:sz w:val="19"/>
        </w:rPr>
        <w:t>El calendario debe permitir identificar qué programa asiste a cada operativo: Salud Visual, Kinesiología, Vacunación, Nutricional, Laboratorio, Cardiovascular, entre otros.</w:t>
      </w:r>
    </w:p>
    <w:p>
      <w:pPr>
        <w:pStyle w:val="ListBullet"/>
        <w:spacing w:after="40" w:line="247" w:lineRule="auto"/>
      </w:pPr>
      <w:r>
        <w:rPr>
          <w:rFonts w:ascii="Aptos" w:hAnsi="Aptos"/>
          <w:b w:val="0"/>
          <w:i w:val="0"/>
          <w:color w:val="1D2939"/>
          <w:sz w:val="19"/>
        </w:rPr>
        <w:t>La visualización y administración del calendario deberá quedar sujeta posteriormente a la matriz de roles y permisos.</w:t>
      </w:r>
    </w:p>
    <w:p>
      <w:pPr>
        <w:pStyle w:val="Heading2"/>
        <w:spacing w:before="100" w:after="80"/>
        <w:keepNext/>
      </w:pPr>
      <w:r>
        <w:t>3.2 Screening</w:t>
      </w:r>
    </w:p>
    <w:p>
      <w:pPr>
        <w:spacing w:before="0" w:after="100" w:line="252" w:lineRule="auto"/>
      </w:pPr>
      <w:r>
        <w:rPr>
          <w:rFonts w:ascii="Aptos" w:hAnsi="Aptos"/>
          <w:b w:val="0"/>
          <w:i w:val="0"/>
          <w:color w:val="1D2939"/>
          <w:sz w:val="20"/>
        </w:rPr>
        <w:t>El screening funciona como etapa clínica previa a la receta y debe quedar asociado al paciente/atención. Entre la información observada se encuentran:</w:t>
      </w:r>
    </w:p>
    <w:p>
      <w:pPr>
        <w:pStyle w:val="ListBullet"/>
        <w:spacing w:after="40" w:line="247" w:lineRule="auto"/>
      </w:pPr>
      <w:r>
        <w:rPr>
          <w:rFonts w:ascii="Aptos" w:hAnsi="Aptos"/>
          <w:b w:val="0"/>
          <w:i w:val="0"/>
          <w:color w:val="1D2939"/>
          <w:sz w:val="19"/>
        </w:rPr>
        <w:t>Uso de lentes, tipo/origen de receta, antigüedad de uso y antecedentes oftalmológicos.</w:t>
      </w:r>
    </w:p>
    <w:p>
      <w:pPr>
        <w:pStyle w:val="ListBullet"/>
        <w:spacing w:after="40" w:line="247" w:lineRule="auto"/>
      </w:pPr>
      <w:r>
        <w:rPr>
          <w:rFonts w:ascii="Aptos" w:hAnsi="Aptos"/>
          <w:b w:val="0"/>
          <w:i w:val="0"/>
          <w:color w:val="1D2939"/>
          <w:sz w:val="19"/>
        </w:rPr>
        <w:t>Antecedentes mórbidos generales relevantes para la atención.</w:t>
      </w:r>
    </w:p>
    <w:p>
      <w:pPr>
        <w:pStyle w:val="ListBullet"/>
        <w:spacing w:after="40" w:line="247" w:lineRule="auto"/>
      </w:pPr>
      <w:r>
        <w:rPr>
          <w:rFonts w:ascii="Aptos" w:hAnsi="Aptos"/>
          <w:b w:val="0"/>
          <w:i w:val="0"/>
          <w:color w:val="1D2939"/>
          <w:sz w:val="19"/>
        </w:rPr>
        <w:t>Recomendación inicial de distancia focal y tratamiento del cristal mediante opciones controladas.</w:t>
      </w:r>
    </w:p>
    <w:p>
      <w:pPr>
        <w:pStyle w:val="ListBullet"/>
        <w:spacing w:after="40" w:line="247" w:lineRule="auto"/>
      </w:pPr>
      <w:r>
        <w:rPr>
          <w:rFonts w:ascii="Aptos" w:hAnsi="Aptos"/>
          <w:b w:val="0"/>
          <w:i w:val="0"/>
          <w:color w:val="1D2939"/>
          <w:sz w:val="19"/>
        </w:rPr>
        <w:t>Fotografías de autorreflectometría y lenzometría como respaldo digital.</w:t>
      </w:r>
    </w:p>
    <w:p>
      <w:pPr>
        <w:pStyle w:val="ListBullet"/>
        <w:spacing w:after="40" w:line="247" w:lineRule="auto"/>
      </w:pPr>
      <w:r>
        <w:rPr>
          <w:rFonts w:ascii="Aptos" w:hAnsi="Aptos"/>
          <w:b w:val="0"/>
          <w:i w:val="0"/>
          <w:color w:val="1D2939"/>
          <w:sz w:val="19"/>
        </w:rPr>
        <w:t>Tests y observaciones de screening.</w:t>
      </w:r>
    </w:p>
    <w:p>
      <w:pPr>
        <w:pStyle w:val="Heading2"/>
        <w:spacing w:before="100" w:after="80"/>
        <w:keepNext/>
      </w:pPr>
      <w:r>
        <w:t>3.3 Receta óptica</w:t>
      </w:r>
    </w:p>
    <w:p>
      <w:pPr>
        <w:spacing w:before="0" w:after="100" w:line="252" w:lineRule="auto"/>
      </w:pPr>
      <w:r>
        <w:rPr>
          <w:rFonts w:ascii="Aptos" w:hAnsi="Aptos"/>
          <w:b w:val="0"/>
          <w:i w:val="0"/>
          <w:color w:val="1D2939"/>
          <w:sz w:val="20"/>
        </w:rPr>
        <w:t>La receta constituye el principal resultado clínico del Sprint 2. Debe estar asociada a una atención y a un paciente, mantenerse disponible en su historial y quedar preparada para ser reutilizada posteriormente por Óptica.</w:t>
      </w:r>
    </w:p>
    <w:p>
      <w:pPr>
        <w:pStyle w:val="ListBullet"/>
        <w:spacing w:after="40" w:line="247" w:lineRule="auto"/>
      </w:pPr>
      <w:r>
        <w:rPr>
          <w:rFonts w:ascii="Aptos" w:hAnsi="Aptos"/>
          <w:b w:val="0"/>
          <w:i w:val="0"/>
          <w:color w:val="1D2939"/>
          <w:sz w:val="19"/>
        </w:rPr>
        <w:t>Campos observados: esfera, cilindro, eje, DP, agudeza visual, ADD, altura pupilar y observaciones, diferenciados según corresponda por ojo y tipo de visión.</w:t>
      </w:r>
    </w:p>
    <w:p>
      <w:pPr>
        <w:pStyle w:val="ListBullet"/>
        <w:spacing w:after="40" w:line="247" w:lineRule="auto"/>
      </w:pPr>
      <w:r>
        <w:rPr>
          <w:rFonts w:ascii="Aptos" w:hAnsi="Aptos"/>
          <w:b w:val="0"/>
          <w:i w:val="0"/>
          <w:color w:val="1D2939"/>
          <w:sz w:val="19"/>
        </w:rPr>
        <w:t>Características del cristal: orgánico, policarbonato, mineral, alto índice y otros catálogos definidos por CSA.</w:t>
      </w:r>
    </w:p>
    <w:p>
      <w:pPr>
        <w:pStyle w:val="ListBullet"/>
        <w:spacing w:after="40" w:line="247" w:lineRule="auto"/>
      </w:pPr>
      <w:r>
        <w:rPr>
          <w:rFonts w:ascii="Aptos" w:hAnsi="Aptos"/>
          <w:b w:val="0"/>
          <w:i w:val="0"/>
          <w:color w:val="1D2939"/>
          <w:sz w:val="19"/>
        </w:rPr>
        <w:t>Tratamientos: sin tratamiento/blanco, antirreflejo, filtro azul, fotocromático, polarizado, sol óptico y teñido.</w:t>
      </w:r>
    </w:p>
    <w:p>
      <w:pPr>
        <w:pStyle w:val="ListBullet"/>
        <w:spacing w:after="40" w:line="247" w:lineRule="auto"/>
      </w:pPr>
      <w:r>
        <w:rPr>
          <w:rFonts w:ascii="Aptos" w:hAnsi="Aptos"/>
          <w:b w:val="0"/>
          <w:i w:val="0"/>
          <w:color w:val="1D2939"/>
          <w:sz w:val="19"/>
        </w:rPr>
        <w:t>Uso del lente: computador, lectura ocasional, permanente, conducción u otros definidos por CSA.</w:t>
      </w:r>
    </w:p>
    <w:p>
      <w:pPr>
        <w:pStyle w:val="ListBullet"/>
        <w:spacing w:after="40" w:line="247" w:lineRule="auto"/>
      </w:pPr>
      <w:r>
        <w:rPr>
          <w:rFonts w:ascii="Aptos" w:hAnsi="Aptos"/>
          <w:b w:val="0"/>
          <w:i w:val="0"/>
          <w:color w:val="1D2939"/>
          <w:sz w:val="19"/>
        </w:rPr>
        <w:t>Próximo control y observaciones deben formar parte de la información visible para el paciente.</w:t>
      </w:r>
    </w:p>
    <w:p>
      <w:pPr>
        <w:pStyle w:val="Heading2"/>
        <w:spacing w:before="100" w:after="80"/>
        <w:keepNext/>
      </w:pPr>
      <w:r>
        <w:t>3.4 Automatizaciones clínicas valoradas</w:t>
      </w:r>
    </w:p>
    <w:p>
      <w:pPr>
        <w:spacing w:before="0" w:after="100" w:line="252" w:lineRule="auto"/>
      </w:pPr>
      <w:r>
        <w:rPr>
          <w:rFonts w:ascii="Aptos" w:hAnsi="Aptos"/>
          <w:b w:val="0"/>
          <w:i w:val="0"/>
          <w:color w:val="1D2939"/>
          <w:sz w:val="20"/>
        </w:rPr>
        <w:t>Los videos muestran reglas que conviene automatizar para reducir errores de digitación y mantener consistencia:</w:t>
      </w:r>
    </w:p>
    <w:p>
      <w:pPr>
        <w:pStyle w:val="ListBullet"/>
        <w:spacing w:after="40" w:line="247" w:lineRule="auto"/>
      </w:pPr>
      <w:r>
        <w:rPr>
          <w:rFonts w:ascii="Aptos" w:hAnsi="Aptos"/>
          <w:b w:val="0"/>
          <w:i w:val="0"/>
          <w:color w:val="1D2939"/>
          <w:sz w:val="19"/>
        </w:rPr>
        <w:t>Cálculo de valores de cerca a partir de la receta de lejos y la ADD, según la regla que CSA confirme definitivamente.</w:t>
      </w:r>
    </w:p>
    <w:p>
      <w:pPr>
        <w:pStyle w:val="ListBullet"/>
        <w:spacing w:after="40" w:line="247" w:lineRule="auto"/>
      </w:pPr>
      <w:r>
        <w:rPr>
          <w:rFonts w:ascii="Aptos" w:hAnsi="Aptos"/>
          <w:b w:val="0"/>
          <w:i w:val="0"/>
          <w:color w:val="1D2939"/>
          <w:sz w:val="19"/>
        </w:rPr>
        <w:t>DP de cerca calculada a partir de la DP de lejos, respetando la regla funcional que CSA valide.</w:t>
      </w:r>
    </w:p>
    <w:p>
      <w:pPr>
        <w:pStyle w:val="ListBullet"/>
        <w:spacing w:after="40" w:line="247" w:lineRule="auto"/>
      </w:pPr>
      <w:r>
        <w:rPr>
          <w:rFonts w:ascii="Aptos" w:hAnsi="Aptos"/>
          <w:b w:val="0"/>
          <w:i w:val="0"/>
          <w:color w:val="1D2939"/>
          <w:sz w:val="19"/>
        </w:rPr>
        <w:t>Bloqueo de configuraciones de lente de cerca cuando falta una ADD requerida.</w:t>
      </w:r>
    </w:p>
    <w:p>
      <w:pPr>
        <w:pStyle w:val="ListBullet"/>
        <w:spacing w:after="40" w:line="247" w:lineRule="auto"/>
      </w:pPr>
      <w:r>
        <w:rPr>
          <w:rFonts w:ascii="Aptos" w:hAnsi="Aptos"/>
          <w:b w:val="0"/>
          <w:i w:val="0"/>
          <w:color w:val="1D2939"/>
          <w:sz w:val="19"/>
        </w:rPr>
        <w:t>Carga automática de información básica del screening al momento de generar la receta.</w:t>
      </w:r>
    </w:p>
    <w:tbl>
      <w:tblPr>
        <w:tblW w:type="auto" w:w="0"/>
        <w:jc w:val="center"/>
        <w:tblLook w:firstColumn="1" w:firstRow="1" w:lastColumn="0" w:lastRow="0" w:noHBand="0" w:noVBand="1" w:val="04A0"/>
      </w:tblPr>
      <w:tblGrid>
        <w:gridCol w:w="10166"/>
      </w:tblGrid>
      <w:tr>
        <w:tc>
          <w:tcPr>
            <w:tcW w:type="dxa" w:w="10166"/>
            <w:shd w:fill="FFF4D6"/>
            <w:tcMar>
              <w:top w:w="95" w:type="dxa"/>
              <w:start w:w="120" w:type="dxa"/>
              <w:bottom w:w="95" w:type="dxa"/>
              <w:end w:w="120" w:type="dxa"/>
            </w:tcMar>
          </w:tcPr>
          <w:p>
            <w:pPr>
              <w:spacing w:after="0"/>
            </w:pPr>
            <w:r>
              <w:rPr>
                <w:rFonts w:ascii="Aptos" w:hAnsi="Aptos"/>
                <w:b/>
                <w:i w:val="0"/>
                <w:color w:val="16324F"/>
                <w:sz w:val="19"/>
              </w:rPr>
              <w:t xml:space="preserve">Recomendación técnica: </w:t>
            </w:r>
            <w:r>
              <w:rPr>
                <w:rFonts w:ascii="Aptos" w:hAnsi="Aptos"/>
                <w:b w:val="0"/>
                <w:i w:val="0"/>
                <w:color w:val="1D2939"/>
                <w:sz w:val="19"/>
              </w:rPr>
              <w:t>Las reglas clínicas automáticas deben implementarse en backend y cubrirse con pruebas; Angular puede apoyar la experiencia de usuario, pero no debe ser la única barrera de validación.</w:t>
            </w:r>
          </w:p>
        </w:tc>
      </w:tr>
    </w:tbl>
    <w:p>
      <w:pPr>
        <w:spacing w:after="0"/>
      </w:pPr>
    </w:p>
    <w:p>
      <w:r>
        <w:br w:type="page"/>
      </w:r>
    </w:p>
    <w:p>
      <w:pPr>
        <w:pStyle w:val="Heading1"/>
        <w:spacing w:before="160" w:after="80"/>
        <w:keepNext/>
      </w:pPr>
      <w:r>
        <w:t>4. Integración inicial con Óptica y funcionalidades futuras</w:t>
      </w:r>
    </w:p>
    <w:p>
      <w:pPr>
        <w:pStyle w:val="Heading2"/>
        <w:spacing w:before="100" w:after="80"/>
        <w:keepNext/>
      </w:pPr>
      <w:r>
        <w:t>4.1 Reutilización de la receta</w:t>
      </w:r>
    </w:p>
    <w:p>
      <w:pPr>
        <w:spacing w:before="0" w:after="100" w:line="252" w:lineRule="auto"/>
      </w:pPr>
      <w:r>
        <w:rPr>
          <w:rFonts w:ascii="Aptos" w:hAnsi="Aptos"/>
          <w:b w:val="0"/>
          <w:i w:val="0"/>
          <w:color w:val="1D2939"/>
          <w:sz w:val="20"/>
        </w:rPr>
        <w:t>Los videos confirman que el proceso óptico necesita reutilizar la información clínica existente. En CSA Platform, Óptica no debería volver a ingresar esfera, cilindro, eje, ADD o datos personales si ya existen en la ficha del paciente.</w:t>
      </w:r>
    </w:p>
    <w:tbl>
      <w:tblPr>
        <w:tblW w:type="auto" w:w="0"/>
        <w:jc w:val="center"/>
        <w:tblLook w:firstColumn="1" w:firstRow="1" w:lastColumn="0" w:lastRow="0" w:noHBand="0" w:noVBand="1" w:val="04A0"/>
      </w:tblPr>
      <w:tblGrid>
        <w:gridCol w:w="10166"/>
      </w:tblGrid>
      <w:tr>
        <w:tc>
          <w:tcPr>
            <w:tcW w:type="dxa" w:w="10166"/>
            <w:shd w:fill="F3F6FA"/>
            <w:tcMar>
              <w:top w:w="100" w:type="dxa"/>
              <w:start w:w="120" w:type="dxa"/>
              <w:bottom w:w="100" w:type="dxa"/>
              <w:end w:w="120" w:type="dxa"/>
            </w:tcMar>
          </w:tcPr>
          <w:p>
            <w:pPr>
              <w:spacing w:after="0"/>
              <w:jc w:val="center"/>
            </w:pPr>
            <w:r>
              <w:rPr>
                <w:rFonts w:ascii="Aptos" w:hAnsi="Aptos"/>
                <w:b/>
                <w:i w:val="0"/>
                <w:color w:val="16324F"/>
                <w:sz w:val="19"/>
              </w:rPr>
              <w:t>Paciente  →  Atención Salud Visual  →  Receta óptica  →  Óptica  →  futura OT / cotización / venta</w:t>
            </w:r>
          </w:p>
        </w:tc>
      </w:tr>
    </w:tbl>
    <w:p>
      <w:pPr>
        <w:spacing w:after="0"/>
      </w:pPr>
    </w:p>
    <w:p>
      <w:pPr>
        <w:pStyle w:val="Heading2"/>
        <w:spacing w:before="100" w:after="80"/>
        <w:keepNext/>
      </w:pPr>
      <w:r>
        <w:t>4.2 Orden de Trabajo (OT)</w:t>
      </w:r>
    </w:p>
    <w:p>
      <w:pPr>
        <w:spacing w:before="0" w:after="100" w:line="252" w:lineRule="auto"/>
      </w:pPr>
      <w:r>
        <w:rPr>
          <w:rFonts w:ascii="Aptos" w:hAnsi="Aptos"/>
          <w:b w:val="0"/>
          <w:i w:val="0"/>
          <w:color w:val="1D2939"/>
          <w:sz w:val="20"/>
        </w:rPr>
        <w:t>Vezplus utiliza una Orden de Trabajo cuando la persona compra el lente. La OT reúne datos del paciente, receta, armazón, cristales y condiciones de la operación. Además se imprime como respaldo para el paciente y para CSA. Esta entidad debe considerarse para próximos incrementos, pero no es obligatoria para cumplir el flujo mínimo del Sprint 2.</w:t>
      </w:r>
    </w:p>
    <w:p>
      <w:pPr>
        <w:pStyle w:val="Heading2"/>
        <w:spacing w:before="100" w:after="80"/>
        <w:keepNext/>
      </w:pPr>
      <w:r>
        <w:t>4.3 Productos e inventario</w:t>
      </w:r>
    </w:p>
    <w:p>
      <w:pPr>
        <w:spacing w:before="0" w:after="100" w:line="252" w:lineRule="auto"/>
      </w:pPr>
      <w:r>
        <w:rPr>
          <w:rFonts w:ascii="Aptos" w:hAnsi="Aptos"/>
          <w:b w:val="0"/>
          <w:i w:val="0"/>
          <w:color w:val="1D2939"/>
          <w:sz w:val="20"/>
        </w:rPr>
        <w:t>El proceso óptico trabaja con productos identificables por código de barras/SKU. Al ingresar el código, el sistema recupera automáticamente información como marca, modelo, color y precio.</w:t>
      </w:r>
    </w:p>
    <w:p>
      <w:pPr>
        <w:pStyle w:val="ListBullet"/>
        <w:spacing w:after="40" w:line="247" w:lineRule="auto"/>
      </w:pPr>
      <w:r>
        <w:rPr>
          <w:rFonts w:ascii="Aptos" w:hAnsi="Aptos"/>
          <w:b w:val="0"/>
          <w:i w:val="0"/>
          <w:color w:val="1D2939"/>
          <w:sz w:val="19"/>
        </w:rPr>
        <w:t>Armazones: metálico, acetato, plástico, ranurado, al aire, entre otros.</w:t>
      </w:r>
    </w:p>
    <w:p>
      <w:pPr>
        <w:pStyle w:val="ListBullet"/>
        <w:spacing w:after="40" w:line="247" w:lineRule="auto"/>
      </w:pPr>
      <w:r>
        <w:rPr>
          <w:rFonts w:ascii="Aptos" w:hAnsi="Aptos"/>
          <w:b w:val="0"/>
          <w:i w:val="0"/>
          <w:color w:val="1D2939"/>
          <w:sz w:val="19"/>
        </w:rPr>
        <w:t>Cristales: selección por código/tipo y precio asociado.</w:t>
      </w:r>
    </w:p>
    <w:p>
      <w:pPr>
        <w:pStyle w:val="ListBullet"/>
        <w:spacing w:after="40" w:line="247" w:lineRule="auto"/>
      </w:pPr>
      <w:r>
        <w:rPr>
          <w:rFonts w:ascii="Aptos" w:hAnsi="Aptos"/>
          <w:b w:val="0"/>
          <w:i w:val="0"/>
          <w:color w:val="1D2939"/>
          <w:sz w:val="19"/>
        </w:rPr>
        <w:t>La futura arquitectura debe permitir que productos e inventario sean módulos propios y no campos embebidos dentro de una OT.</w:t>
      </w:r>
    </w:p>
    <w:p>
      <w:pPr>
        <w:pStyle w:val="Heading2"/>
        <w:spacing w:before="100" w:after="80"/>
        <w:keepNext/>
      </w:pPr>
      <w:r>
        <w:t>4.4 Ventas y pagos</w:t>
      </w:r>
    </w:p>
    <w:p>
      <w:pPr>
        <w:spacing w:before="0" w:after="100" w:line="252" w:lineRule="auto"/>
      </w:pPr>
      <w:r>
        <w:rPr>
          <w:rFonts w:ascii="Aptos" w:hAnsi="Aptos"/>
          <w:b w:val="0"/>
          <w:i w:val="0"/>
          <w:color w:val="1D2939"/>
          <w:sz w:val="20"/>
        </w:rPr>
        <w:t>Vezplus muestra reglas comerciales que deberán considerarse en etapas posteriores:</w:t>
      </w:r>
    </w:p>
    <w:p>
      <w:pPr>
        <w:pStyle w:val="ListBullet"/>
        <w:spacing w:after="40" w:line="247" w:lineRule="auto"/>
      </w:pPr>
      <w:r>
        <w:rPr>
          <w:rFonts w:ascii="Aptos" w:hAnsi="Aptos"/>
          <w:b w:val="0"/>
          <w:i w:val="0"/>
          <w:color w:val="1D2939"/>
          <w:sz w:val="19"/>
        </w:rPr>
        <w:t>Una venta puede componerse de uno o más pagos.</w:t>
      </w:r>
    </w:p>
    <w:p>
      <w:pPr>
        <w:pStyle w:val="ListBullet"/>
        <w:spacing w:after="40" w:line="247" w:lineRule="auto"/>
      </w:pPr>
      <w:r>
        <w:rPr>
          <w:rFonts w:ascii="Aptos" w:hAnsi="Aptos"/>
          <w:b w:val="0"/>
          <w:i w:val="0"/>
          <w:color w:val="1D2939"/>
          <w:sz w:val="19"/>
        </w:rPr>
        <w:t>Los pagos con tarjeta requieren código de autorización según el medio utilizado.</w:t>
      </w:r>
    </w:p>
    <w:p>
      <w:pPr>
        <w:pStyle w:val="ListBullet"/>
        <w:spacing w:after="40" w:line="247" w:lineRule="auto"/>
      </w:pPr>
      <w:r>
        <w:rPr>
          <w:rFonts w:ascii="Aptos" w:hAnsi="Aptos"/>
          <w:b w:val="0"/>
          <w:i w:val="0"/>
          <w:color w:val="1D2939"/>
          <w:sz w:val="19"/>
        </w:rPr>
        <w:t>La suma de pagos debe coincidir con el total antes de finalizar la operación.</w:t>
      </w:r>
    </w:p>
    <w:p>
      <w:pPr>
        <w:pStyle w:val="ListBullet"/>
        <w:spacing w:after="40" w:line="247" w:lineRule="auto"/>
      </w:pPr>
      <w:r>
        <w:rPr>
          <w:rFonts w:ascii="Aptos" w:hAnsi="Aptos"/>
          <w:b w:val="0"/>
          <w:i w:val="0"/>
          <w:color w:val="1D2939"/>
          <w:sz w:val="19"/>
        </w:rPr>
        <w:t>El descuento por planilla se asocia a convenios empresariales y admite cuotas según reglas de CSA.</w:t>
      </w:r>
    </w:p>
    <w:p>
      <w:pPr>
        <w:pStyle w:val="Heading2"/>
        <w:spacing w:before="100" w:after="80"/>
        <w:keepNext/>
      </w:pPr>
      <w:r>
        <w:t>4.5 Documentos y retinografía</w:t>
      </w:r>
    </w:p>
    <w:p>
      <w:pPr>
        <w:spacing w:before="0" w:after="100" w:line="252" w:lineRule="auto"/>
      </w:pPr>
      <w:r>
        <w:rPr>
          <w:rFonts w:ascii="Aptos" w:hAnsi="Aptos"/>
          <w:b w:val="0"/>
          <w:i w:val="0"/>
          <w:color w:val="1D2939"/>
          <w:sz w:val="20"/>
        </w:rPr>
        <w:t>La retinografía se realiza con un equipo/sistema externo y se descarga como PDF. CSA requiere que ese documento pueda adjuntarse a la ficha clínica junto con observaciones por ojo, hallazgos, sospechas y sugerencias/derivaciones.</w:t>
      </w:r>
    </w:p>
    <w:tbl>
      <w:tblPr>
        <w:tblW w:type="auto" w:w="0"/>
        <w:jc w:val="center"/>
        <w:tblLook w:firstColumn="1" w:firstRow="1" w:lastColumn="0" w:lastRow="0" w:noHBand="0" w:noVBand="1" w:val="04A0"/>
      </w:tblPr>
      <w:tblGrid>
        <w:gridCol w:w="10166"/>
      </w:tblGrid>
      <w:tr>
        <w:tc>
          <w:tcPr>
            <w:tcW w:type="dxa" w:w="10166"/>
            <w:shd w:fill="E8F5EC"/>
            <w:tcMar>
              <w:top w:w="95" w:type="dxa"/>
              <w:start w:w="120" w:type="dxa"/>
              <w:bottom w:w="95" w:type="dxa"/>
              <w:end w:w="120" w:type="dxa"/>
            </w:tcMar>
          </w:tcPr>
          <w:p>
            <w:pPr>
              <w:spacing w:after="0"/>
            </w:pPr>
            <w:r>
              <w:rPr>
                <w:rFonts w:ascii="Aptos" w:hAnsi="Aptos"/>
                <w:b/>
                <w:i w:val="0"/>
                <w:color w:val="16324F"/>
                <w:sz w:val="19"/>
              </w:rPr>
              <w:t xml:space="preserve">Implicancia: </w:t>
            </w:r>
            <w:r>
              <w:rPr>
                <w:rFonts w:ascii="Aptos" w:hAnsi="Aptos"/>
                <w:b w:val="0"/>
                <w:i w:val="0"/>
                <w:color w:val="1D2939"/>
                <w:sz w:val="19"/>
              </w:rPr>
              <w:t>El módulo Documents será transversal: deberá soportar imágenes de screening, PDF de retinografía, futura receta PDF y documentos de OT, conservando su relación con paciente y atención.</w:t>
            </w:r>
          </w:p>
        </w:tc>
      </w:tr>
    </w:tbl>
    <w:p>
      <w:pPr>
        <w:spacing w:after="0"/>
      </w:pPr>
    </w:p>
    <w:p>
      <w:r>
        <w:br w:type="page"/>
      </w:r>
    </w:p>
    <w:p>
      <w:pPr>
        <w:pStyle w:val="Heading1"/>
        <w:spacing w:before="160" w:after="80"/>
        <w:keepNext/>
      </w:pPr>
      <w:r>
        <w:t>5. Reportería y gestión</w:t>
      </w:r>
    </w:p>
    <w:p>
      <w:pPr>
        <w:spacing w:before="0" w:after="100" w:line="252" w:lineRule="auto"/>
      </w:pPr>
      <w:r>
        <w:rPr>
          <w:rFonts w:ascii="Aptos" w:hAnsi="Aptos"/>
          <w:b w:val="0"/>
          <w:i w:val="0"/>
          <w:color w:val="1D2939"/>
          <w:sz w:val="20"/>
        </w:rPr>
        <w:t>Los videos muestran que CSA valora especialmente la capacidad de analizar los operativos y obtener información sin reconstruirla manualmente.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6324F"/>
          </w:tcPr>
          <w:p>
            <w:r>
              <w:rPr>
                <w:rFonts w:ascii="Aptos" w:hAnsi="Aptos"/>
                <w:b/>
                <w:i w:val="0"/>
                <w:color w:val="FFFFFF"/>
                <w:sz w:val="17"/>
              </w:rPr>
              <w:t>Indicador / salida</w:t>
            </w:r>
          </w:p>
        </w:tc>
        <w:tc>
          <w:tcPr>
            <w:tcW w:type="dxa" w:w="3389"/>
            <w:shd w:fill="16324F"/>
          </w:tcPr>
          <w:p>
            <w:r>
              <w:rPr>
                <w:rFonts w:ascii="Aptos" w:hAnsi="Aptos"/>
                <w:b/>
                <w:i w:val="0"/>
                <w:color w:val="FFFFFF"/>
                <w:sz w:val="17"/>
              </w:rPr>
              <w:t>Origen</w:t>
            </w:r>
          </w:p>
        </w:tc>
        <w:tc>
          <w:tcPr>
            <w:tcW w:type="dxa" w:w="3389"/>
            <w:shd w:fill="16324F"/>
          </w:tcPr>
          <w:p>
            <w:r>
              <w:rPr>
                <w:rFonts w:ascii="Aptos" w:hAnsi="Aptos"/>
                <w:b/>
                <w:i w:val="0"/>
                <w:color w:val="FFFFFF"/>
                <w:sz w:val="17"/>
              </w:rPr>
              <w:t>Uso esperado</w:t>
            </w:r>
          </w:p>
        </w:tc>
      </w:tr>
      <w:tr>
        <w:tc>
          <w:tcPr>
            <w:tcW w:type="dxa" w:w="3389"/>
            <w:tcMar>
              <w:top w:w="70" w:type="dxa"/>
              <w:start w:w="85" w:type="dxa"/>
              <w:bottom w:w="70" w:type="dxa"/>
              <w:end w:w="85" w:type="dxa"/>
            </w:tcMar>
          </w:tcPr>
          <w:p>
            <w:r>
              <w:rPr>
                <w:rFonts w:ascii="Aptos" w:hAnsi="Aptos"/>
                <w:b w:val="0"/>
                <w:i w:val="0"/>
                <w:color w:val="1D2939"/>
                <w:sz w:val="17"/>
              </w:rPr>
              <w:t>Recaudación</w:t>
            </w:r>
          </w:p>
        </w:tc>
        <w:tc>
          <w:tcPr>
            <w:tcW w:type="dxa" w:w="3389"/>
            <w:tcMar>
              <w:top w:w="70" w:type="dxa"/>
              <w:start w:w="85" w:type="dxa"/>
              <w:bottom w:w="70" w:type="dxa"/>
              <w:end w:w="85" w:type="dxa"/>
            </w:tcMar>
          </w:tcPr>
          <w:p>
            <w:r>
              <w:rPr>
                <w:rFonts w:ascii="Aptos" w:hAnsi="Aptos"/>
                <w:b w:val="0"/>
                <w:i w:val="0"/>
                <w:color w:val="1D2939"/>
                <w:sz w:val="17"/>
              </w:rPr>
              <w:t>Ventas y pagos</w:t>
            </w:r>
          </w:p>
        </w:tc>
        <w:tc>
          <w:tcPr>
            <w:tcW w:type="dxa" w:w="3389"/>
            <w:tcMar>
              <w:top w:w="70" w:type="dxa"/>
              <w:start w:w="85" w:type="dxa"/>
              <w:bottom w:w="70" w:type="dxa"/>
              <w:end w:w="85" w:type="dxa"/>
            </w:tcMar>
          </w:tcPr>
          <w:p>
            <w:r>
              <w:rPr>
                <w:rFonts w:ascii="Aptos" w:hAnsi="Aptos"/>
                <w:b w:val="0"/>
                <w:i w:val="0"/>
                <w:color w:val="1D2939"/>
                <w:sz w:val="17"/>
              </w:rPr>
              <w:t>Monto recaudado por periodo, operativo o responsable.</w:t>
            </w:r>
          </w:p>
        </w:tc>
      </w:tr>
      <w:tr>
        <w:tc>
          <w:tcPr>
            <w:tcW w:type="dxa" w:w="3389"/>
            <w:tcMar>
              <w:top w:w="70" w:type="dxa"/>
              <w:start w:w="85" w:type="dxa"/>
              <w:bottom w:w="70" w:type="dxa"/>
              <w:end w:w="85" w:type="dxa"/>
            </w:tcMar>
          </w:tcPr>
          <w:p>
            <w:r>
              <w:rPr>
                <w:rFonts w:ascii="Aptos" w:hAnsi="Aptos"/>
                <w:b w:val="0"/>
                <w:i w:val="0"/>
                <w:color w:val="1D2939"/>
                <w:sz w:val="17"/>
              </w:rPr>
              <w:t>Conversión</w:t>
            </w:r>
          </w:p>
        </w:tc>
        <w:tc>
          <w:tcPr>
            <w:tcW w:type="dxa" w:w="3389"/>
            <w:tcMar>
              <w:top w:w="70" w:type="dxa"/>
              <w:start w:w="85" w:type="dxa"/>
              <w:bottom w:w="70" w:type="dxa"/>
              <w:end w:w="85" w:type="dxa"/>
            </w:tcMar>
          </w:tcPr>
          <w:p>
            <w:r>
              <w:rPr>
                <w:rFonts w:ascii="Aptos" w:hAnsi="Aptos"/>
                <w:b w:val="0"/>
                <w:i w:val="0"/>
                <w:color w:val="1D2939"/>
                <w:sz w:val="17"/>
              </w:rPr>
              <w:t>Screenings vs. ventas</w:t>
            </w:r>
          </w:p>
        </w:tc>
        <w:tc>
          <w:tcPr>
            <w:tcW w:type="dxa" w:w="3389"/>
            <w:tcMar>
              <w:top w:w="70" w:type="dxa"/>
              <w:start w:w="85" w:type="dxa"/>
              <w:bottom w:w="70" w:type="dxa"/>
              <w:end w:w="85" w:type="dxa"/>
            </w:tcMar>
          </w:tcPr>
          <w:p>
            <w:r>
              <w:rPr>
                <w:rFonts w:ascii="Aptos" w:hAnsi="Aptos"/>
                <w:b w:val="0"/>
                <w:i w:val="0"/>
                <w:color w:val="1D2939"/>
                <w:sz w:val="17"/>
              </w:rPr>
              <w:t>Proporción de personas atendidas que terminan comprando.</w:t>
            </w:r>
          </w:p>
        </w:tc>
      </w:tr>
      <w:tr>
        <w:tc>
          <w:tcPr>
            <w:tcW w:type="dxa" w:w="3389"/>
            <w:tcMar>
              <w:top w:w="70" w:type="dxa"/>
              <w:start w:w="85" w:type="dxa"/>
              <w:bottom w:w="70" w:type="dxa"/>
              <w:end w:w="85" w:type="dxa"/>
            </w:tcMar>
          </w:tcPr>
          <w:p>
            <w:r>
              <w:rPr>
                <w:rFonts w:ascii="Aptos" w:hAnsi="Aptos"/>
                <w:b w:val="0"/>
                <w:i w:val="0"/>
                <w:color w:val="1D2939"/>
                <w:sz w:val="17"/>
              </w:rPr>
              <w:t>Boleta / ticket promedio</w:t>
            </w:r>
          </w:p>
        </w:tc>
        <w:tc>
          <w:tcPr>
            <w:tcW w:type="dxa" w:w="3389"/>
            <w:tcMar>
              <w:top w:w="70" w:type="dxa"/>
              <w:start w:w="85" w:type="dxa"/>
              <w:bottom w:w="70" w:type="dxa"/>
              <w:end w:w="85" w:type="dxa"/>
            </w:tcMar>
          </w:tcPr>
          <w:p>
            <w:r>
              <w:rPr>
                <w:rFonts w:ascii="Aptos" w:hAnsi="Aptos"/>
                <w:b w:val="0"/>
                <w:i w:val="0"/>
                <w:color w:val="1D2939"/>
                <w:sz w:val="17"/>
              </w:rPr>
              <w:t>Ventas</w:t>
            </w:r>
          </w:p>
        </w:tc>
        <w:tc>
          <w:tcPr>
            <w:tcW w:type="dxa" w:w="3389"/>
            <w:tcMar>
              <w:top w:w="70" w:type="dxa"/>
              <w:start w:w="85" w:type="dxa"/>
              <w:bottom w:w="70" w:type="dxa"/>
              <w:end w:w="85" w:type="dxa"/>
            </w:tcMar>
          </w:tcPr>
          <w:p>
            <w:r>
              <w:rPr>
                <w:rFonts w:ascii="Aptos" w:hAnsi="Aptos"/>
                <w:b w:val="0"/>
                <w:i w:val="0"/>
                <w:color w:val="1D2939"/>
                <w:sz w:val="17"/>
              </w:rPr>
              <w:t>Valor promedio por operación.</w:t>
            </w:r>
          </w:p>
        </w:tc>
      </w:tr>
      <w:tr>
        <w:tc>
          <w:tcPr>
            <w:tcW w:type="dxa" w:w="3389"/>
            <w:tcMar>
              <w:top w:w="70" w:type="dxa"/>
              <w:start w:w="85" w:type="dxa"/>
              <w:bottom w:w="70" w:type="dxa"/>
              <w:end w:w="85" w:type="dxa"/>
            </w:tcMar>
          </w:tcPr>
          <w:p>
            <w:r>
              <w:rPr>
                <w:rFonts w:ascii="Aptos" w:hAnsi="Aptos"/>
                <w:b w:val="0"/>
                <w:i w:val="0"/>
                <w:color w:val="1D2939"/>
                <w:sz w:val="17"/>
              </w:rPr>
              <w:t>Ventas directas / crédito</w:t>
            </w:r>
          </w:p>
        </w:tc>
        <w:tc>
          <w:tcPr>
            <w:tcW w:type="dxa" w:w="3389"/>
            <w:tcMar>
              <w:top w:w="70" w:type="dxa"/>
              <w:start w:w="85" w:type="dxa"/>
              <w:bottom w:w="70" w:type="dxa"/>
              <w:end w:w="85" w:type="dxa"/>
            </w:tcMar>
          </w:tcPr>
          <w:p>
            <w:r>
              <w:rPr>
                <w:rFonts w:ascii="Aptos" w:hAnsi="Aptos"/>
                <w:b w:val="0"/>
                <w:i w:val="0"/>
                <w:color w:val="1D2939"/>
                <w:sz w:val="17"/>
              </w:rPr>
              <w:t>Método de pago</w:t>
            </w:r>
          </w:p>
        </w:tc>
        <w:tc>
          <w:tcPr>
            <w:tcW w:type="dxa" w:w="3389"/>
            <w:tcMar>
              <w:top w:w="70" w:type="dxa"/>
              <w:start w:w="85" w:type="dxa"/>
              <w:bottom w:w="70" w:type="dxa"/>
              <w:end w:w="85" w:type="dxa"/>
            </w:tcMar>
          </w:tcPr>
          <w:p>
            <w:r>
              <w:rPr>
                <w:rFonts w:ascii="Aptos" w:hAnsi="Aptos"/>
                <w:b w:val="0"/>
                <w:i w:val="0"/>
                <w:color w:val="1D2939"/>
                <w:sz w:val="17"/>
              </w:rPr>
              <w:t>Separar pagos directos de descuento por planilla según definición de CSA.</w:t>
            </w:r>
          </w:p>
        </w:tc>
      </w:tr>
      <w:tr>
        <w:tc>
          <w:tcPr>
            <w:tcW w:type="dxa" w:w="3389"/>
            <w:tcMar>
              <w:top w:w="70" w:type="dxa"/>
              <w:start w:w="85" w:type="dxa"/>
              <w:bottom w:w="70" w:type="dxa"/>
              <w:end w:w="85" w:type="dxa"/>
            </w:tcMar>
          </w:tcPr>
          <w:p>
            <w:r>
              <w:rPr>
                <w:rFonts w:ascii="Aptos" w:hAnsi="Aptos"/>
                <w:b w:val="0"/>
                <w:i w:val="0"/>
                <w:color w:val="1D2939"/>
                <w:sz w:val="17"/>
              </w:rPr>
              <w:t>Dashboard</w:t>
            </w:r>
          </w:p>
        </w:tc>
        <w:tc>
          <w:tcPr>
            <w:tcW w:type="dxa" w:w="3389"/>
            <w:tcMar>
              <w:top w:w="70" w:type="dxa"/>
              <w:start w:w="85" w:type="dxa"/>
              <w:bottom w:w="70" w:type="dxa"/>
              <w:end w:w="85" w:type="dxa"/>
            </w:tcMar>
          </w:tcPr>
          <w:p>
            <w:r>
              <w:rPr>
                <w:rFonts w:ascii="Aptos" w:hAnsi="Aptos"/>
                <w:b w:val="0"/>
                <w:i w:val="0"/>
                <w:color w:val="1D2939"/>
                <w:sz w:val="17"/>
              </w:rPr>
              <w:t>Datos consolidados</w:t>
            </w:r>
          </w:p>
        </w:tc>
        <w:tc>
          <w:tcPr>
            <w:tcW w:type="dxa" w:w="3389"/>
            <w:tcMar>
              <w:top w:w="70" w:type="dxa"/>
              <w:start w:w="85" w:type="dxa"/>
              <w:bottom w:w="70" w:type="dxa"/>
              <w:end w:w="85" w:type="dxa"/>
            </w:tcMar>
          </w:tcPr>
          <w:p>
            <w:r>
              <w:rPr>
                <w:rFonts w:ascii="Aptos" w:hAnsi="Aptos"/>
                <w:b w:val="0"/>
                <w:i w:val="0"/>
                <w:color w:val="1D2939"/>
                <w:sz w:val="17"/>
              </w:rPr>
              <w:t>KPIs y gráficos simples de entender y analizar.</w:t>
            </w:r>
          </w:p>
        </w:tc>
      </w:tr>
      <w:tr>
        <w:tc>
          <w:tcPr>
            <w:tcW w:type="dxa" w:w="3389"/>
            <w:tcMar>
              <w:top w:w="70" w:type="dxa"/>
              <w:start w:w="85" w:type="dxa"/>
              <w:bottom w:w="70" w:type="dxa"/>
              <w:end w:w="85" w:type="dxa"/>
            </w:tcMar>
          </w:tcPr>
          <w:p>
            <w:r>
              <w:rPr>
                <w:rFonts w:ascii="Aptos" w:hAnsi="Aptos"/>
                <w:b w:val="0"/>
                <w:i w:val="0"/>
                <w:color w:val="1D2939"/>
                <w:sz w:val="17"/>
              </w:rPr>
              <w:t>Exportación Excel</w:t>
            </w:r>
          </w:p>
        </w:tc>
        <w:tc>
          <w:tcPr>
            <w:tcW w:type="dxa" w:w="3389"/>
            <w:tcMar>
              <w:top w:w="70" w:type="dxa"/>
              <w:start w:w="85" w:type="dxa"/>
              <w:bottom w:w="70" w:type="dxa"/>
              <w:end w:w="85" w:type="dxa"/>
            </w:tcMar>
          </w:tcPr>
          <w:p>
            <w:r>
              <w:rPr>
                <w:rFonts w:ascii="Aptos" w:hAnsi="Aptos"/>
                <w:b w:val="0"/>
                <w:i w:val="0"/>
                <w:color w:val="1D2939"/>
                <w:sz w:val="17"/>
              </w:rPr>
              <w:t>Operativo y relaciones asociadas</w:t>
            </w:r>
          </w:p>
        </w:tc>
        <w:tc>
          <w:tcPr>
            <w:tcW w:type="dxa" w:w="3389"/>
            <w:tcMar>
              <w:top w:w="70" w:type="dxa"/>
              <w:start w:w="85" w:type="dxa"/>
              <w:bottom w:w="70" w:type="dxa"/>
              <w:end w:w="85" w:type="dxa"/>
            </w:tcMar>
          </w:tcPr>
          <w:p>
            <w:r>
              <w:rPr>
                <w:rFonts w:ascii="Aptos" w:hAnsi="Aptos"/>
                <w:b w:val="0"/>
                <w:i w:val="0"/>
                <w:color w:val="1D2939"/>
                <w:sz w:val="17"/>
              </w:rPr>
              <w:t>Nómina completa con equipo, empresa, pacientes, pagos, receta, armazón y cristales.</w:t>
            </w:r>
          </w:p>
        </w:tc>
      </w:tr>
    </w:tbl>
    <w:tbl>
      <w:tblPr>
        <w:tblW w:type="auto" w:w="0"/>
        <w:jc w:val="center"/>
        <w:tblLook w:firstColumn="1" w:firstRow="1" w:lastColumn="0" w:lastRow="0" w:noHBand="0" w:noVBand="1" w:val="04A0"/>
      </w:tblPr>
      <w:tblGrid>
        <w:gridCol w:w="10166"/>
      </w:tblGrid>
      <w:tr>
        <w:tc>
          <w:tcPr>
            <w:tcW w:type="dxa" w:w="10166"/>
            <w:shd w:fill="EEF4FF"/>
            <w:tcMar>
              <w:top w:w="95" w:type="dxa"/>
              <w:start w:w="120" w:type="dxa"/>
              <w:bottom w:w="95" w:type="dxa"/>
              <w:end w:w="120" w:type="dxa"/>
            </w:tcMar>
          </w:tcPr>
          <w:p>
            <w:pPr>
              <w:spacing w:after="0"/>
            </w:pPr>
            <w:r>
              <w:rPr>
                <w:rFonts w:ascii="Aptos" w:hAnsi="Aptos"/>
                <w:b/>
                <w:i w:val="0"/>
                <w:color w:val="16324F"/>
                <w:sz w:val="19"/>
              </w:rPr>
              <w:t xml:space="preserve">Criterio de diseño: </w:t>
            </w:r>
            <w:r>
              <w:rPr>
                <w:rFonts w:ascii="Aptos" w:hAnsi="Aptos"/>
                <w:b w:val="0"/>
                <w:i w:val="0"/>
                <w:color w:val="1D2939"/>
                <w:sz w:val="19"/>
              </w:rPr>
              <w:t>Los KPIs deben calcularse a partir de datos operacionales persistidos. No conviene guardar manualmente conversiones o promedios como valores independientes, porque pueden quedar inconsistentes ante anulaciones o correcciones.</w:t>
            </w:r>
          </w:p>
        </w:tc>
      </w:tr>
    </w:tbl>
    <w:p>
      <w:pPr>
        <w:spacing w:after="0"/>
      </w:pPr>
    </w:p>
    <w:p>
      <w:pPr>
        <w:pStyle w:val="Heading1"/>
        <w:spacing w:before="160" w:after="80"/>
        <w:keepNext/>
      </w:pPr>
      <w:r>
        <w:t>6. Traducción a módulos de CSA Platform</w:t>
      </w:r>
    </w:p>
    <w:tbl>
      <w:tblPr>
        <w:tblStyle w:val="TableGrid"/>
        <w:tblW w:type="auto" w:w="0"/>
        <w:jc w:val="center"/>
        <w:tblLook w:firstColumn="1" w:firstRow="1" w:lastColumn="0" w:lastRow="0" w:noHBand="0" w:noVBand="1" w:val="04A0"/>
      </w:tblPr>
      <w:tblGrid>
        <w:gridCol w:w="5083"/>
        <w:gridCol w:w="5083"/>
      </w:tblGrid>
      <w:tr>
        <w:tc>
          <w:tcPr>
            <w:tcW w:type="dxa" w:w="5083"/>
            <w:shd w:fill="2457D6"/>
          </w:tcPr>
          <w:p>
            <w:r>
              <w:rPr>
                <w:rFonts w:ascii="Aptos" w:hAnsi="Aptos"/>
                <w:b/>
                <w:i w:val="0"/>
                <w:color w:val="FFFFFF"/>
                <w:sz w:val="18"/>
              </w:rPr>
              <w:t>Necesidad observada</w:t>
            </w:r>
          </w:p>
        </w:tc>
        <w:tc>
          <w:tcPr>
            <w:tcW w:type="dxa" w:w="5083"/>
            <w:shd w:fill="2457D6"/>
          </w:tcPr>
          <w:p>
            <w:r>
              <w:rPr>
                <w:rFonts w:ascii="Aptos" w:hAnsi="Aptos"/>
                <w:b/>
                <w:i w:val="0"/>
                <w:color w:val="FFFFFF"/>
                <w:sz w:val="18"/>
              </w:rPr>
              <w:t>Módulo probable en CSA Platform</w:t>
            </w:r>
          </w:p>
        </w:tc>
      </w:tr>
      <w:tr>
        <w:tc>
          <w:tcPr>
            <w:tcW w:type="dxa" w:w="5083"/>
            <w:tcMar>
              <w:top w:w="70" w:type="dxa"/>
              <w:start w:w="85" w:type="dxa"/>
              <w:bottom w:w="70" w:type="dxa"/>
              <w:end w:w="85" w:type="dxa"/>
            </w:tcMar>
          </w:tcPr>
          <w:p>
            <w:r>
              <w:rPr>
                <w:rFonts w:ascii="Aptos" w:hAnsi="Aptos"/>
                <w:b w:val="0"/>
                <w:i w:val="0"/>
                <w:color w:val="1D2939"/>
                <w:sz w:val="17"/>
              </w:rPr>
              <w:t>Identidad y ficha única</w:t>
            </w:r>
          </w:p>
        </w:tc>
        <w:tc>
          <w:tcPr>
            <w:tcW w:type="dxa" w:w="5083"/>
            <w:tcMar>
              <w:top w:w="70" w:type="dxa"/>
              <w:start w:w="85" w:type="dxa"/>
              <w:bottom w:w="70" w:type="dxa"/>
              <w:end w:w="85" w:type="dxa"/>
            </w:tcMar>
          </w:tcPr>
          <w:p>
            <w:r>
              <w:rPr>
                <w:rFonts w:ascii="Aptos" w:hAnsi="Aptos"/>
                <w:b w:val="0"/>
                <w:i w:val="0"/>
                <w:color w:val="1D2939"/>
                <w:sz w:val="17"/>
              </w:rPr>
              <w:t>Patients / Core CSA</w:t>
            </w:r>
          </w:p>
        </w:tc>
      </w:tr>
      <w:tr>
        <w:tc>
          <w:tcPr>
            <w:tcW w:type="dxa" w:w="5083"/>
            <w:tcMar>
              <w:top w:w="70" w:type="dxa"/>
              <w:start w:w="85" w:type="dxa"/>
              <w:bottom w:w="70" w:type="dxa"/>
              <w:end w:w="85" w:type="dxa"/>
            </w:tcMar>
          </w:tcPr>
          <w:p>
            <w:r>
              <w:rPr>
                <w:rFonts w:ascii="Aptos" w:hAnsi="Aptos"/>
                <w:b w:val="0"/>
                <w:i w:val="0"/>
                <w:color w:val="1D2939"/>
                <w:sz w:val="17"/>
              </w:rPr>
              <w:t>Usuarios, roles y restricciones</w:t>
            </w:r>
          </w:p>
        </w:tc>
        <w:tc>
          <w:tcPr>
            <w:tcW w:type="dxa" w:w="5083"/>
            <w:tcMar>
              <w:top w:w="70" w:type="dxa"/>
              <w:start w:w="85" w:type="dxa"/>
              <w:bottom w:w="70" w:type="dxa"/>
              <w:end w:w="85" w:type="dxa"/>
            </w:tcMar>
          </w:tcPr>
          <w:p>
            <w:r>
              <w:rPr>
                <w:rFonts w:ascii="Aptos" w:hAnsi="Aptos"/>
                <w:b w:val="0"/>
                <w:i w:val="0"/>
                <w:color w:val="1D2939"/>
                <w:sz w:val="17"/>
              </w:rPr>
              <w:t>Users / RBAC</w:t>
            </w:r>
          </w:p>
        </w:tc>
      </w:tr>
      <w:tr>
        <w:tc>
          <w:tcPr>
            <w:tcW w:type="dxa" w:w="5083"/>
            <w:tcMar>
              <w:top w:w="70" w:type="dxa"/>
              <w:start w:w="85" w:type="dxa"/>
              <w:bottom w:w="70" w:type="dxa"/>
              <w:end w:w="85" w:type="dxa"/>
            </w:tcMar>
          </w:tcPr>
          <w:p>
            <w:r>
              <w:rPr>
                <w:rFonts w:ascii="Aptos" w:hAnsi="Aptos"/>
                <w:b w:val="0"/>
                <w:i w:val="0"/>
                <w:color w:val="1D2939"/>
                <w:sz w:val="17"/>
              </w:rPr>
              <w:t>Operativos y equipos</w:t>
            </w:r>
          </w:p>
        </w:tc>
        <w:tc>
          <w:tcPr>
            <w:tcW w:type="dxa" w:w="5083"/>
            <w:tcMar>
              <w:top w:w="70" w:type="dxa"/>
              <w:start w:w="85" w:type="dxa"/>
              <w:bottom w:w="70" w:type="dxa"/>
              <w:end w:w="85" w:type="dxa"/>
            </w:tcMar>
          </w:tcPr>
          <w:p>
            <w:r>
              <w:rPr>
                <w:rFonts w:ascii="Aptos" w:hAnsi="Aptos"/>
                <w:b w:val="0"/>
                <w:i w:val="0"/>
                <w:color w:val="1D2939"/>
                <w:sz w:val="17"/>
              </w:rPr>
              <w:t>Operatives (transversal)</w:t>
            </w:r>
          </w:p>
        </w:tc>
      </w:tr>
      <w:tr>
        <w:tc>
          <w:tcPr>
            <w:tcW w:type="dxa" w:w="5083"/>
            <w:tcMar>
              <w:top w:w="70" w:type="dxa"/>
              <w:start w:w="85" w:type="dxa"/>
              <w:bottom w:w="70" w:type="dxa"/>
              <w:end w:w="85" w:type="dxa"/>
            </w:tcMar>
          </w:tcPr>
          <w:p>
            <w:r>
              <w:rPr>
                <w:rFonts w:ascii="Aptos" w:hAnsi="Aptos"/>
                <w:b w:val="0"/>
                <w:i w:val="0"/>
                <w:color w:val="1D2939"/>
                <w:sz w:val="17"/>
              </w:rPr>
              <w:t>Screening, atención, receta, retinografía</w:t>
            </w:r>
          </w:p>
        </w:tc>
        <w:tc>
          <w:tcPr>
            <w:tcW w:type="dxa" w:w="5083"/>
            <w:tcMar>
              <w:top w:w="70" w:type="dxa"/>
              <w:start w:w="85" w:type="dxa"/>
              <w:bottom w:w="70" w:type="dxa"/>
              <w:end w:w="85" w:type="dxa"/>
            </w:tcMar>
          </w:tcPr>
          <w:p>
            <w:r>
              <w:rPr>
                <w:rFonts w:ascii="Aptos" w:hAnsi="Aptos"/>
                <w:b w:val="0"/>
                <w:i w:val="0"/>
                <w:color w:val="1D2939"/>
                <w:sz w:val="17"/>
              </w:rPr>
              <w:t>Clinical / Salud Visual</w:t>
            </w:r>
          </w:p>
        </w:tc>
      </w:tr>
      <w:tr>
        <w:tc>
          <w:tcPr>
            <w:tcW w:type="dxa" w:w="5083"/>
            <w:tcMar>
              <w:top w:w="70" w:type="dxa"/>
              <w:start w:w="85" w:type="dxa"/>
              <w:bottom w:w="70" w:type="dxa"/>
              <w:end w:w="85" w:type="dxa"/>
            </w:tcMar>
          </w:tcPr>
          <w:p>
            <w:r>
              <w:rPr>
                <w:rFonts w:ascii="Aptos" w:hAnsi="Aptos"/>
                <w:b w:val="0"/>
                <w:i w:val="0"/>
                <w:color w:val="1D2939"/>
                <w:sz w:val="17"/>
              </w:rPr>
              <w:t>OT y consumo de receta</w:t>
            </w:r>
          </w:p>
        </w:tc>
        <w:tc>
          <w:tcPr>
            <w:tcW w:type="dxa" w:w="5083"/>
            <w:tcMar>
              <w:top w:w="70" w:type="dxa"/>
              <w:start w:w="85" w:type="dxa"/>
              <w:bottom w:w="70" w:type="dxa"/>
              <w:end w:w="85" w:type="dxa"/>
            </w:tcMar>
          </w:tcPr>
          <w:p>
            <w:r>
              <w:rPr>
                <w:rFonts w:ascii="Aptos" w:hAnsi="Aptos"/>
                <w:b w:val="0"/>
                <w:i w:val="0"/>
                <w:color w:val="1D2939"/>
                <w:sz w:val="17"/>
              </w:rPr>
              <w:t>Optics</w:t>
            </w:r>
          </w:p>
        </w:tc>
      </w:tr>
      <w:tr>
        <w:tc>
          <w:tcPr>
            <w:tcW w:type="dxa" w:w="5083"/>
            <w:tcMar>
              <w:top w:w="70" w:type="dxa"/>
              <w:start w:w="85" w:type="dxa"/>
              <w:bottom w:w="70" w:type="dxa"/>
              <w:end w:w="85" w:type="dxa"/>
            </w:tcMar>
          </w:tcPr>
          <w:p>
            <w:r>
              <w:rPr>
                <w:rFonts w:ascii="Aptos" w:hAnsi="Aptos"/>
                <w:b w:val="0"/>
                <w:i w:val="0"/>
                <w:color w:val="1D2939"/>
                <w:sz w:val="17"/>
              </w:rPr>
              <w:t>Armazones, cristales, SKU y stock</w:t>
            </w:r>
          </w:p>
        </w:tc>
        <w:tc>
          <w:tcPr>
            <w:tcW w:type="dxa" w:w="5083"/>
            <w:tcMar>
              <w:top w:w="70" w:type="dxa"/>
              <w:start w:w="85" w:type="dxa"/>
              <w:bottom w:w="70" w:type="dxa"/>
              <w:end w:w="85" w:type="dxa"/>
            </w:tcMar>
          </w:tcPr>
          <w:p>
            <w:r>
              <w:rPr>
                <w:rFonts w:ascii="Aptos" w:hAnsi="Aptos"/>
                <w:b w:val="0"/>
                <w:i w:val="0"/>
                <w:color w:val="1D2939"/>
                <w:sz w:val="17"/>
              </w:rPr>
              <w:t>Products &amp; Inventory</w:t>
            </w:r>
          </w:p>
        </w:tc>
      </w:tr>
      <w:tr>
        <w:tc>
          <w:tcPr>
            <w:tcW w:type="dxa" w:w="5083"/>
            <w:tcMar>
              <w:top w:w="70" w:type="dxa"/>
              <w:start w:w="85" w:type="dxa"/>
              <w:bottom w:w="70" w:type="dxa"/>
              <w:end w:w="85" w:type="dxa"/>
            </w:tcMar>
          </w:tcPr>
          <w:p>
            <w:r>
              <w:rPr>
                <w:rFonts w:ascii="Aptos" w:hAnsi="Aptos"/>
                <w:b w:val="0"/>
                <w:i w:val="0"/>
                <w:color w:val="1D2939"/>
                <w:sz w:val="17"/>
              </w:rPr>
              <w:t>Venta, pagos y descuento por planilla</w:t>
            </w:r>
          </w:p>
        </w:tc>
        <w:tc>
          <w:tcPr>
            <w:tcW w:type="dxa" w:w="5083"/>
            <w:tcMar>
              <w:top w:w="70" w:type="dxa"/>
              <w:start w:w="85" w:type="dxa"/>
              <w:bottom w:w="70" w:type="dxa"/>
              <w:end w:w="85" w:type="dxa"/>
            </w:tcMar>
          </w:tcPr>
          <w:p>
            <w:r>
              <w:rPr>
                <w:rFonts w:ascii="Aptos" w:hAnsi="Aptos"/>
                <w:b w:val="0"/>
                <w:i w:val="0"/>
                <w:color w:val="1D2939"/>
                <w:sz w:val="17"/>
              </w:rPr>
              <w:t>Sales &amp; Payments</w:t>
            </w:r>
          </w:p>
        </w:tc>
      </w:tr>
      <w:tr>
        <w:tc>
          <w:tcPr>
            <w:tcW w:type="dxa" w:w="5083"/>
            <w:tcMar>
              <w:top w:w="70" w:type="dxa"/>
              <w:start w:w="85" w:type="dxa"/>
              <w:bottom w:w="70" w:type="dxa"/>
              <w:end w:w="85" w:type="dxa"/>
            </w:tcMar>
          </w:tcPr>
          <w:p>
            <w:r>
              <w:rPr>
                <w:rFonts w:ascii="Aptos" w:hAnsi="Aptos"/>
                <w:b w:val="0"/>
                <w:i w:val="0"/>
                <w:color w:val="1D2939"/>
                <w:sz w:val="17"/>
              </w:rPr>
              <w:t>Imágenes, PDF, receta y OT</w:t>
            </w:r>
          </w:p>
        </w:tc>
        <w:tc>
          <w:tcPr>
            <w:tcW w:type="dxa" w:w="5083"/>
            <w:tcMar>
              <w:top w:w="70" w:type="dxa"/>
              <w:start w:w="85" w:type="dxa"/>
              <w:bottom w:w="70" w:type="dxa"/>
              <w:end w:w="85" w:type="dxa"/>
            </w:tcMar>
          </w:tcPr>
          <w:p>
            <w:r>
              <w:rPr>
                <w:rFonts w:ascii="Aptos" w:hAnsi="Aptos"/>
                <w:b w:val="0"/>
                <w:i w:val="0"/>
                <w:color w:val="1D2939"/>
                <w:sz w:val="17"/>
              </w:rPr>
              <w:t>Documents</w:t>
            </w:r>
          </w:p>
        </w:tc>
      </w:tr>
      <w:tr>
        <w:tc>
          <w:tcPr>
            <w:tcW w:type="dxa" w:w="5083"/>
            <w:tcMar>
              <w:top w:w="70" w:type="dxa"/>
              <w:start w:w="85" w:type="dxa"/>
              <w:bottom w:w="70" w:type="dxa"/>
              <w:end w:w="85" w:type="dxa"/>
            </w:tcMar>
          </w:tcPr>
          <w:p>
            <w:r>
              <w:rPr>
                <w:rFonts w:ascii="Aptos" w:hAnsi="Aptos"/>
                <w:b w:val="0"/>
                <w:i w:val="0"/>
                <w:color w:val="1D2939"/>
                <w:sz w:val="17"/>
              </w:rPr>
              <w:t>Empresa y convenio</w:t>
            </w:r>
          </w:p>
        </w:tc>
        <w:tc>
          <w:tcPr>
            <w:tcW w:type="dxa" w:w="5083"/>
            <w:tcMar>
              <w:top w:w="70" w:type="dxa"/>
              <w:start w:w="85" w:type="dxa"/>
              <w:bottom w:w="70" w:type="dxa"/>
              <w:end w:w="85" w:type="dxa"/>
            </w:tcMar>
          </w:tcPr>
          <w:p>
            <w:r>
              <w:rPr>
                <w:rFonts w:ascii="Aptos" w:hAnsi="Aptos"/>
                <w:b w:val="0"/>
                <w:i w:val="0"/>
                <w:color w:val="1D2939"/>
                <w:sz w:val="17"/>
              </w:rPr>
              <w:t>CRM / Agreements</w:t>
            </w:r>
          </w:p>
        </w:tc>
      </w:tr>
      <w:tr>
        <w:tc>
          <w:tcPr>
            <w:tcW w:type="dxa" w:w="5083"/>
            <w:tcMar>
              <w:top w:w="70" w:type="dxa"/>
              <w:start w:w="85" w:type="dxa"/>
              <w:bottom w:w="70" w:type="dxa"/>
              <w:end w:w="85" w:type="dxa"/>
            </w:tcMar>
          </w:tcPr>
          <w:p>
            <w:r>
              <w:rPr>
                <w:rFonts w:ascii="Aptos" w:hAnsi="Aptos"/>
                <w:b w:val="0"/>
                <w:i w:val="0"/>
                <w:color w:val="1D2939"/>
                <w:sz w:val="17"/>
              </w:rPr>
              <w:t>KPIs, dashboards y exportaciones</w:t>
            </w:r>
          </w:p>
        </w:tc>
        <w:tc>
          <w:tcPr>
            <w:tcW w:type="dxa" w:w="5083"/>
            <w:tcMar>
              <w:top w:w="70" w:type="dxa"/>
              <w:start w:w="85" w:type="dxa"/>
              <w:bottom w:w="70" w:type="dxa"/>
              <w:end w:w="85" w:type="dxa"/>
            </w:tcMar>
          </w:tcPr>
          <w:p>
            <w:r>
              <w:rPr>
                <w:rFonts w:ascii="Aptos" w:hAnsi="Aptos"/>
                <w:b w:val="0"/>
                <w:i w:val="0"/>
                <w:color w:val="1D2939"/>
                <w:sz w:val="17"/>
              </w:rPr>
              <w:t>Reporting</w:t>
            </w:r>
          </w:p>
        </w:tc>
      </w:tr>
    </w:tbl>
    <w:p>
      <w:r>
        <w:br w:type="page"/>
      </w:r>
    </w:p>
    <w:p>
      <w:pPr>
        <w:pStyle w:val="Heading1"/>
        <w:spacing w:before="160" w:after="80"/>
        <w:keepNext/>
      </w:pPr>
      <w:r>
        <w:t>7. Alcance recomendado para Sprint 2</w:t>
      </w:r>
    </w:p>
    <w:p>
      <w:pPr>
        <w:spacing w:before="0" w:after="100" w:line="252" w:lineRule="auto"/>
      </w:pPr>
      <w:r>
        <w:rPr>
          <w:rFonts w:ascii="Aptos" w:hAnsi="Aptos"/>
          <w:b w:val="0"/>
          <w:i w:val="0"/>
          <w:color w:val="1D2939"/>
          <w:sz w:val="20"/>
        </w:rPr>
        <w:t>Para mantener el Objetivo Semanal Nº 4 alcanzable, se recomienda congelar el desarrollo principal en el primer flujo clínico integrado y dejar el resto como backlog documentado.</w:t>
      </w:r>
    </w:p>
    <w:tbl>
      <w:tblPr>
        <w:tblStyle w:val="TableGrid"/>
        <w:tblW w:type="auto" w:w="0"/>
        <w:jc w:val="center"/>
        <w:tblLook w:firstColumn="1" w:firstRow="1" w:lastColumn="0" w:lastRow="0" w:noHBand="0" w:noVBand="1" w:val="04A0"/>
      </w:tblPr>
      <w:tblGrid>
        <w:gridCol w:w="5083"/>
        <w:gridCol w:w="5083"/>
      </w:tblGrid>
      <w:tr>
        <w:tc>
          <w:tcPr>
            <w:tcW w:type="dxa" w:w="5083"/>
            <w:shd w:fill="16324F"/>
          </w:tcPr>
          <w:p>
            <w:r>
              <w:rPr>
                <w:rFonts w:ascii="Aptos" w:hAnsi="Aptos"/>
                <w:b/>
                <w:i w:val="0"/>
                <w:color w:val="FFFFFF"/>
                <w:sz w:val="18"/>
              </w:rPr>
              <w:t>Implementar / cerrar esta semana</w:t>
            </w:r>
          </w:p>
        </w:tc>
        <w:tc>
          <w:tcPr>
            <w:tcW w:type="dxa" w:w="5083"/>
            <w:shd w:fill="16324F"/>
          </w:tcPr>
          <w:p>
            <w:r>
              <w:rPr>
                <w:rFonts w:ascii="Aptos" w:hAnsi="Aptos"/>
                <w:b/>
                <w:i w:val="0"/>
                <w:color w:val="FFFFFF"/>
                <w:sz w:val="18"/>
              </w:rPr>
              <w:t>Preparar para siguientes incrementos</w:t>
            </w:r>
          </w:p>
        </w:tc>
      </w:tr>
      <w:tr>
        <w:tc>
          <w:tcPr>
            <w:tcW w:type="dxa" w:w="5083"/>
            <w:tcMar>
              <w:top w:w="70" w:type="dxa"/>
              <w:start w:w="85" w:type="dxa"/>
              <w:bottom w:w="70" w:type="dxa"/>
              <w:end w:w="85" w:type="dxa"/>
            </w:tcMar>
          </w:tcPr>
          <w:p>
            <w:r>
              <w:rPr>
                <w:rFonts w:ascii="Aptos" w:hAnsi="Aptos"/>
                <w:b w:val="0"/>
                <w:i w:val="0"/>
                <w:color w:val="1D2939"/>
                <w:sz w:val="17"/>
              </w:rPr>
              <w:t>Buscar y seleccionar paciente existente.</w:t>
            </w:r>
          </w:p>
        </w:tc>
        <w:tc>
          <w:tcPr>
            <w:tcW w:type="dxa" w:w="5083"/>
            <w:tcMar>
              <w:top w:w="70" w:type="dxa"/>
              <w:start w:w="85" w:type="dxa"/>
              <w:bottom w:w="70" w:type="dxa"/>
              <w:end w:w="85" w:type="dxa"/>
            </w:tcMar>
          </w:tcPr>
          <w:p>
            <w:r>
              <w:rPr>
                <w:rFonts w:ascii="Aptos" w:hAnsi="Aptos"/>
                <w:b w:val="0"/>
                <w:i w:val="0"/>
                <w:color w:val="1D2939"/>
                <w:sz w:val="17"/>
              </w:rPr>
              <w:t>Calendario completo y administración avanzada de operativos.</w:t>
            </w:r>
          </w:p>
        </w:tc>
      </w:tr>
      <w:tr>
        <w:tc>
          <w:tcPr>
            <w:tcW w:type="dxa" w:w="5083"/>
            <w:tcMar>
              <w:top w:w="70" w:type="dxa"/>
              <w:start w:w="85" w:type="dxa"/>
              <w:bottom w:w="70" w:type="dxa"/>
              <w:end w:w="85" w:type="dxa"/>
            </w:tcMar>
          </w:tcPr>
          <w:p>
            <w:r>
              <w:rPr>
                <w:rFonts w:ascii="Aptos" w:hAnsi="Aptos"/>
                <w:b w:val="0"/>
                <w:i w:val="0"/>
                <w:color w:val="1D2939"/>
                <w:sz w:val="17"/>
              </w:rPr>
              <w:t>Crear atención de Salud Visual.</w:t>
            </w:r>
          </w:p>
        </w:tc>
        <w:tc>
          <w:tcPr>
            <w:tcW w:type="dxa" w:w="5083"/>
            <w:tcMar>
              <w:top w:w="70" w:type="dxa"/>
              <w:start w:w="85" w:type="dxa"/>
              <w:bottom w:w="70" w:type="dxa"/>
              <w:end w:w="85" w:type="dxa"/>
            </w:tcMar>
          </w:tcPr>
          <w:p>
            <w:r>
              <w:rPr>
                <w:rFonts w:ascii="Aptos" w:hAnsi="Aptos"/>
                <w:b w:val="0"/>
                <w:i w:val="0"/>
                <w:color w:val="1D2939"/>
                <w:sz w:val="17"/>
              </w:rPr>
              <w:t>Retinografía completa si excede el tiempo disponible.</w:t>
            </w:r>
          </w:p>
        </w:tc>
      </w:tr>
      <w:tr>
        <w:tc>
          <w:tcPr>
            <w:tcW w:type="dxa" w:w="5083"/>
            <w:tcMar>
              <w:top w:w="70" w:type="dxa"/>
              <w:start w:w="85" w:type="dxa"/>
              <w:bottom w:w="70" w:type="dxa"/>
              <w:end w:w="85" w:type="dxa"/>
            </w:tcMar>
          </w:tcPr>
          <w:p>
            <w:r>
              <w:rPr>
                <w:rFonts w:ascii="Aptos" w:hAnsi="Aptos"/>
                <w:b w:val="0"/>
                <w:i w:val="0"/>
                <w:color w:val="1D2939"/>
                <w:sz w:val="17"/>
              </w:rPr>
              <w:t>Registrar y persistir screening.</w:t>
            </w:r>
          </w:p>
        </w:tc>
        <w:tc>
          <w:tcPr>
            <w:tcW w:type="dxa" w:w="5083"/>
            <w:tcMar>
              <w:top w:w="70" w:type="dxa"/>
              <w:start w:w="85" w:type="dxa"/>
              <w:bottom w:w="70" w:type="dxa"/>
              <w:end w:w="85" w:type="dxa"/>
            </w:tcMar>
          </w:tcPr>
          <w:p>
            <w:r>
              <w:rPr>
                <w:rFonts w:ascii="Aptos" w:hAnsi="Aptos"/>
                <w:b w:val="0"/>
                <w:i w:val="0"/>
                <w:color w:val="1D2939"/>
                <w:sz w:val="17"/>
              </w:rPr>
              <w:t>PDF definitivo y firma digital final.</w:t>
            </w:r>
          </w:p>
        </w:tc>
      </w:tr>
      <w:tr>
        <w:tc>
          <w:tcPr>
            <w:tcW w:type="dxa" w:w="5083"/>
            <w:tcMar>
              <w:top w:w="70" w:type="dxa"/>
              <w:start w:w="85" w:type="dxa"/>
              <w:bottom w:w="70" w:type="dxa"/>
              <w:end w:w="85" w:type="dxa"/>
            </w:tcMar>
          </w:tcPr>
          <w:p>
            <w:r>
              <w:rPr>
                <w:rFonts w:ascii="Aptos" w:hAnsi="Aptos"/>
                <w:b w:val="0"/>
                <w:i w:val="0"/>
                <w:color w:val="1D2939"/>
                <w:sz w:val="17"/>
              </w:rPr>
              <w:t>Registrar receta y automatizaciones acordadas.</w:t>
            </w:r>
          </w:p>
        </w:tc>
        <w:tc>
          <w:tcPr>
            <w:tcW w:type="dxa" w:w="5083"/>
            <w:tcMar>
              <w:top w:w="70" w:type="dxa"/>
              <w:start w:w="85" w:type="dxa"/>
              <w:bottom w:w="70" w:type="dxa"/>
              <w:end w:w="85" w:type="dxa"/>
            </w:tcMar>
          </w:tcPr>
          <w:p>
            <w:r>
              <w:rPr>
                <w:rFonts w:ascii="Aptos" w:hAnsi="Aptos"/>
                <w:b w:val="0"/>
                <w:i w:val="0"/>
                <w:color w:val="1D2939"/>
                <w:sz w:val="17"/>
              </w:rPr>
              <w:t>OT completa, cotización y venta.</w:t>
            </w:r>
          </w:p>
        </w:tc>
      </w:tr>
      <w:tr>
        <w:tc>
          <w:tcPr>
            <w:tcW w:type="dxa" w:w="5083"/>
            <w:tcMar>
              <w:top w:w="70" w:type="dxa"/>
              <w:start w:w="85" w:type="dxa"/>
              <w:bottom w:w="70" w:type="dxa"/>
              <w:end w:w="85" w:type="dxa"/>
            </w:tcMar>
          </w:tcPr>
          <w:p>
            <w:r>
              <w:rPr>
                <w:rFonts w:ascii="Aptos" w:hAnsi="Aptos"/>
                <w:b w:val="0"/>
                <w:i w:val="0"/>
                <w:color w:val="1D2939"/>
                <w:sz w:val="17"/>
              </w:rPr>
              <w:t>Guardar y volver a consultar atención/receta.</w:t>
            </w:r>
          </w:p>
        </w:tc>
        <w:tc>
          <w:tcPr>
            <w:tcW w:type="dxa" w:w="5083"/>
            <w:tcMar>
              <w:top w:w="70" w:type="dxa"/>
              <w:start w:w="85" w:type="dxa"/>
              <w:bottom w:w="70" w:type="dxa"/>
              <w:end w:w="85" w:type="dxa"/>
            </w:tcMar>
          </w:tcPr>
          <w:p>
            <w:r>
              <w:rPr>
                <w:rFonts w:ascii="Aptos" w:hAnsi="Aptos"/>
                <w:b w:val="0"/>
                <w:i w:val="0"/>
                <w:color w:val="1D2939"/>
                <w:sz w:val="17"/>
              </w:rPr>
              <w:t>Catálogo/stock completo de armazones y cristales.</w:t>
            </w:r>
          </w:p>
        </w:tc>
      </w:tr>
      <w:tr>
        <w:tc>
          <w:tcPr>
            <w:tcW w:type="dxa" w:w="5083"/>
            <w:tcMar>
              <w:top w:w="70" w:type="dxa"/>
              <w:start w:w="85" w:type="dxa"/>
              <w:bottom w:w="70" w:type="dxa"/>
              <w:end w:w="85" w:type="dxa"/>
            </w:tcMar>
          </w:tcPr>
          <w:p>
            <w:r>
              <w:rPr>
                <w:rFonts w:ascii="Aptos" w:hAnsi="Aptos"/>
                <w:b w:val="0"/>
                <w:i w:val="0"/>
                <w:color w:val="1D2939"/>
                <w:sz w:val="17"/>
              </w:rPr>
              <w:t>Dejar la receta disponible para integración con Óptica.</w:t>
            </w:r>
          </w:p>
        </w:tc>
        <w:tc>
          <w:tcPr>
            <w:tcW w:type="dxa" w:w="5083"/>
            <w:tcMar>
              <w:top w:w="70" w:type="dxa"/>
              <w:start w:w="85" w:type="dxa"/>
              <w:bottom w:w="70" w:type="dxa"/>
              <w:end w:w="85" w:type="dxa"/>
            </w:tcMar>
          </w:tcPr>
          <w:p>
            <w:r>
              <w:rPr>
                <w:rFonts w:ascii="Aptos" w:hAnsi="Aptos"/>
                <w:b w:val="0"/>
                <w:i w:val="0"/>
                <w:color w:val="1D2939"/>
                <w:sz w:val="17"/>
              </w:rPr>
              <w:t>Pagos, cuotas y descuento por planilla.</w:t>
            </w:r>
          </w:p>
        </w:tc>
      </w:tr>
      <w:tr>
        <w:tc>
          <w:tcPr>
            <w:tcW w:type="dxa" w:w="5083"/>
            <w:tcMar>
              <w:top w:w="70" w:type="dxa"/>
              <w:start w:w="85" w:type="dxa"/>
              <w:bottom w:w="70" w:type="dxa"/>
              <w:end w:w="85" w:type="dxa"/>
            </w:tcMar>
          </w:tcPr>
          <w:p>
            <w:r>
              <w:rPr>
                <w:rFonts w:ascii="Aptos" w:hAnsi="Aptos"/>
                <w:b w:val="0"/>
                <w:i w:val="0"/>
                <w:color w:val="1D2939"/>
                <w:sz w:val="17"/>
              </w:rPr>
              <w:t>Cerrar matriz funcional de roles y permisos.</w:t>
            </w:r>
          </w:p>
        </w:tc>
        <w:tc>
          <w:tcPr>
            <w:tcW w:type="dxa" w:w="5083"/>
            <w:tcMar>
              <w:top w:w="70" w:type="dxa"/>
              <w:start w:w="85" w:type="dxa"/>
              <w:bottom w:w="70" w:type="dxa"/>
              <w:end w:w="85" w:type="dxa"/>
            </w:tcMar>
          </w:tcPr>
          <w:p>
            <w:r>
              <w:rPr>
                <w:rFonts w:ascii="Aptos" w:hAnsi="Aptos"/>
                <w:b w:val="0"/>
                <w:i w:val="0"/>
                <w:color w:val="1D2939"/>
                <w:sz w:val="17"/>
              </w:rPr>
              <w:t>Dashboards, KPIs y exportación Excel completa.</w:t>
            </w:r>
          </w:p>
        </w:tc>
      </w:tr>
      <w:tr>
        <w:tc>
          <w:tcPr>
            <w:tcW w:type="dxa" w:w="5083"/>
            <w:tcMar>
              <w:top w:w="70" w:type="dxa"/>
              <w:start w:w="85" w:type="dxa"/>
              <w:bottom w:w="70" w:type="dxa"/>
              <w:end w:w="85" w:type="dxa"/>
            </w:tcMar>
          </w:tcPr>
          <w:p>
            <w:r>
              <w:rPr>
                <w:rFonts w:ascii="Aptos" w:hAnsi="Aptos"/>
                <w:b w:val="0"/>
                <w:i w:val="0"/>
                <w:color w:val="1D2939"/>
                <w:sz w:val="17"/>
              </w:rPr>
              <w:t>Definir arquitectura CRM–Google Workspace.</w:t>
            </w:r>
          </w:p>
        </w:tc>
        <w:tc>
          <w:tcPr>
            <w:tcW w:type="dxa" w:w="5083"/>
            <w:tcMar>
              <w:top w:w="70" w:type="dxa"/>
              <w:start w:w="85" w:type="dxa"/>
              <w:bottom w:w="70" w:type="dxa"/>
              <w:end w:w="85" w:type="dxa"/>
            </w:tcMar>
          </w:tcPr>
          <w:p>
            <w:r>
              <w:rPr>
                <w:rFonts w:ascii="Aptos" w:hAnsi="Aptos"/>
                <w:b w:val="0"/>
                <w:i w:val="0"/>
                <w:color w:val="1D2939"/>
                <w:sz w:val="17"/>
              </w:rPr>
              <w:t>Automatizaciones de correo del pipeline.</w:t>
            </w:r>
          </w:p>
        </w:tc>
      </w:tr>
    </w:tbl>
    <w:p>
      <w:pPr>
        <w:pStyle w:val="Heading1"/>
        <w:spacing w:before="160" w:after="80"/>
        <w:keepNext/>
      </w:pPr>
      <w:r>
        <w:t>8. Reglas y decisiones que deben quedar explícitas</w:t>
      </w:r>
    </w:p>
    <w:p>
      <w:pPr>
        <w:pStyle w:val="ListBullet"/>
        <w:spacing w:after="40" w:line="247" w:lineRule="auto"/>
      </w:pPr>
      <w:r>
        <w:rPr>
          <w:rFonts w:ascii="Aptos" w:hAnsi="Aptos"/>
          <w:b w:val="0"/>
          <w:i w:val="0"/>
          <w:color w:val="1D2939"/>
          <w:sz w:val="19"/>
        </w:rPr>
        <w:t>Un paciente debe existir una sola vez y conservar historial longitudinal.</w:t>
      </w:r>
    </w:p>
    <w:p>
      <w:pPr>
        <w:pStyle w:val="ListBullet"/>
        <w:spacing w:after="40" w:line="247" w:lineRule="auto"/>
      </w:pPr>
      <w:r>
        <w:rPr>
          <w:rFonts w:ascii="Aptos" w:hAnsi="Aptos"/>
          <w:b w:val="0"/>
          <w:i w:val="0"/>
          <w:color w:val="1D2939"/>
          <w:sz w:val="19"/>
        </w:rPr>
        <w:t>La receta del Sprint 2 debe quedar asociada a una atención y a un paciente; el Objetivo Semanal define una receta por atención.</w:t>
      </w:r>
    </w:p>
    <w:p>
      <w:pPr>
        <w:pStyle w:val="ListBullet"/>
        <w:spacing w:after="40" w:line="247" w:lineRule="auto"/>
      </w:pPr>
      <w:r>
        <w:rPr>
          <w:rFonts w:ascii="Aptos" w:hAnsi="Aptos"/>
          <w:b w:val="0"/>
          <w:i w:val="0"/>
          <w:color w:val="1D2939"/>
          <w:sz w:val="19"/>
        </w:rPr>
        <w:t>El equipo de terreno debería configurarse a nivel de operativo y no repetirse manualmente por paciente.</w:t>
      </w:r>
    </w:p>
    <w:p>
      <w:pPr>
        <w:pStyle w:val="ListBullet"/>
        <w:spacing w:after="40" w:line="247" w:lineRule="auto"/>
      </w:pPr>
      <w:r>
        <w:rPr>
          <w:rFonts w:ascii="Aptos" w:hAnsi="Aptos"/>
          <w:b w:val="0"/>
          <w:i w:val="0"/>
          <w:color w:val="1D2939"/>
          <w:sz w:val="19"/>
        </w:rPr>
        <w:t>Las listas clínicas/comerciales recurrentes conviene manejarlas como catálogos controlados, no como texto libre.</w:t>
      </w:r>
    </w:p>
    <w:p>
      <w:pPr>
        <w:pStyle w:val="ListBullet"/>
        <w:spacing w:after="40" w:line="247" w:lineRule="auto"/>
      </w:pPr>
      <w:r>
        <w:rPr>
          <w:rFonts w:ascii="Aptos" w:hAnsi="Aptos"/>
          <w:b w:val="0"/>
          <w:i w:val="0"/>
          <w:color w:val="1D2939"/>
          <w:sz w:val="19"/>
        </w:rPr>
        <w:t>Las automatizaciones clínicas deben validarse con CSA y cubrirse mediante pruebas.</w:t>
      </w:r>
    </w:p>
    <w:p>
      <w:pPr>
        <w:pStyle w:val="ListBullet"/>
        <w:spacing w:after="40" w:line="247" w:lineRule="auto"/>
      </w:pPr>
      <w:r>
        <w:rPr>
          <w:rFonts w:ascii="Aptos" w:hAnsi="Aptos"/>
          <w:b w:val="0"/>
          <w:i w:val="0"/>
          <w:color w:val="1D2939"/>
          <w:sz w:val="19"/>
        </w:rPr>
        <w:t>La matriz de permisos debe cerrarse antes de aplicar restricciones finas a endpoints y acciones de cada módulo.</w:t>
      </w:r>
    </w:p>
    <w:p>
      <w:pPr>
        <w:pStyle w:val="ListBullet"/>
        <w:spacing w:after="40" w:line="247" w:lineRule="auto"/>
      </w:pPr>
      <w:r>
        <w:rPr>
          <w:rFonts w:ascii="Aptos" w:hAnsi="Aptos"/>
          <w:b w:val="0"/>
          <w:i w:val="0"/>
          <w:color w:val="1D2939"/>
          <w:sz w:val="19"/>
        </w:rPr>
        <w:t>Los videos son referencias funcionales; no constituyen por sí solos una especificación técnica completa.</w:t>
      </w:r>
    </w:p>
    <w:p>
      <w:pPr>
        <w:pStyle w:val="Heading1"/>
        <w:spacing w:before="160" w:after="80"/>
        <w:keepNext/>
      </w:pPr>
      <w:r>
        <w:t>9. Pendientes de validación con CSA</w:t>
      </w:r>
    </w:p>
    <w:p>
      <w:pPr>
        <w:spacing w:before="0" w:after="100" w:line="252" w:lineRule="auto"/>
      </w:pPr>
      <w:r>
        <w:rPr>
          <w:rFonts w:ascii="Aptos" w:hAnsi="Aptos"/>
          <w:b w:val="0"/>
          <w:i w:val="0"/>
          <w:color w:val="1D2939"/>
          <w:sz w:val="20"/>
        </w:rPr>
        <w:t>Antes de cerrar diseños definitivos, permanecen decisiones que conviene confirmar o documentar durante los siguientes objetivos:</w:t>
      </w:r>
    </w:p>
    <w:p>
      <w:pPr>
        <w:pStyle w:val="ListNumber"/>
        <w:spacing w:after="40" w:line="247" w:lineRule="auto"/>
      </w:pPr>
      <w:r>
        <w:rPr>
          <w:rFonts w:ascii="Aptos" w:hAnsi="Aptos"/>
          <w:b w:val="0"/>
          <w:i w:val="0"/>
          <w:color w:val="1D2939"/>
          <w:sz w:val="19"/>
        </w:rPr>
        <w:t>¿El screening es obligatorio antes de toda receta y qué estados debe recorrer la atención?</w:t>
      </w:r>
    </w:p>
    <w:p>
      <w:pPr>
        <w:pStyle w:val="ListNumber"/>
        <w:spacing w:after="40" w:line="247" w:lineRule="auto"/>
      </w:pPr>
      <w:r>
        <w:rPr>
          <w:rFonts w:ascii="Aptos" w:hAnsi="Aptos"/>
          <w:b w:val="0"/>
          <w:i w:val="0"/>
          <w:color w:val="1D2939"/>
          <w:sz w:val="19"/>
        </w:rPr>
        <w:t>¿Cuáles son los catálogos definitivos de tipo de lente, material, tratamiento y uso?</w:t>
      </w:r>
    </w:p>
    <w:p>
      <w:pPr>
        <w:pStyle w:val="ListNumber"/>
        <w:spacing w:after="40" w:line="247" w:lineRule="auto"/>
      </w:pPr>
      <w:r>
        <w:rPr>
          <w:rFonts w:ascii="Aptos" w:hAnsi="Aptos"/>
          <w:b w:val="0"/>
          <w:i w:val="0"/>
          <w:color w:val="1D2939"/>
          <w:sz w:val="19"/>
        </w:rPr>
        <w:t>¿Qué reglas exactas debe conservar la automatización de ADD y DP de cerca?</w:t>
      </w:r>
    </w:p>
    <w:p>
      <w:pPr>
        <w:pStyle w:val="ListNumber"/>
        <w:spacing w:after="40" w:line="247" w:lineRule="auto"/>
      </w:pPr>
      <w:r>
        <w:rPr>
          <w:rFonts w:ascii="Aptos" w:hAnsi="Aptos"/>
          <w:b w:val="0"/>
          <w:i w:val="0"/>
          <w:color w:val="1D2939"/>
          <w:sz w:val="19"/>
        </w:rPr>
        <w:t>¿Qué perfiles pueden crear, editar, cerrar o consultar atención, receta, retinografía y operativos?</w:t>
      </w:r>
    </w:p>
    <w:p>
      <w:pPr>
        <w:pStyle w:val="ListNumber"/>
        <w:spacing w:after="40" w:line="247" w:lineRule="auto"/>
      </w:pPr>
      <w:r>
        <w:rPr>
          <w:rFonts w:ascii="Aptos" w:hAnsi="Aptos"/>
          <w:b w:val="0"/>
          <w:i w:val="0"/>
          <w:color w:val="1D2939"/>
          <w:sz w:val="19"/>
        </w:rPr>
        <w:t>¿Cuándo se genera la OT y cuál es su relación exacta con cotización/venta?</w:t>
      </w:r>
    </w:p>
    <w:p>
      <w:pPr>
        <w:pStyle w:val="ListNumber"/>
        <w:spacing w:after="40" w:line="247" w:lineRule="auto"/>
      </w:pPr>
      <w:r>
        <w:rPr>
          <w:rFonts w:ascii="Aptos" w:hAnsi="Aptos"/>
          <w:b w:val="0"/>
          <w:i w:val="0"/>
          <w:color w:val="1D2939"/>
          <w:sz w:val="19"/>
        </w:rPr>
        <w:t>¿Qué datos deben conservarse en documentos/PDF y qué mecanismo de firma se utilizará finalmente?</w:t>
      </w:r>
    </w:p>
    <w:p>
      <w:pPr>
        <w:pStyle w:val="Heading1"/>
        <w:spacing w:before="160" w:after="80"/>
        <w:keepNext/>
      </w:pPr>
      <w:r>
        <w:t>10. Conclusión</w:t>
      </w:r>
    </w:p>
    <w:p>
      <w:pPr>
        <w:spacing w:before="0" w:after="100" w:line="252" w:lineRule="auto"/>
      </w:pPr>
      <w:r>
        <w:rPr>
          <w:rFonts w:ascii="Aptos" w:hAnsi="Aptos"/>
          <w:b w:val="0"/>
          <w:i w:val="0"/>
          <w:color w:val="1D2939"/>
          <w:sz w:val="20"/>
        </w:rPr>
        <w:t>El análisis confirma que el valor de CSA Platform no estará en reproducir los softwares actuales, sino en integrar procesos hoy separados alrededor de una identidad única de paciente. Para el Sprint 2, la prioridad debe mantenerse en el flujo mínimo demostrable: paciente → atención → screening → receta → persistencia → consulta → disponibilidad para Óptica; los demás hallazgos quedan como backlog y condicionantes de arquitectura.</w:t>
      </w:r>
    </w:p>
    <w:p>
      <w:pPr>
        <w:spacing w:before="60" w:after="0" w:line="247" w:lineRule="auto"/>
      </w:pPr>
      <w:r>
        <w:rPr>
          <w:rFonts w:ascii="Aptos" w:hAnsi="Aptos"/>
          <w:b/>
          <w:i w:val="0"/>
          <w:color w:val="16324F"/>
          <w:sz w:val="19"/>
        </w:rPr>
        <w:t xml:space="preserve">Resultado del análisis: </w:t>
      </w:r>
      <w:r>
        <w:rPr>
          <w:rFonts w:ascii="Aptos" w:hAnsi="Aptos"/>
          <w:b w:val="0"/>
          <w:i w:val="0"/>
          <w:color w:val="1D2939"/>
          <w:sz w:val="19"/>
        </w:rPr>
        <w:t>La información recopilada es suficiente para iniciar el diseño concreto del Sprint 2.</w:t>
      </w:r>
    </w:p>
    <w:sectPr w:rsidR="00FC693F" w:rsidRPr="0006063C" w:rsidSect="00034616">
      <w:headerReference w:type="default" r:id="rId9"/>
      <w:footerReference w:type="default" r:id="rId10"/>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7085"/>
        <w:sz w:val="16"/>
      </w:rPr>
      <w:t>Sprint 2 · Salud Visual y Óptica · Septiembre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67085"/>
        <w:sz w:val="16"/>
      </w:rPr>
      <w:t>CSA PLATFORM | ANÁLISIS FUNCIONAL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57D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D293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