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F4" w:rsidRDefault="000F21F4" w:rsidP="000F21F4">
      <w:pPr>
        <w:pStyle w:val="Title"/>
        <w:jc w:val="center"/>
      </w:pPr>
      <w:r>
        <w:t xml:space="preserve">COURSERA </w:t>
      </w:r>
      <w:r>
        <w:rPr>
          <w:rFonts w:hint="eastAsia"/>
        </w:rPr>
        <w:t>Ca</w:t>
      </w:r>
      <w:r>
        <w:t xml:space="preserve">pstone Project:  </w:t>
      </w:r>
    </w:p>
    <w:p w:rsidR="000F21F4" w:rsidRDefault="000F21F4" w:rsidP="000F21F4">
      <w:pPr>
        <w:pStyle w:val="Title"/>
        <w:jc w:val="center"/>
      </w:pPr>
      <w:r>
        <w:t>Restaurants in Singapore</w:t>
      </w:r>
    </w:p>
    <w:p w:rsidR="000F21F4" w:rsidRDefault="000F21F4" w:rsidP="000F21F4"/>
    <w:p w:rsidR="000F21F4" w:rsidRDefault="000F21F4" w:rsidP="000F21F4">
      <w:pPr>
        <w:jc w:val="center"/>
      </w:pPr>
      <w:r>
        <w:t>Author: JL</w:t>
      </w:r>
    </w:p>
    <w:p w:rsidR="000C7308" w:rsidRDefault="00681128" w:rsidP="000F21F4">
      <w:pPr>
        <w:pStyle w:val="Head1"/>
      </w:pPr>
      <w:r>
        <w:t>Introduction</w:t>
      </w:r>
    </w:p>
    <w:p w:rsidR="00681128" w:rsidRDefault="00681128" w:rsidP="000F21F4">
      <w:pPr>
        <w:pStyle w:val="Head2"/>
        <w:numPr>
          <w:ilvl w:val="1"/>
          <w:numId w:val="3"/>
        </w:numPr>
      </w:pPr>
      <w:r>
        <w:t>Background</w:t>
      </w:r>
    </w:p>
    <w:p w:rsidR="00DC3635" w:rsidRDefault="00DC3635" w:rsidP="00681128">
      <w:r>
        <w:t xml:space="preserve">Singapore has the second greatest population density in the world, and has very vibrant and diverse communities. As a home to a wide range of cultures, ethnicities and religions, Singapore has a </w:t>
      </w:r>
      <w:r w:rsidR="005B4189">
        <w:t>rich choice of different c</w:t>
      </w:r>
      <w:r w:rsidR="00144551">
        <w:t>uisines and restaurants. P</w:t>
      </w:r>
      <w:r w:rsidR="005B4189">
        <w:t>eople from same backgrou</w:t>
      </w:r>
      <w:r w:rsidR="00144551">
        <w:t xml:space="preserve">nd and culture tend to gather spatially and form local communities, </w:t>
      </w:r>
      <w:r w:rsidR="00F21221">
        <w:t xml:space="preserve">and </w:t>
      </w:r>
      <w:r w:rsidR="00144551">
        <w:t>it is assumed that such spatial pattern of communities can be reflected by the popularity and distribution of different types of restaurants.</w:t>
      </w:r>
      <w:r w:rsidR="00F21221">
        <w:t xml:space="preserve"> For example, places that have many Chinese restaurants may be the places that Chinese communities stay or visit most.</w:t>
      </w:r>
      <w:r w:rsidR="00144551">
        <w:t xml:space="preserve"> In addition, a map that presents the clusters of different types </w:t>
      </w:r>
      <w:r w:rsidR="00F21221">
        <w:t>of cuisines in Singapore can be treated as a kind of food guide map for tourists and local citizens, which can be interesting despite commercial valuable.</w:t>
      </w:r>
    </w:p>
    <w:p w:rsidR="000F21F4" w:rsidRDefault="000F21F4" w:rsidP="00681128"/>
    <w:p w:rsidR="00681128" w:rsidRDefault="00681128" w:rsidP="000F21F4">
      <w:pPr>
        <w:pStyle w:val="Head2"/>
        <w:numPr>
          <w:ilvl w:val="1"/>
          <w:numId w:val="3"/>
        </w:numPr>
      </w:pPr>
      <w:r>
        <w:t>Data Description</w:t>
      </w:r>
    </w:p>
    <w:p w:rsidR="00681128" w:rsidRDefault="00F21221" w:rsidP="00681128">
      <w:r>
        <w:t>To achieve the product as described above, two maj</w:t>
      </w:r>
      <w:r w:rsidR="00FB47E5">
        <w:t xml:space="preserve">or datasets are required, the spatial data of Singapore and food related Point of Interests (POI).  </w:t>
      </w:r>
    </w:p>
    <w:p w:rsidR="00FB47E5" w:rsidRDefault="00FB47E5" w:rsidP="00FB47E5">
      <w:pPr>
        <w:pStyle w:val="ListParagraph"/>
        <w:numPr>
          <w:ilvl w:val="0"/>
          <w:numId w:val="12"/>
        </w:numPr>
      </w:pPr>
      <w:r>
        <w:t>Spatial data of Singapore</w:t>
      </w:r>
    </w:p>
    <w:p w:rsidR="00FB47E5" w:rsidRDefault="00FB47E5" w:rsidP="00087F17">
      <w:r>
        <w:t>To facilitate urban planning, the Urban Redevelopment Authority (URA) divides Singapore into region</w:t>
      </w:r>
      <w:r>
        <w:t xml:space="preserve">s, planning areas and subzones. </w:t>
      </w:r>
      <w:r>
        <w:t>The Planning Regions are divided into smaller Planning Areas. Each Planning Area is further divided into smaller subzones which are usually centred around a focal point such as neighbourhood centre or activity node.</w:t>
      </w:r>
      <w:r>
        <w:t xml:space="preserve"> There are over three hundred subzones of a total of 55 planning areas, organised into 5 regions. To achieve a more detailed investigation, this project will be conducted in the subzone level.</w:t>
      </w:r>
    </w:p>
    <w:p w:rsidR="00087F17" w:rsidRDefault="00962A06" w:rsidP="00087F17">
      <w:r>
        <w:t xml:space="preserve">The Singapore subzone </w:t>
      </w:r>
      <w:proofErr w:type="spellStart"/>
      <w:r>
        <w:t>shapefile</w:t>
      </w:r>
      <w:proofErr w:type="spellEnd"/>
      <w:r>
        <w:t xml:space="preserve"> data can be downloaded from the following link on </w:t>
      </w:r>
      <w:r>
        <w:rPr>
          <w:rFonts w:hint="eastAsia"/>
        </w:rPr>
        <w:t>data</w:t>
      </w:r>
      <w:r>
        <w:t>.gov.sg (</w:t>
      </w:r>
      <w:hyperlink r:id="rId5" w:history="1">
        <w:r w:rsidRPr="007C77F9">
          <w:rPr>
            <w:rStyle w:val="Hyperlink"/>
          </w:rPr>
          <w:t>https://data.gov.sg/dataset/master-plan-2019-subzone-boundary-no-sea</w:t>
        </w:r>
      </w:hyperlink>
      <w:r>
        <w:t xml:space="preserve">). </w:t>
      </w:r>
      <w:r w:rsidR="00087F17">
        <w:t>There are a total of 325 Singapore subzones in the data downloaded.</w:t>
      </w:r>
      <w:r w:rsidR="00087F17">
        <w:t xml:space="preserve"> </w:t>
      </w:r>
    </w:p>
    <w:p w:rsidR="00087F17" w:rsidRDefault="00962A06" w:rsidP="00087F17">
      <w:r>
        <w:t xml:space="preserve">The subzones are presented as polygons in the original </w:t>
      </w:r>
      <w:proofErr w:type="spellStart"/>
      <w:r>
        <w:t>shapefile</w:t>
      </w:r>
      <w:proofErr w:type="spellEnd"/>
      <w:r>
        <w:t>. With the help of QGIS (a spatial analysis tool), we can extract the centroid of each subzone polygon</w:t>
      </w:r>
      <w:r w:rsidR="00AF2C96">
        <w:t xml:space="preserve"> (as shown in figure 1)</w:t>
      </w:r>
      <w:r w:rsidR="009E15D8">
        <w:t>. The subzone information including latitude, longitude and name, can be</w:t>
      </w:r>
      <w:r>
        <w:t xml:space="preserve"> exported as a csv file</w:t>
      </w:r>
      <w:r w:rsidR="009E15D8">
        <w:t xml:space="preserve"> for the use of</w:t>
      </w:r>
      <w:r>
        <w:t xml:space="preserve"> POI collection later</w:t>
      </w:r>
      <w:r w:rsidR="009E15D8">
        <w:t>, an example is given in figure 2</w:t>
      </w:r>
      <w:r>
        <w:t xml:space="preserve">. </w:t>
      </w:r>
    </w:p>
    <w:p w:rsidR="00AF2C96" w:rsidRDefault="00962A06" w:rsidP="00AF2C96">
      <w:pPr>
        <w:keepNext/>
      </w:pPr>
      <w:r>
        <w:lastRenderedPageBreak/>
        <w:t xml:space="preserve"> </w:t>
      </w:r>
      <w:r w:rsidR="00AF2C96">
        <w:rPr>
          <w:noProof/>
        </w:rPr>
        <w:drawing>
          <wp:inline distT="0" distB="0" distL="0" distR="0" wp14:anchorId="79A27F47" wp14:editId="69F9B4EF">
            <wp:extent cx="5731510" cy="3758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E5" w:rsidRDefault="00AF2C96" w:rsidP="00AF2C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1790">
        <w:rPr>
          <w:noProof/>
        </w:rPr>
        <w:t>1</w:t>
      </w:r>
      <w:r>
        <w:fldChar w:fldCharType="end"/>
      </w:r>
      <w:r>
        <w:t xml:space="preserve"> Singapore subzones</w:t>
      </w:r>
    </w:p>
    <w:p w:rsidR="009E15D8" w:rsidRDefault="009E15D8" w:rsidP="009E15D8">
      <w:pPr>
        <w:keepNext/>
      </w:pPr>
      <w:r>
        <w:rPr>
          <w:noProof/>
        </w:rPr>
        <w:drawing>
          <wp:inline distT="0" distB="0" distL="0" distR="0" wp14:anchorId="09E56485" wp14:editId="404DF57E">
            <wp:extent cx="5731510" cy="1002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D8" w:rsidRDefault="009E15D8" w:rsidP="009E15D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1790">
        <w:rPr>
          <w:noProof/>
        </w:rPr>
        <w:t>2</w:t>
      </w:r>
      <w:r>
        <w:fldChar w:fldCharType="end"/>
      </w:r>
      <w:r>
        <w:t xml:space="preserve"> Example of the </w:t>
      </w:r>
      <w:proofErr w:type="spellStart"/>
      <w:r>
        <w:t>SG_Subzone</w:t>
      </w:r>
      <w:proofErr w:type="spellEnd"/>
      <w:r>
        <w:t xml:space="preserve"> data</w:t>
      </w:r>
    </w:p>
    <w:p w:rsidR="00FB47E5" w:rsidRDefault="009E15D8" w:rsidP="00FB47E5">
      <w:pPr>
        <w:pStyle w:val="ListParagraph"/>
        <w:numPr>
          <w:ilvl w:val="0"/>
          <w:numId w:val="12"/>
        </w:numPr>
      </w:pPr>
      <w:r>
        <w:t>Food related POI (restaurants) data</w:t>
      </w:r>
    </w:p>
    <w:p w:rsidR="00087F17" w:rsidRDefault="009E15D8" w:rsidP="009E15D8">
      <w:r>
        <w:t xml:space="preserve">The restaurant data can be collected from Foursquare. We can search for all the POIs under the “Food” category (Foursquare </w:t>
      </w:r>
      <w:proofErr w:type="spellStart"/>
      <w:r>
        <w:t>categoryID</w:t>
      </w:r>
      <w:proofErr w:type="spellEnd"/>
      <w:r>
        <w:t xml:space="preserve"> is </w:t>
      </w:r>
      <w:r w:rsidRPr="009E15D8">
        <w:t>'4d4b7105d754a06374d81259'</w:t>
      </w:r>
      <w:r>
        <w:t>) around each subzone centroid</w:t>
      </w:r>
      <w:r w:rsidR="00087F17">
        <w:t>. T</w:t>
      </w:r>
      <w:r>
        <w:t>he searching buffer is defined as 1 km to ensure a good coverage</w:t>
      </w:r>
      <w:r w:rsidR="00087F17">
        <w:t>, the limit of venues returned per request was set as 100</w:t>
      </w:r>
      <w:r>
        <w:t xml:space="preserve">. </w:t>
      </w:r>
      <w:r w:rsidR="00087F17">
        <w:t>A total of 16294 venues were collected.</w:t>
      </w:r>
      <w:r w:rsidR="00087F17">
        <w:t xml:space="preserve"> </w:t>
      </w:r>
      <w:r w:rsidR="009B1790">
        <w:t>A sample of t</w:t>
      </w:r>
      <w:r>
        <w:t xml:space="preserve">he collected POIs after </w:t>
      </w:r>
      <w:r w:rsidR="009B1790">
        <w:t>processing is shown in figure 3.</w:t>
      </w:r>
      <w:r w:rsidR="00087F17">
        <w:t xml:space="preserve"> The POIs will be joint with subzones and more exploratory analysis will be conducted in the following sessions.</w:t>
      </w:r>
      <w:bookmarkStart w:id="0" w:name="_GoBack"/>
      <w:bookmarkEnd w:id="0"/>
    </w:p>
    <w:p w:rsidR="009B1790" w:rsidRDefault="009B1790" w:rsidP="009B1790">
      <w:pPr>
        <w:keepNext/>
      </w:pPr>
      <w:r>
        <w:rPr>
          <w:noProof/>
        </w:rPr>
        <w:lastRenderedPageBreak/>
        <w:drawing>
          <wp:inline distT="0" distB="0" distL="0" distR="0" wp14:anchorId="506371F6" wp14:editId="1217C9C1">
            <wp:extent cx="5731510" cy="2795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90" w:rsidRDefault="009B1790" w:rsidP="009B179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data sample of collected POIs</w:t>
      </w:r>
    </w:p>
    <w:p w:rsidR="000F21F4" w:rsidRDefault="000F21F4" w:rsidP="00681128"/>
    <w:p w:rsidR="00681128" w:rsidRDefault="00681128" w:rsidP="000F21F4"/>
    <w:sectPr w:rsidR="0068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58EC"/>
    <w:multiLevelType w:val="hybridMultilevel"/>
    <w:tmpl w:val="E3189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2601"/>
    <w:multiLevelType w:val="multilevel"/>
    <w:tmpl w:val="8ADE032E"/>
    <w:lvl w:ilvl="0">
      <w:start w:val="1"/>
      <w:numFmt w:val="decimal"/>
      <w:pStyle w:val="Head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379485B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693C6A25"/>
    <w:multiLevelType w:val="hybridMultilevel"/>
    <w:tmpl w:val="4970A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764B"/>
    <w:multiLevelType w:val="hybridMultilevel"/>
    <w:tmpl w:val="2A9CE6B8"/>
    <w:lvl w:ilvl="0" w:tplc="575CC7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01"/>
    <w:rsid w:val="00087F17"/>
    <w:rsid w:val="000C7308"/>
    <w:rsid w:val="000F21F4"/>
    <w:rsid w:val="00144551"/>
    <w:rsid w:val="003F7F5D"/>
    <w:rsid w:val="005B4189"/>
    <w:rsid w:val="00681128"/>
    <w:rsid w:val="00711701"/>
    <w:rsid w:val="00962A06"/>
    <w:rsid w:val="009B1790"/>
    <w:rsid w:val="009E15D8"/>
    <w:rsid w:val="00A3633D"/>
    <w:rsid w:val="00AA794A"/>
    <w:rsid w:val="00AF2C96"/>
    <w:rsid w:val="00DC3635"/>
    <w:rsid w:val="00F21221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D0AC"/>
  <w15:chartTrackingRefBased/>
  <w15:docId w15:val="{02820A95-54D1-4060-BBBE-E5385C3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E5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28"/>
    <w:pPr>
      <w:ind w:left="720"/>
      <w:contextualSpacing/>
    </w:pPr>
  </w:style>
  <w:style w:type="paragraph" w:customStyle="1" w:styleId="Head1">
    <w:name w:val="Head 1"/>
    <w:basedOn w:val="Heading1"/>
    <w:next w:val="Normal"/>
    <w:link w:val="Head1Char"/>
    <w:qFormat/>
    <w:rsid w:val="000F21F4"/>
    <w:pPr>
      <w:numPr>
        <w:numId w:val="3"/>
      </w:numPr>
    </w:pPr>
    <w:rPr>
      <w:b/>
      <w:color w:val="auto"/>
    </w:rPr>
  </w:style>
  <w:style w:type="paragraph" w:customStyle="1" w:styleId="Head2">
    <w:name w:val="Head 2"/>
    <w:basedOn w:val="Head1"/>
    <w:link w:val="Head2Char"/>
    <w:qFormat/>
    <w:rsid w:val="00962A06"/>
    <w:pPr>
      <w:numPr>
        <w:numId w:val="0"/>
      </w:numPr>
      <w:outlineLvl w:val="1"/>
    </w:pPr>
  </w:style>
  <w:style w:type="character" w:customStyle="1" w:styleId="Heading1Char">
    <w:name w:val="Heading 1 Char"/>
    <w:basedOn w:val="DefaultParagraphFont"/>
    <w:link w:val="Heading1"/>
    <w:uiPriority w:val="9"/>
    <w:rsid w:val="000F2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1Char">
    <w:name w:val="Head 1 Char"/>
    <w:basedOn w:val="Heading1Char"/>
    <w:link w:val="Head1"/>
    <w:rsid w:val="000F21F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2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2Char">
    <w:name w:val="Head 2 Char"/>
    <w:basedOn w:val="Head1Char"/>
    <w:link w:val="Head2"/>
    <w:rsid w:val="00962A0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62A0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2C9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gov.sg/dataset/master-plan-2019-subzone-boundary-no-s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Lai</dc:creator>
  <cp:keywords/>
  <dc:description/>
  <cp:lastModifiedBy>Juntao Lai</cp:lastModifiedBy>
  <cp:revision>3</cp:revision>
  <dcterms:created xsi:type="dcterms:W3CDTF">2020-12-29T14:09:00Z</dcterms:created>
  <dcterms:modified xsi:type="dcterms:W3CDTF">2020-12-29T14:13:00Z</dcterms:modified>
</cp:coreProperties>
</file>