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A3D62"/>
      </w:pPr>
      <w:r>
        <w:rPr>
          <w:b/>
          <w:color w:val="FFFFFF"/>
          <w:sz w:val="44"/>
        </w:rPr>
        <w:t xml:space="preserve">  Smart Energy Consumption Analytics System  </w:t>
      </w:r>
    </w:p>
    <w:p>
      <w:pPr>
        <w:jc w:val="center"/>
        <w:shd w:val="clear" w:color="auto" w:fill="117A8B"/>
      </w:pPr>
      <w:r>
        <w:rPr>
          <w:color w:val="FFFFFF"/>
          <w:sz w:val="26"/>
        </w:rPr>
        <w:t xml:space="preserve">  Data Mining Course — Final Project Report  </w:t>
      </w:r>
    </w:p>
    <w:p/>
    <w:tbl>
      <w:tblPr>
        <w:tblW w:type="auto" w:w="0"/>
        <w:jc w:val="center"/>
        <w:tblLook w:firstColumn="1" w:firstRow="1" w:lastColumn="0" w:lastRow="0" w:noHBand="0" w:noVBand="1" w:val="04A0"/>
      </w:tblPr>
      <w:tblGrid>
        <w:gridCol w:w="4561"/>
        <w:gridCol w:w="4561"/>
      </w:tblGrid>
      <w:tr>
        <w:tc>
          <w:tcPr>
            <w:tcW w:type="dxa" w:w="4561"/>
          </w:tcPr>
          <w:p>
            <w:pPr>
              <w:jc w:val="right"/>
            </w:pPr>
            <w:r>
              <w:rPr>
                <w:b/>
                <w:color w:val="0A3D62"/>
                <w:sz w:val="24"/>
              </w:rPr>
              <w:t>Author</w:t>
            </w:r>
          </w:p>
        </w:tc>
        <w:tc>
          <w:tcPr>
            <w:tcW w:type="dxa" w:w="4561"/>
          </w:tcPr>
          <w:p>
            <w:r>
              <w:rPr>
                <w:color w:val="1A1A1A"/>
                <w:sz w:val="24"/>
              </w:rPr>
              <w:t xml:space="preserve">  Omar Abdulaal</w:t>
            </w:r>
          </w:p>
        </w:tc>
      </w:tr>
      <w:tr>
        <w:tc>
          <w:tcPr>
            <w:tcW w:type="dxa" w:w="4561"/>
          </w:tcPr>
          <w:p>
            <w:pPr>
              <w:jc w:val="right"/>
            </w:pPr>
            <w:r>
              <w:rPr>
                <w:b/>
                <w:color w:val="0A3D62"/>
                <w:sz w:val="24"/>
              </w:rPr>
              <w:t>Instructor</w:t>
            </w:r>
          </w:p>
        </w:tc>
        <w:tc>
          <w:tcPr>
            <w:tcW w:type="dxa" w:w="4561"/>
          </w:tcPr>
          <w:p>
            <w:r>
              <w:rPr>
                <w:color w:val="1A1A1A"/>
                <w:sz w:val="24"/>
              </w:rPr>
              <w:t xml:space="preserve">  Mariam Labib</w:t>
            </w:r>
          </w:p>
        </w:tc>
      </w:tr>
      <w:tr>
        <w:tc>
          <w:tcPr>
            <w:tcW w:type="dxa" w:w="4561"/>
          </w:tcPr>
          <w:p>
            <w:pPr>
              <w:jc w:val="right"/>
            </w:pPr>
            <w:r>
              <w:rPr>
                <w:b/>
                <w:color w:val="0A3D62"/>
                <w:sz w:val="24"/>
              </w:rPr>
              <w:t>Course</w:t>
            </w:r>
          </w:p>
        </w:tc>
        <w:tc>
          <w:tcPr>
            <w:tcW w:type="dxa" w:w="4561"/>
          </w:tcPr>
          <w:p>
            <w:r>
              <w:rPr>
                <w:color w:val="1A1A1A"/>
                <w:sz w:val="24"/>
              </w:rPr>
              <w:t xml:space="preserve">  Data Mining</w:t>
            </w:r>
          </w:p>
        </w:tc>
      </w:tr>
      <w:tr>
        <w:tc>
          <w:tcPr>
            <w:tcW w:type="dxa" w:w="4561"/>
          </w:tcPr>
          <w:p>
            <w:pPr>
              <w:jc w:val="right"/>
            </w:pPr>
            <w:r>
              <w:rPr>
                <w:b/>
                <w:color w:val="0A3D62"/>
                <w:sz w:val="24"/>
              </w:rPr>
              <w:t>Date</w:t>
            </w:r>
          </w:p>
        </w:tc>
        <w:tc>
          <w:tcPr>
            <w:tcW w:type="dxa" w:w="4561"/>
          </w:tcPr>
          <w:p>
            <w:r>
              <w:rPr>
                <w:color w:val="1A1A1A"/>
                <w:sz w:val="24"/>
              </w:rPr>
              <w:t xml:space="preserve">  May 2026</w:t>
            </w:r>
          </w:p>
        </w:tc>
      </w:tr>
      <w:tr>
        <w:tc>
          <w:tcPr>
            <w:tcW w:type="dxa" w:w="4561"/>
          </w:tcPr>
          <w:p>
            <w:pPr>
              <w:jc w:val="right"/>
            </w:pPr>
            <w:r>
              <w:rPr>
                <w:b/>
                <w:color w:val="0A3D62"/>
                <w:sz w:val="24"/>
              </w:rPr>
              <w:t>Methodology</w:t>
            </w:r>
          </w:p>
        </w:tc>
        <w:tc>
          <w:tcPr>
            <w:tcW w:type="dxa" w:w="4561"/>
          </w:tcPr>
          <w:p>
            <w:r>
              <w:rPr>
                <w:color w:val="1A1A1A"/>
                <w:sz w:val="24"/>
              </w:rPr>
              <w:t xml:space="preserve">  CRISP-DM</w:t>
            </w:r>
          </w:p>
        </w:tc>
      </w:tr>
    </w:tbl>
    <w:p>
      <w:r>
        <w:br w:type="page"/>
      </w:r>
    </w:p>
    <w:p>
      <w:pPr>
        <w:pStyle w:val="Heading1"/>
        <w:spacing w:before="280" w:after="120"/>
      </w:pPr>
      <w:r>
        <w:rPr>
          <w:color w:val="0A3D62"/>
          <w:sz w:val="32"/>
        </w:rPr>
        <w:t>Table of Contents</w:t>
      </w:r>
    </w:p>
    <w:p>
      <w:pPr>
        <w:pStyle w:val="ListBullet"/>
        <w:spacing w:after="80"/>
        <w:ind w:left="432"/>
      </w:pPr>
      <w:r>
        <w:rPr>
          <w:sz w:val="22"/>
        </w:rPr>
        <w:t>1.  Introduction</w:t>
      </w:r>
    </w:p>
    <w:p>
      <w:pPr>
        <w:pStyle w:val="ListBullet"/>
        <w:spacing w:after="80"/>
        <w:ind w:left="432"/>
      </w:pPr>
      <w:r>
        <w:rPr>
          <w:sz w:val="22"/>
        </w:rPr>
        <w:t>2.  Business Understanding</w:t>
      </w:r>
    </w:p>
    <w:p>
      <w:pPr>
        <w:pStyle w:val="ListBullet"/>
        <w:spacing w:after="80"/>
        <w:ind w:left="432"/>
      </w:pPr>
      <w:r>
        <w:rPr>
          <w:sz w:val="22"/>
        </w:rPr>
        <w:t>3.  Data Understanding</w:t>
      </w:r>
    </w:p>
    <w:p>
      <w:pPr>
        <w:pStyle w:val="ListBullet"/>
        <w:spacing w:after="80"/>
        <w:ind w:left="432"/>
      </w:pPr>
      <w:r>
        <w:rPr>
          <w:sz w:val="22"/>
        </w:rPr>
        <w:t>4.  Data Preparation</w:t>
      </w:r>
    </w:p>
    <w:p>
      <w:pPr>
        <w:pStyle w:val="ListBullet"/>
        <w:spacing w:after="80"/>
        <w:ind w:left="432"/>
      </w:pPr>
      <w:r>
        <w:rPr>
          <w:sz w:val="22"/>
        </w:rPr>
        <w:t>5.  Modelling</w:t>
      </w:r>
    </w:p>
    <w:p>
      <w:pPr>
        <w:pStyle w:val="ListBullet"/>
        <w:spacing w:after="80"/>
        <w:ind w:left="432"/>
      </w:pPr>
      <w:r>
        <w:rPr>
          <w:sz w:val="22"/>
        </w:rPr>
        <w:t>6.  Evaluation</w:t>
      </w:r>
    </w:p>
    <w:p>
      <w:pPr>
        <w:pStyle w:val="ListBullet"/>
        <w:spacing w:after="80"/>
        <w:ind w:left="432"/>
      </w:pPr>
      <w:r>
        <w:rPr>
          <w:sz w:val="22"/>
        </w:rPr>
        <w:t>7.  Deployment</w:t>
      </w:r>
    </w:p>
    <w:p>
      <w:pPr>
        <w:pStyle w:val="ListBullet"/>
        <w:spacing w:after="80"/>
        <w:ind w:left="432"/>
      </w:pPr>
      <w:r>
        <w:rPr>
          <w:sz w:val="22"/>
        </w:rPr>
        <w:t>8.  Business Insights</w:t>
      </w:r>
    </w:p>
    <w:p>
      <w:pPr>
        <w:pStyle w:val="ListBullet"/>
        <w:spacing w:after="80"/>
        <w:ind w:left="432"/>
      </w:pPr>
      <w:r>
        <w:rPr>
          <w:sz w:val="22"/>
        </w:rPr>
        <w:t>9.  Limitations</w:t>
      </w:r>
    </w:p>
    <w:p>
      <w:pPr>
        <w:pStyle w:val="ListBullet"/>
        <w:spacing w:after="80"/>
        <w:ind w:left="432"/>
      </w:pPr>
      <w:r>
        <w:rPr>
          <w:sz w:val="22"/>
        </w:rPr>
        <w:t>10. Future Work</w:t>
      </w:r>
    </w:p>
    <w:p>
      <w:pPr>
        <w:pStyle w:val="ListBullet"/>
        <w:spacing w:after="80"/>
        <w:ind w:left="432"/>
      </w:pPr>
      <w:r>
        <w:rPr>
          <w:sz w:val="22"/>
        </w:rPr>
        <w:t>11. Conclusion</w:t>
      </w:r>
    </w:p>
    <w:p>
      <w:pPr>
        <w:pStyle w:val="ListBullet"/>
        <w:spacing w:after="80"/>
        <w:ind w:left="432"/>
      </w:pPr>
      <w:r>
        <w:rPr>
          <w:sz w:val="22"/>
        </w:rPr>
        <w:t>12. References</w:t>
      </w:r>
    </w:p>
    <w:p>
      <w:r>
        <w:br w:type="page"/>
      </w:r>
    </w:p>
    <w:p>
      <w:pPr>
        <w:pStyle w:val="Heading1"/>
        <w:spacing w:before="280" w:after="120"/>
      </w:pPr>
      <w:r>
        <w:rPr>
          <w:color w:val="0A3D62"/>
          <w:sz w:val="32"/>
        </w:rPr>
        <w:t>1. Introduction</w:t>
      </w:r>
    </w:p>
    <w:p>
      <w:pPr>
        <w:spacing w:after="120"/>
      </w:pPr>
      <w:r>
        <w:rPr>
          <w:b w:val="0"/>
          <w:i w:val="0"/>
          <w:sz w:val="22"/>
        </w:rPr>
        <w:t>This report presents the complete data mining study for the Smart Energy Consumption Analytics System, developed as the final project for the Data Mining course. The project analyzes household electricity consumption data using three categories of data mining techniques: clustering, regression, and classification. All work is structured according to the CRISP-DM methodology and delivered through six ordered Jupyter notebooks and an interactive Streamlit dashboard.</w:t>
      </w:r>
    </w:p>
    <w:p>
      <w:pPr>
        <w:spacing w:after="120"/>
      </w:pPr>
      <w:r>
        <w:rPr>
          <w:b w:val="0"/>
          <w:i w:val="0"/>
          <w:sz w:val="22"/>
        </w:rPr>
        <w:t>Households typically receive a monthly electricity bill with no insight into when consumption is highest, which appliance categories drive peak load, or how different days and seasons affect usage. A data-driven approach transforms raw meter readings into actionable recommendations, supporting energy-saving behavior and household awareness.</w:t>
      </w:r>
    </w:p>
    <w:p>
      <w:pPr>
        <w:spacing w:after="120"/>
      </w:pPr>
      <w:r>
        <w:rPr>
          <w:b w:val="0"/>
          <w:i w:val="0"/>
          <w:sz w:val="22"/>
        </w:rPr>
        <w:t>The project covers the complete CRISP-DM cycle: from business problem definition and data exploration, through preparation, modelling, and evaluation, to deployment in an interactive dashboard. The emphasis is on interpretability and reproducibility rather than maximum model accuracy.</w:t>
      </w:r>
    </w:p>
    <w:p>
      <w:r>
        <w:br w:type="page"/>
      </w:r>
    </w:p>
    <w:p>
      <w:pPr>
        <w:pStyle w:val="Heading1"/>
        <w:spacing w:before="280" w:after="120"/>
      </w:pPr>
      <w:r>
        <w:rPr>
          <w:color w:val="0A3D62"/>
          <w:sz w:val="32"/>
        </w:rPr>
        <w:t>2. Business Understanding</w:t>
      </w:r>
    </w:p>
    <w:p>
      <w:pPr>
        <w:pStyle w:val="Heading2"/>
        <w:spacing w:before="160" w:after="120"/>
      </w:pPr>
      <w:r>
        <w:rPr>
          <w:color w:val="117A8B"/>
          <w:sz w:val="26"/>
        </w:rPr>
        <w:t>2.1 Business Problem</w:t>
      </w:r>
    </w:p>
    <w:p>
      <w:pPr>
        <w:spacing w:after="120"/>
      </w:pPr>
      <w:r>
        <w:rPr>
          <w:b w:val="0"/>
          <w:i w:val="0"/>
          <w:sz w:val="22"/>
        </w:rPr>
        <w:t>Households receive electricity bills without understanding when consumption peaks or which behavioral patterns repeat. This lack of visibility makes it difficult to reduce waste or shift heavy appliance usage away from peak hours. A smart energy analytics workflow transforms raw meter readings into practical insights: peak-hour detection, consumption prediction, and high-usage classification.</w:t>
      </w:r>
    </w:p>
    <w:p>
      <w:pPr>
        <w:pStyle w:val="Heading2"/>
        <w:spacing w:before="160" w:after="120"/>
      </w:pPr>
      <w:r>
        <w:rPr>
          <w:color w:val="117A8B"/>
          <w:sz w:val="26"/>
        </w:rPr>
        <w:t>2.2 Project Objectives</w:t>
      </w:r>
    </w:p>
    <w:p>
      <w:pPr>
        <w:pStyle w:val="ListBullet"/>
        <w:spacing w:after="80"/>
        <w:ind w:left="432"/>
      </w:pPr>
      <w:r>
        <w:rPr>
          <w:sz w:val="22"/>
        </w:rPr>
        <w:t>Analyze household electricity consumption patterns over time.</w:t>
      </w:r>
    </w:p>
    <w:p>
      <w:pPr>
        <w:pStyle w:val="ListBullet"/>
        <w:spacing w:after="80"/>
        <w:ind w:left="432"/>
      </w:pPr>
      <w:r>
        <w:rPr>
          <w:sz w:val="22"/>
        </w:rPr>
        <w:t>Identify peak usage hours and repeated behavioral segments using clustering.</w:t>
      </w:r>
    </w:p>
    <w:p>
      <w:pPr>
        <w:pStyle w:val="ListBullet"/>
        <w:spacing w:after="80"/>
        <w:ind w:left="432"/>
      </w:pPr>
      <w:r>
        <w:rPr>
          <w:sz w:val="22"/>
        </w:rPr>
        <w:t>Predict short-term global active power using time and historical lag features.</w:t>
      </w:r>
    </w:p>
    <w:p>
      <w:pPr>
        <w:pStyle w:val="ListBullet"/>
        <w:spacing w:after="80"/>
        <w:ind w:left="432"/>
      </w:pPr>
      <w:r>
        <w:rPr>
          <w:sz w:val="22"/>
        </w:rPr>
        <w:t>Classify hourly periods as high or normal consumption.</w:t>
      </w:r>
    </w:p>
    <w:p>
      <w:pPr>
        <w:pStyle w:val="ListBullet"/>
        <w:spacing w:after="80"/>
        <w:ind w:left="432"/>
      </w:pPr>
      <w:r>
        <w:rPr>
          <w:sz w:val="22"/>
        </w:rPr>
        <w:t>Present all findings through an interactive Streamlit dashboard.</w:t>
      </w:r>
    </w:p>
    <w:p>
      <w:pPr>
        <w:pStyle w:val="Heading2"/>
        <w:spacing w:before="160" w:after="120"/>
      </w:pPr>
      <w:r>
        <w:rPr>
          <w:color w:val="117A8B"/>
          <w:sz w:val="26"/>
        </w:rPr>
        <w:t>2.3 Research Questions</w:t>
      </w:r>
    </w:p>
    <w:p>
      <w:pPr>
        <w:pStyle w:val="ListBullet"/>
        <w:spacing w:after="80"/>
        <w:ind w:left="432"/>
      </w:pPr>
      <w:r>
        <w:rPr>
          <w:sz w:val="22"/>
        </w:rPr>
        <w:t>When is household electricity usage highest during the day and week?</w:t>
      </w:r>
    </w:p>
    <w:p>
      <w:pPr>
        <w:pStyle w:val="ListBullet"/>
        <w:spacing w:after="80"/>
        <w:ind w:left="432"/>
      </w:pPr>
      <w:r>
        <w:rPr>
          <w:sz w:val="22"/>
        </w:rPr>
        <w:t>Can similar consumption behaviors be grouped into interpretable clusters?</w:t>
      </w:r>
    </w:p>
    <w:p>
      <w:pPr>
        <w:pStyle w:val="ListBullet"/>
        <w:spacing w:after="80"/>
        <w:ind w:left="432"/>
      </w:pPr>
      <w:r>
        <w:rPr>
          <w:sz w:val="22"/>
        </w:rPr>
        <w:t>Can recent consumption history predict short-term power usage?</w:t>
      </w:r>
    </w:p>
    <w:p>
      <w:pPr>
        <w:pStyle w:val="ListBullet"/>
        <w:spacing w:after="80"/>
        <w:ind w:left="432"/>
      </w:pPr>
      <w:r>
        <w:rPr>
          <w:sz w:val="22"/>
        </w:rPr>
        <w:t>Can high-consumption periods be classified accurately from behavioral features?</w:t>
      </w:r>
    </w:p>
    <w:p>
      <w:pPr>
        <w:pStyle w:val="Heading2"/>
        <w:spacing w:before="160" w:after="120"/>
      </w:pPr>
      <w:r>
        <w:rPr>
          <w:color w:val="117A8B"/>
          <w:sz w:val="26"/>
        </w:rPr>
        <w:t>2.4 Technique Selection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3D62"/>
          </w:tcPr>
          <w:p>
            <w:pPr>
              <w:jc w:val="center"/>
            </w:pPr>
            <w:r>
              <w:rPr>
                <w:b/>
                <w:color w:val="FFFFFF"/>
                <w:sz w:val="20"/>
              </w:rPr>
              <w:t>Category</w:t>
            </w:r>
          </w:p>
        </w:tc>
        <w:tc>
          <w:tcPr>
            <w:tcW w:type="dxa" w:w="3041"/>
            <w:shd w:val="clear" w:color="auto" w:fill="0A3D62"/>
          </w:tcPr>
          <w:p>
            <w:pPr>
              <w:jc w:val="center"/>
            </w:pPr>
            <w:r>
              <w:rPr>
                <w:b/>
                <w:color w:val="FFFFFF"/>
                <w:sz w:val="20"/>
              </w:rPr>
              <w:t>Models</w:t>
            </w:r>
          </w:p>
        </w:tc>
        <w:tc>
          <w:tcPr>
            <w:tcW w:type="dxa" w:w="3041"/>
            <w:shd w:val="clear" w:color="auto" w:fill="0A3D62"/>
          </w:tcPr>
          <w:p>
            <w:pPr>
              <w:jc w:val="center"/>
            </w:pPr>
            <w:r>
              <w:rPr>
                <w:b/>
                <w:color w:val="FFFFFF"/>
                <w:sz w:val="20"/>
              </w:rPr>
              <w:t>Business Purpose</w:t>
            </w:r>
          </w:p>
        </w:tc>
      </w:tr>
      <w:tr>
        <w:tc>
          <w:tcPr>
            <w:tcW w:type="dxa" w:w="3041"/>
          </w:tcPr>
          <w:p>
            <w:r>
              <w:rPr>
                <w:sz w:val="20"/>
              </w:rPr>
              <w:t>Clustering</w:t>
            </w:r>
          </w:p>
        </w:tc>
        <w:tc>
          <w:tcPr>
            <w:tcW w:type="dxa" w:w="3041"/>
          </w:tcPr>
          <w:p>
            <w:r>
              <w:rPr>
                <w:sz w:val="20"/>
              </w:rPr>
              <w:t>K-Means, DBSCAN</w:t>
            </w:r>
          </w:p>
        </w:tc>
        <w:tc>
          <w:tcPr>
            <w:tcW w:type="dxa" w:w="3041"/>
          </w:tcPr>
          <w:p>
            <w:r>
              <w:rPr>
                <w:sz w:val="20"/>
              </w:rPr>
              <w:t>Group similar hourly behavior into segments</w:t>
            </w:r>
          </w:p>
        </w:tc>
      </w:tr>
      <w:tr>
        <w:tc>
          <w:tcPr>
            <w:tcW w:type="dxa" w:w="3041"/>
          </w:tcPr>
          <w:p>
            <w:r>
              <w:rPr>
                <w:sz w:val="20"/>
              </w:rPr>
              <w:t>Regression</w:t>
            </w:r>
          </w:p>
        </w:tc>
        <w:tc>
          <w:tcPr>
            <w:tcW w:type="dxa" w:w="3041"/>
          </w:tcPr>
          <w:p>
            <w:r>
              <w:rPr>
                <w:sz w:val="20"/>
              </w:rPr>
              <w:t>Linear, Ridge, Polynomial Ridge</w:t>
            </w:r>
          </w:p>
        </w:tc>
        <w:tc>
          <w:tcPr>
            <w:tcW w:type="dxa" w:w="3041"/>
          </w:tcPr>
          <w:p>
            <w:r>
              <w:rPr>
                <w:sz w:val="20"/>
              </w:rPr>
              <w:t>Predict short-term global active power</w:t>
            </w:r>
          </w:p>
        </w:tc>
      </w:tr>
      <w:tr>
        <w:tc>
          <w:tcPr>
            <w:tcW w:type="dxa" w:w="3041"/>
          </w:tcPr>
          <w:p>
            <w:r>
              <w:rPr>
                <w:sz w:val="20"/>
              </w:rPr>
              <w:t>Classification</w:t>
            </w:r>
          </w:p>
        </w:tc>
        <w:tc>
          <w:tcPr>
            <w:tcW w:type="dxa" w:w="3041"/>
          </w:tcPr>
          <w:p>
            <w:r>
              <w:rPr>
                <w:sz w:val="20"/>
              </w:rPr>
              <w:t>Logistic Reg., Random Forest</w:t>
            </w:r>
          </w:p>
        </w:tc>
        <w:tc>
          <w:tcPr>
            <w:tcW w:type="dxa" w:w="3041"/>
          </w:tcPr>
          <w:p>
            <w:r>
              <w:rPr>
                <w:sz w:val="20"/>
              </w:rPr>
              <w:t>Label each hour as high or normal consumption</w:t>
            </w:r>
          </w:p>
        </w:tc>
      </w:tr>
    </w:tbl>
    <w:p/>
    <w:p>
      <w:pPr>
        <w:pStyle w:val="Heading2"/>
        <w:spacing w:before="160" w:after="120"/>
      </w:pPr>
      <w:r>
        <w:rPr>
          <w:color w:val="117A8B"/>
          <w:sz w:val="26"/>
        </w:rPr>
        <w:t>2.5 Success Criteria</w:t>
      </w:r>
    </w:p>
    <w:p>
      <w:pPr>
        <w:spacing w:after="120"/>
      </w:pPr>
      <w:r>
        <w:rPr>
          <w:b w:val="0"/>
          <w:i w:val="0"/>
          <w:sz w:val="22"/>
        </w:rPr>
        <w:t>The project is successful if it delivers: a reproducible notebook workflow, meaningful visualizations, baseline model results with interpretable metrics, actionable energy insights, and a dashboard that communicates findings clearly. The emphasis is on demonstrating a complete CRISP-DM process.</w:t>
      </w:r>
    </w:p>
    <w:p>
      <w:r>
        <w:br w:type="page"/>
      </w:r>
    </w:p>
    <w:p>
      <w:pPr>
        <w:pStyle w:val="Heading1"/>
        <w:spacing w:before="280" w:after="120"/>
      </w:pPr>
      <w:r>
        <w:rPr>
          <w:color w:val="0A3D62"/>
          <w:sz w:val="32"/>
        </w:rPr>
        <w:t>3. Data Understanding</w:t>
      </w:r>
    </w:p>
    <w:p>
      <w:pPr>
        <w:pStyle w:val="Heading2"/>
        <w:spacing w:before="160" w:after="120"/>
      </w:pPr>
      <w:r>
        <w:rPr>
          <w:color w:val="117A8B"/>
          <w:sz w:val="26"/>
        </w:rPr>
        <w:t>3.1 Dataset Overview</w:t>
      </w:r>
    </w:p>
    <w:p>
      <w:pPr>
        <w:spacing w:after="120"/>
      </w:pPr>
      <w:r>
        <w:rPr>
          <w:b w:val="0"/>
          <w:i w:val="0"/>
          <w:sz w:val="22"/>
        </w:rPr>
        <w:t>The dataset is the Individual Household Electric Power Consumption dataset from the UCI Machine Learning Repository, also available on Kaggle. The local CSV file covers 2006-12-16 to 2008-12-13, containing 1,048,575 raw minute-level rows across 9 columns.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3D62"/>
          </w:tcPr>
          <w:p>
            <w:pPr>
              <w:jc w:val="center"/>
            </w:pPr>
            <w:r>
              <w:rPr>
                <w:b/>
                <w:color w:val="FFFFFF"/>
                <w:sz w:val="20"/>
              </w:rPr>
              <w:t>Attribute</w:t>
            </w:r>
          </w:p>
        </w:tc>
        <w:tc>
          <w:tcPr>
            <w:tcW w:type="dxa" w:w="4561"/>
            <w:shd w:val="clear" w:color="auto" w:fill="0A3D62"/>
          </w:tcPr>
          <w:p>
            <w:pPr>
              <w:jc w:val="center"/>
            </w:pPr>
            <w:r>
              <w:rPr>
                <w:b/>
                <w:color w:val="FFFFFF"/>
                <w:sz w:val="20"/>
              </w:rPr>
              <w:t>Value</w:t>
            </w:r>
          </w:p>
        </w:tc>
      </w:tr>
      <w:tr>
        <w:tc>
          <w:tcPr>
            <w:tcW w:type="dxa" w:w="4561"/>
          </w:tcPr>
          <w:p>
            <w:r>
              <w:rPr>
                <w:sz w:val="20"/>
              </w:rPr>
              <w:t>Dataset</w:t>
            </w:r>
          </w:p>
        </w:tc>
        <w:tc>
          <w:tcPr>
            <w:tcW w:type="dxa" w:w="4561"/>
          </w:tcPr>
          <w:p>
            <w:r>
              <w:rPr>
                <w:sz w:val="20"/>
              </w:rPr>
              <w:t>Individual Household Electric Power Consumption</w:t>
            </w:r>
          </w:p>
        </w:tc>
      </w:tr>
      <w:tr>
        <w:tc>
          <w:tcPr>
            <w:tcW w:type="dxa" w:w="4561"/>
          </w:tcPr>
          <w:p>
            <w:r>
              <w:rPr>
                <w:sz w:val="20"/>
              </w:rPr>
              <w:t>Source</w:t>
            </w:r>
          </w:p>
        </w:tc>
        <w:tc>
          <w:tcPr>
            <w:tcW w:type="dxa" w:w="4561"/>
          </w:tcPr>
          <w:p>
            <w:r>
              <w:rPr>
                <w:sz w:val="20"/>
              </w:rPr>
              <w:t>UCI Machine Learning Repository / Kaggle</w:t>
            </w:r>
          </w:p>
        </w:tc>
      </w:tr>
      <w:tr>
        <w:tc>
          <w:tcPr>
            <w:tcW w:type="dxa" w:w="4561"/>
          </w:tcPr>
          <w:p>
            <w:r>
              <w:rPr>
                <w:sz w:val="20"/>
              </w:rPr>
              <w:t>Date Range</w:t>
            </w:r>
          </w:p>
        </w:tc>
        <w:tc>
          <w:tcPr>
            <w:tcW w:type="dxa" w:w="4561"/>
          </w:tcPr>
          <w:p>
            <w:r>
              <w:rPr>
                <w:sz w:val="20"/>
              </w:rPr>
              <w:t>2006-12-16 to 2008-12-13</w:t>
            </w:r>
          </w:p>
        </w:tc>
      </w:tr>
      <w:tr>
        <w:tc>
          <w:tcPr>
            <w:tcW w:type="dxa" w:w="4561"/>
          </w:tcPr>
          <w:p>
            <w:r>
              <w:rPr>
                <w:sz w:val="20"/>
              </w:rPr>
              <w:t>Raw Rows</w:t>
            </w:r>
          </w:p>
        </w:tc>
        <w:tc>
          <w:tcPr>
            <w:tcW w:type="dxa" w:w="4561"/>
          </w:tcPr>
          <w:p>
            <w:r>
              <w:rPr>
                <w:sz w:val="20"/>
              </w:rPr>
              <w:t>1,048,575</w:t>
            </w:r>
          </w:p>
        </w:tc>
      </w:tr>
      <w:tr>
        <w:tc>
          <w:tcPr>
            <w:tcW w:type="dxa" w:w="4561"/>
          </w:tcPr>
          <w:p>
            <w:r>
              <w:rPr>
                <w:sz w:val="20"/>
              </w:rPr>
              <w:t>Sampling Rate</w:t>
            </w:r>
          </w:p>
        </w:tc>
        <w:tc>
          <w:tcPr>
            <w:tcW w:type="dxa" w:w="4561"/>
          </w:tcPr>
          <w:p>
            <w:r>
              <w:rPr>
                <w:sz w:val="20"/>
              </w:rPr>
              <w:t>One reading per minute</w:t>
            </w:r>
          </w:p>
        </w:tc>
      </w:tr>
      <w:tr>
        <w:tc>
          <w:tcPr>
            <w:tcW w:type="dxa" w:w="4561"/>
          </w:tcPr>
          <w:p>
            <w:r>
              <w:rPr>
                <w:sz w:val="20"/>
              </w:rPr>
              <w:t>Features</w:t>
            </w:r>
          </w:p>
        </w:tc>
        <w:tc>
          <w:tcPr>
            <w:tcW w:type="dxa" w:w="4561"/>
          </w:tcPr>
          <w:p>
            <w:r>
              <w:rPr>
                <w:sz w:val="20"/>
              </w:rPr>
              <w:t>9 raw columns</w:t>
            </w:r>
          </w:p>
        </w:tc>
      </w:tr>
      <w:tr>
        <w:tc>
          <w:tcPr>
            <w:tcW w:type="dxa" w:w="4561"/>
          </w:tcPr>
          <w:p>
            <w:r>
              <w:rPr>
                <w:sz w:val="20"/>
              </w:rPr>
              <w:t>Missing Values</w:t>
            </w:r>
          </w:p>
        </w:tc>
        <w:tc>
          <w:tcPr>
            <w:tcW w:type="dxa" w:w="4561"/>
          </w:tcPr>
          <w:p>
            <w:r>
              <w:rPr>
                <w:sz w:val="20"/>
              </w:rPr>
              <w:t>~0.39% per numeric column (encoded as '?')</w:t>
            </w:r>
          </w:p>
        </w:tc>
      </w:tr>
      <w:tr>
        <w:tc>
          <w:tcPr>
            <w:tcW w:type="dxa" w:w="4561"/>
          </w:tcPr>
          <w:p>
            <w:r>
              <w:rPr>
                <w:sz w:val="20"/>
              </w:rPr>
              <w:t>File Format</w:t>
            </w:r>
          </w:p>
        </w:tc>
        <w:tc>
          <w:tcPr>
            <w:tcW w:type="dxa" w:w="4561"/>
          </w:tcPr>
          <w:p>
            <w:r>
              <w:rPr>
                <w:sz w:val="20"/>
              </w:rPr>
              <w:t>CSV (semicolon-separated)</w:t>
            </w:r>
          </w:p>
        </w:tc>
      </w:tr>
    </w:tbl>
    <w:p/>
    <w:p>
      <w:pPr>
        <w:pStyle w:val="Heading2"/>
        <w:spacing w:before="160" w:after="120"/>
      </w:pPr>
      <w:r>
        <w:rPr>
          <w:color w:val="117A8B"/>
          <w:sz w:val="26"/>
        </w:rPr>
        <w:t>3.2 Feature Description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3D62"/>
          </w:tcPr>
          <w:p>
            <w:pPr>
              <w:jc w:val="center"/>
            </w:pPr>
            <w:r>
              <w:rPr>
                <w:b/>
                <w:color w:val="FFFFFF"/>
                <w:sz w:val="20"/>
              </w:rPr>
              <w:t>Feature</w:t>
            </w:r>
          </w:p>
        </w:tc>
        <w:tc>
          <w:tcPr>
            <w:tcW w:type="dxa" w:w="3041"/>
            <w:shd w:val="clear" w:color="auto" w:fill="0A3D62"/>
          </w:tcPr>
          <w:p>
            <w:pPr>
              <w:jc w:val="center"/>
            </w:pPr>
            <w:r>
              <w:rPr>
                <w:b/>
                <w:color w:val="FFFFFF"/>
                <w:sz w:val="20"/>
              </w:rPr>
              <w:t>Unit</w:t>
            </w:r>
          </w:p>
        </w:tc>
        <w:tc>
          <w:tcPr>
            <w:tcW w:type="dxa" w:w="3041"/>
            <w:shd w:val="clear" w:color="auto" w:fill="0A3D62"/>
          </w:tcPr>
          <w:p>
            <w:pPr>
              <w:jc w:val="center"/>
            </w:pPr>
            <w:r>
              <w:rPr>
                <w:b/>
                <w:color w:val="FFFFFF"/>
                <w:sz w:val="20"/>
              </w:rPr>
              <w:t>Description</w:t>
            </w:r>
          </w:p>
        </w:tc>
      </w:tr>
      <w:tr>
        <w:tc>
          <w:tcPr>
            <w:tcW w:type="dxa" w:w="3041"/>
          </w:tcPr>
          <w:p>
            <w:r>
              <w:rPr>
                <w:sz w:val="20"/>
              </w:rPr>
              <w:t>Global_active_power</w:t>
            </w:r>
          </w:p>
        </w:tc>
        <w:tc>
          <w:tcPr>
            <w:tcW w:type="dxa" w:w="3041"/>
          </w:tcPr>
          <w:p>
            <w:r>
              <w:rPr>
                <w:sz w:val="20"/>
              </w:rPr>
              <w:t>kW</w:t>
            </w:r>
          </w:p>
        </w:tc>
        <w:tc>
          <w:tcPr>
            <w:tcW w:type="dxa" w:w="3041"/>
          </w:tcPr>
          <w:p>
            <w:r>
              <w:rPr>
                <w:sz w:val="20"/>
              </w:rPr>
              <w:t>Total household active power consumption</w:t>
            </w:r>
          </w:p>
        </w:tc>
      </w:tr>
      <w:tr>
        <w:tc>
          <w:tcPr>
            <w:tcW w:type="dxa" w:w="3041"/>
          </w:tcPr>
          <w:p>
            <w:r>
              <w:rPr>
                <w:sz w:val="20"/>
              </w:rPr>
              <w:t>Global_reactive_power</w:t>
            </w:r>
          </w:p>
        </w:tc>
        <w:tc>
          <w:tcPr>
            <w:tcW w:type="dxa" w:w="3041"/>
          </w:tcPr>
          <w:p>
            <w:r>
              <w:rPr>
                <w:sz w:val="20"/>
              </w:rPr>
              <w:t>kW</w:t>
            </w:r>
          </w:p>
        </w:tc>
        <w:tc>
          <w:tcPr>
            <w:tcW w:type="dxa" w:w="3041"/>
          </w:tcPr>
          <w:p>
            <w:r>
              <w:rPr>
                <w:sz w:val="20"/>
              </w:rPr>
              <w:t>Total household reactive power</w:t>
            </w:r>
          </w:p>
        </w:tc>
      </w:tr>
      <w:tr>
        <w:tc>
          <w:tcPr>
            <w:tcW w:type="dxa" w:w="3041"/>
          </w:tcPr>
          <w:p>
            <w:r>
              <w:rPr>
                <w:sz w:val="20"/>
              </w:rPr>
              <w:t>Voltage</w:t>
            </w:r>
          </w:p>
        </w:tc>
        <w:tc>
          <w:tcPr>
            <w:tcW w:type="dxa" w:w="3041"/>
          </w:tcPr>
          <w:p>
            <w:r>
              <w:rPr>
                <w:sz w:val="20"/>
              </w:rPr>
              <w:t>V</w:t>
            </w:r>
          </w:p>
        </w:tc>
        <w:tc>
          <w:tcPr>
            <w:tcW w:type="dxa" w:w="3041"/>
          </w:tcPr>
          <w:p>
            <w:r>
              <w:rPr>
                <w:sz w:val="20"/>
              </w:rPr>
              <w:t>Minute-averaged supply voltage</w:t>
            </w:r>
          </w:p>
        </w:tc>
      </w:tr>
      <w:tr>
        <w:tc>
          <w:tcPr>
            <w:tcW w:type="dxa" w:w="3041"/>
          </w:tcPr>
          <w:p>
            <w:r>
              <w:rPr>
                <w:sz w:val="20"/>
              </w:rPr>
              <w:t>Global_intensity</w:t>
            </w:r>
          </w:p>
        </w:tc>
        <w:tc>
          <w:tcPr>
            <w:tcW w:type="dxa" w:w="3041"/>
          </w:tcPr>
          <w:p>
            <w:r>
              <w:rPr>
                <w:sz w:val="20"/>
              </w:rPr>
              <w:t>A</w:t>
            </w:r>
          </w:p>
        </w:tc>
        <w:tc>
          <w:tcPr>
            <w:tcW w:type="dxa" w:w="3041"/>
          </w:tcPr>
          <w:p>
            <w:r>
              <w:rPr>
                <w:sz w:val="20"/>
              </w:rPr>
              <w:t>Total current intensity</w:t>
            </w:r>
          </w:p>
        </w:tc>
      </w:tr>
      <w:tr>
        <w:tc>
          <w:tcPr>
            <w:tcW w:type="dxa" w:w="3041"/>
          </w:tcPr>
          <w:p>
            <w:r>
              <w:rPr>
                <w:sz w:val="20"/>
              </w:rPr>
              <w:t>Sub_metering_1</w:t>
            </w:r>
          </w:p>
        </w:tc>
        <w:tc>
          <w:tcPr>
            <w:tcW w:type="dxa" w:w="3041"/>
          </w:tcPr>
          <w:p>
            <w:r>
              <w:rPr>
                <w:sz w:val="20"/>
              </w:rPr>
              <w:t>Wh</w:t>
            </w:r>
          </w:p>
        </w:tc>
        <w:tc>
          <w:tcPr>
            <w:tcW w:type="dxa" w:w="3041"/>
          </w:tcPr>
          <w:p>
            <w:r>
              <w:rPr>
                <w:sz w:val="20"/>
              </w:rPr>
              <w:t>Kitchen appliances</w:t>
            </w:r>
          </w:p>
        </w:tc>
      </w:tr>
      <w:tr>
        <w:tc>
          <w:tcPr>
            <w:tcW w:type="dxa" w:w="3041"/>
          </w:tcPr>
          <w:p>
            <w:r>
              <w:rPr>
                <w:sz w:val="20"/>
              </w:rPr>
              <w:t>Sub_metering_2</w:t>
            </w:r>
          </w:p>
        </w:tc>
        <w:tc>
          <w:tcPr>
            <w:tcW w:type="dxa" w:w="3041"/>
          </w:tcPr>
          <w:p>
            <w:r>
              <w:rPr>
                <w:sz w:val="20"/>
              </w:rPr>
              <w:t>Wh</w:t>
            </w:r>
          </w:p>
        </w:tc>
        <w:tc>
          <w:tcPr>
            <w:tcW w:type="dxa" w:w="3041"/>
          </w:tcPr>
          <w:p>
            <w:r>
              <w:rPr>
                <w:sz w:val="20"/>
              </w:rPr>
              <w:t>Laundry appliances</w:t>
            </w:r>
          </w:p>
        </w:tc>
      </w:tr>
      <w:tr>
        <w:tc>
          <w:tcPr>
            <w:tcW w:type="dxa" w:w="3041"/>
          </w:tcPr>
          <w:p>
            <w:r>
              <w:rPr>
                <w:sz w:val="20"/>
              </w:rPr>
              <w:t>Sub_metering_3</w:t>
            </w:r>
          </w:p>
        </w:tc>
        <w:tc>
          <w:tcPr>
            <w:tcW w:type="dxa" w:w="3041"/>
          </w:tcPr>
          <w:p>
            <w:r>
              <w:rPr>
                <w:sz w:val="20"/>
              </w:rPr>
              <w:t>Wh</w:t>
            </w:r>
          </w:p>
        </w:tc>
        <w:tc>
          <w:tcPr>
            <w:tcW w:type="dxa" w:w="3041"/>
          </w:tcPr>
          <w:p>
            <w:r>
              <w:rPr>
                <w:sz w:val="20"/>
              </w:rPr>
              <w:t>Water heater and air conditioning</w:t>
            </w:r>
          </w:p>
        </w:tc>
      </w:tr>
    </w:tbl>
    <w:p/>
    <w:p>
      <w:pPr>
        <w:pStyle w:val="Heading2"/>
        <w:spacing w:before="160" w:after="120"/>
      </w:pPr>
      <w:r>
        <w:rPr>
          <w:color w:val="117A8B"/>
          <w:sz w:val="26"/>
        </w:rPr>
        <w:t>3.3 Data Quality Issues</w:t>
      </w:r>
    </w:p>
    <w:p>
      <w:pPr>
        <w:pStyle w:val="ListBullet"/>
        <w:spacing w:after="80"/>
        <w:ind w:left="432"/>
      </w:pPr>
      <w:r>
        <w:rPr>
          <w:sz w:val="22"/>
        </w:rPr>
        <w:t>Missing values (~0.39%) encoded as '?' — handled by time-based interpolation.</w:t>
      </w:r>
    </w:p>
    <w:p>
      <w:pPr>
        <w:pStyle w:val="ListBullet"/>
        <w:spacing w:after="80"/>
        <w:ind w:left="432"/>
      </w:pPr>
      <w:r>
        <w:rPr>
          <w:sz w:val="22"/>
        </w:rPr>
        <w:t>Date and Time stored as separate string columns — combined into a single datetime index.</w:t>
      </w:r>
    </w:p>
    <w:p>
      <w:pPr>
        <w:pStyle w:val="ListBullet"/>
        <w:spacing w:after="80"/>
        <w:ind w:left="432"/>
      </w:pPr>
      <w:r>
        <w:rPr>
          <w:sz w:val="22"/>
        </w:rPr>
        <w:t>No weather, temperature, occupancy, or tariff data is available.</w:t>
      </w:r>
    </w:p>
    <w:p>
      <w:pPr>
        <w:pStyle w:val="ListBullet"/>
        <w:spacing w:after="80"/>
        <w:ind w:left="432"/>
      </w:pPr>
      <w:r>
        <w:rPr>
          <w:sz w:val="22"/>
        </w:rPr>
        <w:t>Single household — findings are not directly generalizable.</w:t>
      </w:r>
    </w:p>
    <w:p>
      <w:pPr>
        <w:pStyle w:val="Heading2"/>
        <w:spacing w:before="160" w:after="120"/>
      </w:pPr>
      <w:r>
        <w:rPr>
          <w:color w:val="117A8B"/>
          <w:sz w:val="26"/>
        </w:rPr>
        <w:t>3.4 Initial Exploration</w:t>
      </w:r>
    </w:p>
    <w:p>
      <w:pPr>
        <w:spacing w:after="120"/>
      </w:pPr>
      <w:r>
        <w:rPr>
          <w:b w:val="0"/>
          <w:i w:val="0"/>
          <w:sz w:val="22"/>
        </w:rPr>
        <w:t>Global active power shows regular daily cycles with higher consumption in the evening hours (19:00–22:00). Weekend patterns differ structurally from weekday patterns, which is confirmed by the clustering results. Missing values are not clustered at specific time periods, supporting time-based interpolation.</w:t>
      </w:r>
    </w:p>
    <w:p>
      <w:pPr>
        <w:spacing w:after="160"/>
      </w:pPr>
      <w:r>
        <w:rPr>
          <w:b/>
          <w:color w:val="06B6D4"/>
          <w:sz w:val="20"/>
        </w:rPr>
        <w:t>[Screenshot: Overview — Consumption time-series and hourly average chart]</w:t>
      </w:r>
    </w:p>
    <w:p>
      <w:r>
        <w:br w:type="page"/>
      </w:r>
    </w:p>
    <w:p>
      <w:pPr>
        <w:pStyle w:val="Heading1"/>
        <w:spacing w:before="280" w:after="120"/>
      </w:pPr>
      <w:r>
        <w:rPr>
          <w:color w:val="0A3D62"/>
          <w:sz w:val="32"/>
        </w:rPr>
        <w:t>4. Data Preparation</w:t>
      </w:r>
    </w:p>
    <w:p>
      <w:pPr>
        <w:pStyle w:val="Heading2"/>
        <w:spacing w:before="160" w:after="120"/>
      </w:pPr>
      <w:r>
        <w:rPr>
          <w:color w:val="117A8B"/>
          <w:sz w:val="26"/>
        </w:rPr>
        <w:t>4.1 Preparation Pipeline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3D62"/>
          </w:tcPr>
          <w:p>
            <w:pPr>
              <w:jc w:val="center"/>
            </w:pPr>
            <w:r>
              <w:rPr>
                <w:b/>
                <w:color w:val="FFFFFF"/>
                <w:sz w:val="20"/>
              </w:rPr>
              <w:t>Step</w:t>
            </w:r>
          </w:p>
        </w:tc>
        <w:tc>
          <w:tcPr>
            <w:tcW w:type="dxa" w:w="3041"/>
            <w:shd w:val="clear" w:color="auto" w:fill="0A3D62"/>
          </w:tcPr>
          <w:p>
            <w:pPr>
              <w:jc w:val="center"/>
            </w:pPr>
            <w:r>
              <w:rPr>
                <w:b/>
                <w:color w:val="FFFFFF"/>
                <w:sz w:val="20"/>
              </w:rPr>
              <w:t>Action</w:t>
            </w:r>
          </w:p>
        </w:tc>
        <w:tc>
          <w:tcPr>
            <w:tcW w:type="dxa" w:w="3041"/>
            <w:shd w:val="clear" w:color="auto" w:fill="0A3D62"/>
          </w:tcPr>
          <w:p>
            <w:pPr>
              <w:jc w:val="center"/>
            </w:pPr>
            <w:r>
              <w:rPr>
                <w:b/>
                <w:color w:val="FFFFFF"/>
                <w:sz w:val="20"/>
              </w:rPr>
              <w:t>Outcome</w:t>
            </w:r>
          </w:p>
        </w:tc>
      </w:tr>
      <w:tr>
        <w:tc>
          <w:tcPr>
            <w:tcW w:type="dxa" w:w="3041"/>
          </w:tcPr>
          <w:p>
            <w:r>
              <w:rPr>
                <w:sz w:val="20"/>
              </w:rPr>
              <w:t>1</w:t>
            </w:r>
          </w:p>
        </w:tc>
        <w:tc>
          <w:tcPr>
            <w:tcW w:type="dxa" w:w="3041"/>
          </w:tcPr>
          <w:p>
            <w:r>
              <w:rPr>
                <w:sz w:val="20"/>
              </w:rPr>
              <w:t>Column standardization</w:t>
            </w:r>
          </w:p>
        </w:tc>
        <w:tc>
          <w:tcPr>
            <w:tcW w:type="dxa" w:w="3041"/>
          </w:tcPr>
          <w:p>
            <w:r>
              <w:rPr>
                <w:sz w:val="20"/>
              </w:rPr>
              <w:t>Lowercase snake_case column names</w:t>
            </w:r>
          </w:p>
        </w:tc>
      </w:tr>
      <w:tr>
        <w:tc>
          <w:tcPr>
            <w:tcW w:type="dxa" w:w="3041"/>
          </w:tcPr>
          <w:p>
            <w:r>
              <w:rPr>
                <w:sz w:val="20"/>
              </w:rPr>
              <w:t>2</w:t>
            </w:r>
          </w:p>
        </w:tc>
        <w:tc>
          <w:tcPr>
            <w:tcW w:type="dxa" w:w="3041"/>
          </w:tcPr>
          <w:p>
            <w:r>
              <w:rPr>
                <w:sz w:val="20"/>
              </w:rPr>
              <w:t>Datetime construction</w:t>
            </w:r>
          </w:p>
        </w:tc>
        <w:tc>
          <w:tcPr>
            <w:tcW w:type="dxa" w:w="3041"/>
          </w:tcPr>
          <w:p>
            <w:r>
              <w:rPr>
                <w:sz w:val="20"/>
              </w:rPr>
              <w:t>Date + Time merged into a single datetime index</w:t>
            </w:r>
          </w:p>
        </w:tc>
      </w:tr>
      <w:tr>
        <w:tc>
          <w:tcPr>
            <w:tcW w:type="dxa" w:w="3041"/>
          </w:tcPr>
          <w:p>
            <w:r>
              <w:rPr>
                <w:sz w:val="20"/>
              </w:rPr>
              <w:t>3</w:t>
            </w:r>
          </w:p>
        </w:tc>
        <w:tc>
          <w:tcPr>
            <w:tcW w:type="dxa" w:w="3041"/>
          </w:tcPr>
          <w:p>
            <w:r>
              <w:rPr>
                <w:sz w:val="20"/>
              </w:rPr>
              <w:t>Numeric type conversion</w:t>
            </w:r>
          </w:p>
        </w:tc>
        <w:tc>
          <w:tcPr>
            <w:tcW w:type="dxa" w:w="3041"/>
          </w:tcPr>
          <w:p>
            <w:r>
              <w:rPr>
                <w:sz w:val="20"/>
              </w:rPr>
              <w:t>Power columns cast to float; '?' treated as NaN</w:t>
            </w:r>
          </w:p>
        </w:tc>
      </w:tr>
      <w:tr>
        <w:tc>
          <w:tcPr>
            <w:tcW w:type="dxa" w:w="3041"/>
          </w:tcPr>
          <w:p>
            <w:r>
              <w:rPr>
                <w:sz w:val="20"/>
              </w:rPr>
              <w:t>4</w:t>
            </w:r>
          </w:p>
        </w:tc>
        <w:tc>
          <w:tcPr>
            <w:tcW w:type="dxa" w:w="3041"/>
          </w:tcPr>
          <w:p>
            <w:r>
              <w:rPr>
                <w:sz w:val="20"/>
              </w:rPr>
              <w:t>Duplicate removal</w:t>
            </w:r>
          </w:p>
        </w:tc>
        <w:tc>
          <w:tcPr>
            <w:tcW w:type="dxa" w:w="3041"/>
          </w:tcPr>
          <w:p>
            <w:r>
              <w:rPr>
                <w:sz w:val="20"/>
              </w:rPr>
              <w:t>Duplicate timestamps dropped</w:t>
            </w:r>
          </w:p>
        </w:tc>
      </w:tr>
      <w:tr>
        <w:tc>
          <w:tcPr>
            <w:tcW w:type="dxa" w:w="3041"/>
          </w:tcPr>
          <w:p>
            <w:r>
              <w:rPr>
                <w:sz w:val="20"/>
              </w:rPr>
              <w:t>5</w:t>
            </w:r>
          </w:p>
        </w:tc>
        <w:tc>
          <w:tcPr>
            <w:tcW w:type="dxa" w:w="3041"/>
          </w:tcPr>
          <w:p>
            <w:r>
              <w:rPr>
                <w:sz w:val="20"/>
              </w:rPr>
              <w:t>Missing value handling</w:t>
            </w:r>
          </w:p>
        </w:tc>
        <w:tc>
          <w:tcPr>
            <w:tcW w:type="dxa" w:w="3041"/>
          </w:tcPr>
          <w:p>
            <w:r>
              <w:rPr>
                <w:sz w:val="20"/>
              </w:rPr>
              <w:t>Time-based interpolation; gaps filled forward/backward</w:t>
            </w:r>
          </w:p>
        </w:tc>
      </w:tr>
      <w:tr>
        <w:tc>
          <w:tcPr>
            <w:tcW w:type="dxa" w:w="3041"/>
          </w:tcPr>
          <w:p>
            <w:r>
              <w:rPr>
                <w:sz w:val="20"/>
              </w:rPr>
              <w:t>6</w:t>
            </w:r>
          </w:p>
        </w:tc>
        <w:tc>
          <w:tcPr>
            <w:tcW w:type="dxa" w:w="3041"/>
          </w:tcPr>
          <w:p>
            <w:r>
              <w:rPr>
                <w:sz w:val="20"/>
              </w:rPr>
              <w:t>Time feature engineering</w:t>
            </w:r>
          </w:p>
        </w:tc>
        <w:tc>
          <w:tcPr>
            <w:tcW w:type="dxa" w:w="3041"/>
          </w:tcPr>
          <w:p>
            <w:r>
              <w:rPr>
                <w:sz w:val="20"/>
              </w:rPr>
              <w:t>hour, day_of_week, month, year, is_weekend created</w:t>
            </w:r>
          </w:p>
        </w:tc>
      </w:tr>
      <w:tr>
        <w:tc>
          <w:tcPr>
            <w:tcW w:type="dxa" w:w="3041"/>
          </w:tcPr>
          <w:p>
            <w:r>
              <w:rPr>
                <w:sz w:val="20"/>
              </w:rPr>
              <w:t>7</w:t>
            </w:r>
          </w:p>
        </w:tc>
        <w:tc>
          <w:tcPr>
            <w:tcW w:type="dxa" w:w="3041"/>
          </w:tcPr>
          <w:p>
            <w:r>
              <w:rPr>
                <w:sz w:val="20"/>
              </w:rPr>
              <w:t>Energy feature engineering</w:t>
            </w:r>
          </w:p>
        </w:tc>
        <w:tc>
          <w:tcPr>
            <w:tcW w:type="dxa" w:w="3041"/>
          </w:tcPr>
          <w:p>
            <w:r>
              <w:rPr>
                <w:sz w:val="20"/>
              </w:rPr>
              <w:t>sub_metering_total_wh, active_energy_wh, unmetered_energy_wh</w:t>
            </w:r>
          </w:p>
        </w:tc>
      </w:tr>
      <w:tr>
        <w:tc>
          <w:tcPr>
            <w:tcW w:type="dxa" w:w="3041"/>
          </w:tcPr>
          <w:p>
            <w:r>
              <w:rPr>
                <w:sz w:val="20"/>
              </w:rPr>
              <w:t>8</w:t>
            </w:r>
          </w:p>
        </w:tc>
        <w:tc>
          <w:tcPr>
            <w:tcW w:type="dxa" w:w="3041"/>
          </w:tcPr>
          <w:p>
            <w:r>
              <w:rPr>
                <w:sz w:val="20"/>
              </w:rPr>
              <w:t>Hourly resampling</w:t>
            </w:r>
          </w:p>
        </w:tc>
        <w:tc>
          <w:tcPr>
            <w:tcW w:type="dxa" w:w="3041"/>
          </w:tcPr>
          <w:p>
            <w:r>
              <w:rPr>
                <w:sz w:val="20"/>
              </w:rPr>
              <w:t>Minutes aggregated to 17,477 hourly rows</w:t>
            </w:r>
          </w:p>
        </w:tc>
      </w:tr>
      <w:tr>
        <w:tc>
          <w:tcPr>
            <w:tcW w:type="dxa" w:w="3041"/>
          </w:tcPr>
          <w:p>
            <w:r>
              <w:rPr>
                <w:sz w:val="20"/>
              </w:rPr>
              <w:t>9</w:t>
            </w:r>
          </w:p>
        </w:tc>
        <w:tc>
          <w:tcPr>
            <w:tcW w:type="dxa" w:w="3041"/>
          </w:tcPr>
          <w:p>
            <w:r>
              <w:rPr>
                <w:sz w:val="20"/>
              </w:rPr>
              <w:t>Classification label</w:t>
            </w:r>
          </w:p>
        </w:tc>
        <w:tc>
          <w:tcPr>
            <w:tcW w:type="dxa" w:w="3041"/>
          </w:tcPr>
          <w:p>
            <w:r>
              <w:rPr>
                <w:sz w:val="20"/>
              </w:rPr>
              <w:t>high_consumption = 1 if power &gt;= 75th percentile</w:t>
            </w:r>
          </w:p>
        </w:tc>
      </w:tr>
      <w:tr>
        <w:tc>
          <w:tcPr>
            <w:tcW w:type="dxa" w:w="3041"/>
          </w:tcPr>
          <w:p>
            <w:r>
              <w:rPr>
                <w:sz w:val="20"/>
              </w:rPr>
              <w:t>10</w:t>
            </w:r>
          </w:p>
        </w:tc>
        <w:tc>
          <w:tcPr>
            <w:tcW w:type="dxa" w:w="3041"/>
          </w:tcPr>
          <w:p>
            <w:r>
              <w:rPr>
                <w:sz w:val="20"/>
              </w:rPr>
              <w:t>Lag + rolling features</w:t>
            </w:r>
          </w:p>
        </w:tc>
        <w:tc>
          <w:tcPr>
            <w:tcW w:type="dxa" w:w="3041"/>
          </w:tcPr>
          <w:p>
            <w:r>
              <w:rPr>
                <w:sz w:val="20"/>
              </w:rPr>
              <w:t>lag_1, lag_2, lag_24, rolling_3_mean, rolling_24_mean</w:t>
            </w:r>
          </w:p>
        </w:tc>
      </w:tr>
    </w:tbl>
    <w:p/>
    <w:p>
      <w:pPr>
        <w:pStyle w:val="Heading2"/>
        <w:spacing w:before="160" w:after="120"/>
      </w:pPr>
      <w:r>
        <w:rPr>
          <w:color w:val="117A8B"/>
          <w:sz w:val="26"/>
        </w:rPr>
        <w:t>4.2 Hourly Resampling Rationale</w:t>
      </w:r>
    </w:p>
    <w:p>
      <w:pPr>
        <w:spacing w:after="120"/>
      </w:pPr>
      <w:r>
        <w:rPr>
          <w:b w:val="0"/>
          <w:i w:val="0"/>
          <w:sz w:val="22"/>
        </w:rPr>
        <w:t>Minute-level data is noisy and computationally expensive. Hourly aggregation (mean for power and voltage; sum for sub-metering energy) reduces noise, speeds up model training, and makes daily consumption cycles visually interpretable without losing predictive signal.</w:t>
      </w:r>
    </w:p>
    <w:p>
      <w:pPr>
        <w:shd w:val="clear" w:color="auto" w:fill="EBF5FB"/>
        <w:spacing w:before="80" w:after="160"/>
        <w:ind w:left="288" w:right="288"/>
      </w:pPr>
      <w:r>
        <w:rPr>
          <w:b/>
          <w:color w:val="117A8B"/>
          <w:sz w:val="20"/>
        </w:rPr>
        <w:t xml:space="preserve">Key fact:  </w:t>
      </w:r>
      <w:r>
        <w:rPr>
          <w:i w:val="0"/>
          <w:color w:val="556574"/>
          <w:sz w:val="20"/>
        </w:rPr>
        <w:t>Hourly resampling reduced the dataset from 1,048,575 rows to 17,477 rows with 0 missing values, while preserving all behavioral patterns relevant to the mining objectives.</w:t>
      </w:r>
    </w:p>
    <w:p>
      <w:pPr>
        <w:pStyle w:val="Heading2"/>
        <w:spacing w:before="160" w:after="120"/>
      </w:pPr>
      <w:r>
        <w:rPr>
          <w:color w:val="117A8B"/>
          <w:sz w:val="26"/>
        </w:rPr>
        <w:t>4.3 Lag Feature Design</w:t>
      </w:r>
    </w:p>
    <w:p>
      <w:pPr>
        <w:spacing w:after="120"/>
      </w:pPr>
      <w:r>
        <w:rPr>
          <w:b w:val="0"/>
          <w:i w:val="0"/>
          <w:sz w:val="22"/>
        </w:rPr>
        <w:t>Regression models use lag and rolling features to prevent target leakage. The model predicts the current hour's consumption from the previous 1-, 2-, and 24-hour readings plus 3-hour and 24-hour rolling means. This reflects realistic forecasting conditions where future values are unavailable.</w:t>
      </w:r>
    </w:p>
    <w:p>
      <w:pPr>
        <w:pStyle w:val="Heading2"/>
        <w:spacing w:before="160" w:after="120"/>
      </w:pPr>
      <w:r>
        <w:rPr>
          <w:color w:val="117A8B"/>
          <w:sz w:val="26"/>
        </w:rPr>
        <w:t>4.4 Prepared Dataset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3D62"/>
          </w:tcPr>
          <w:p>
            <w:pPr>
              <w:jc w:val="center"/>
            </w:pPr>
            <w:r>
              <w:rPr>
                <w:b/>
                <w:color w:val="FFFFFF"/>
                <w:sz w:val="20"/>
              </w:rPr>
              <w:t>Attribute</w:t>
            </w:r>
          </w:p>
        </w:tc>
        <w:tc>
          <w:tcPr>
            <w:tcW w:type="dxa" w:w="4561"/>
            <w:shd w:val="clear" w:color="auto" w:fill="0A3D62"/>
          </w:tcPr>
          <w:p>
            <w:pPr>
              <w:jc w:val="center"/>
            </w:pPr>
            <w:r>
              <w:rPr>
                <w:b/>
                <w:color w:val="FFFFFF"/>
                <w:sz w:val="20"/>
              </w:rPr>
              <w:t>Value</w:t>
            </w:r>
          </w:p>
        </w:tc>
      </w:tr>
      <w:tr>
        <w:tc>
          <w:tcPr>
            <w:tcW w:type="dxa" w:w="4561"/>
          </w:tcPr>
          <w:p>
            <w:r>
              <w:rPr>
                <w:sz w:val="20"/>
              </w:rPr>
              <w:t>Rows (hourly)</w:t>
            </w:r>
          </w:p>
        </w:tc>
        <w:tc>
          <w:tcPr>
            <w:tcW w:type="dxa" w:w="4561"/>
          </w:tcPr>
          <w:p>
            <w:r>
              <w:rPr>
                <w:sz w:val="20"/>
              </w:rPr>
              <w:t>17,477</w:t>
            </w:r>
          </w:p>
        </w:tc>
      </w:tr>
      <w:tr>
        <w:tc>
          <w:tcPr>
            <w:tcW w:type="dxa" w:w="4561"/>
          </w:tcPr>
          <w:p>
            <w:r>
              <w:rPr>
                <w:sz w:val="20"/>
              </w:rPr>
              <w:t>Columns</w:t>
            </w:r>
          </w:p>
        </w:tc>
        <w:tc>
          <w:tcPr>
            <w:tcW w:type="dxa" w:w="4561"/>
          </w:tcPr>
          <w:p>
            <w:r>
              <w:rPr>
                <w:sz w:val="20"/>
              </w:rPr>
              <w:t>22</w:t>
            </w:r>
          </w:p>
        </w:tc>
      </w:tr>
      <w:tr>
        <w:tc>
          <w:tcPr>
            <w:tcW w:type="dxa" w:w="4561"/>
          </w:tcPr>
          <w:p>
            <w:r>
              <w:rPr>
                <w:sz w:val="20"/>
              </w:rPr>
              <w:t>Date range</w:t>
            </w:r>
          </w:p>
        </w:tc>
        <w:tc>
          <w:tcPr>
            <w:tcW w:type="dxa" w:w="4561"/>
          </w:tcPr>
          <w:p>
            <w:r>
              <w:rPr>
                <w:sz w:val="20"/>
              </w:rPr>
              <w:t>2006-12-16 17:00 to 2008-12-13 21:00</w:t>
            </w:r>
          </w:p>
        </w:tc>
      </w:tr>
      <w:tr>
        <w:tc>
          <w:tcPr>
            <w:tcW w:type="dxa" w:w="4561"/>
          </w:tcPr>
          <w:p>
            <w:r>
              <w:rPr>
                <w:sz w:val="20"/>
              </w:rPr>
              <w:t>Missing values</w:t>
            </w:r>
          </w:p>
        </w:tc>
        <w:tc>
          <w:tcPr>
            <w:tcW w:type="dxa" w:w="4561"/>
          </w:tcPr>
          <w:p>
            <w:r>
              <w:rPr>
                <w:sz w:val="20"/>
              </w:rPr>
              <w:t>0</w:t>
            </w:r>
          </w:p>
        </w:tc>
      </w:tr>
      <w:tr>
        <w:tc>
          <w:tcPr>
            <w:tcW w:type="dxa" w:w="4561"/>
          </w:tcPr>
          <w:p>
            <w:r>
              <w:rPr>
                <w:sz w:val="20"/>
              </w:rPr>
              <w:t>Average active power</w:t>
            </w:r>
          </w:p>
        </w:tc>
        <w:tc>
          <w:tcPr>
            <w:tcW w:type="dxa" w:w="4561"/>
          </w:tcPr>
          <w:p>
            <w:r>
              <w:rPr>
                <w:sz w:val="20"/>
              </w:rPr>
              <w:t>1.106 kW</w:t>
            </w:r>
          </w:p>
        </w:tc>
      </w:tr>
      <w:tr>
        <w:tc>
          <w:tcPr>
            <w:tcW w:type="dxa" w:w="4561"/>
          </w:tcPr>
          <w:p>
            <w:r>
              <w:rPr>
                <w:sz w:val="20"/>
              </w:rPr>
              <w:t>Peak active power</w:t>
            </w:r>
          </w:p>
        </w:tc>
        <w:tc>
          <w:tcPr>
            <w:tcW w:type="dxa" w:w="4561"/>
          </w:tcPr>
          <w:p>
            <w:r>
              <w:rPr>
                <w:sz w:val="20"/>
              </w:rPr>
              <w:t>6.560 kW</w:t>
            </w:r>
          </w:p>
        </w:tc>
      </w:tr>
      <w:tr>
        <w:tc>
          <w:tcPr>
            <w:tcW w:type="dxa" w:w="4561"/>
          </w:tcPr>
          <w:p>
            <w:r>
              <w:rPr>
                <w:sz w:val="20"/>
              </w:rPr>
              <w:t>High consumption share</w:t>
            </w:r>
          </w:p>
        </w:tc>
        <w:tc>
          <w:tcPr>
            <w:tcW w:type="dxa" w:w="4561"/>
          </w:tcPr>
          <w:p>
            <w:r>
              <w:rPr>
                <w:sz w:val="20"/>
              </w:rPr>
              <w:t>25.0% (top quartile)</w:t>
            </w:r>
          </w:p>
        </w:tc>
      </w:tr>
    </w:tbl>
    <w:p/>
    <w:p>
      <w:r>
        <w:br w:type="page"/>
      </w:r>
    </w:p>
    <w:p>
      <w:pPr>
        <w:pStyle w:val="Heading1"/>
        <w:spacing w:before="280" w:after="120"/>
      </w:pPr>
      <w:r>
        <w:rPr>
          <w:color w:val="0A3D62"/>
          <w:sz w:val="32"/>
        </w:rPr>
        <w:t>5. Modelling</w:t>
      </w:r>
    </w:p>
    <w:p>
      <w:pPr>
        <w:pStyle w:val="Heading2"/>
        <w:spacing w:before="160" w:after="120"/>
      </w:pPr>
      <w:r>
        <w:rPr>
          <w:color w:val="117A8B"/>
          <w:sz w:val="26"/>
        </w:rPr>
        <w:t>5.1 Clustering</w:t>
      </w:r>
    </w:p>
    <w:p>
      <w:pPr>
        <w:spacing w:after="120"/>
      </w:pPr>
      <w:r>
        <w:rPr>
          <w:b w:val="0"/>
          <w:i w:val="0"/>
          <w:sz w:val="22"/>
        </w:rPr>
        <w:t>Clustering groups similar hourly consumption periods without predefined labels. K-Means and DBSCAN are applied to a scaled behavior feature set. PCA (2 components) is used for visualization. K-Means with k=3 is selected for the final profile because it produces three interpretable behavioral segments.</w:t>
      </w:r>
    </w:p>
    <w:p>
      <w:pPr>
        <w:pStyle w:val="ListBullet"/>
        <w:spacing w:after="80"/>
        <w:ind w:left="432"/>
      </w:pPr>
      <w:r>
        <w:rPr>
          <w:sz w:val="22"/>
        </w:rPr>
        <w:t>Feature set: global_reactive_power, voltage, global_intensity, sub_metering_1/2/3, sub_metering_total_wh, unmetered_energy_wh, hour, day_of_week, month, is_weekend</w:t>
      </w:r>
    </w:p>
    <w:p>
      <w:pPr>
        <w:pStyle w:val="ListBullet"/>
        <w:spacing w:after="80"/>
        <w:ind w:left="432"/>
      </w:pPr>
      <w:r>
        <w:rPr>
          <w:sz w:val="22"/>
        </w:rPr>
        <w:t>K-Means tested for k = 2, 3, 4, 5; best k by silhouette score</w:t>
      </w:r>
    </w:p>
    <w:p>
      <w:pPr>
        <w:pStyle w:val="ListBullet"/>
        <w:spacing w:after="80"/>
        <w:ind w:left="432"/>
      </w:pPr>
      <w:r>
        <w:rPr>
          <w:sz w:val="22"/>
        </w:rPr>
        <w:t>DBSCAN: eps=1.5, min_samples=20</w:t>
      </w:r>
    </w:p>
    <w:p>
      <w:pPr>
        <w:pStyle w:val="ListBullet"/>
        <w:spacing w:after="80"/>
        <w:ind w:left="432"/>
      </w:pPr>
      <w:r>
        <w:rPr>
          <w:sz w:val="22"/>
        </w:rPr>
        <w:t>All features standardized with StandardScaler before fitting</w:t>
      </w:r>
    </w:p>
    <w:p>
      <w:pPr>
        <w:pStyle w:val="Heading2"/>
        <w:spacing w:before="160" w:after="120"/>
      </w:pPr>
      <w:r>
        <w:rPr>
          <w:color w:val="117A8B"/>
          <w:sz w:val="26"/>
        </w:rPr>
        <w:t>5.2 Regression</w:t>
      </w:r>
    </w:p>
    <w:p>
      <w:pPr>
        <w:spacing w:after="120"/>
      </w:pPr>
      <w:r>
        <w:rPr>
          <w:b w:val="0"/>
          <w:i w:val="0"/>
          <w:sz w:val="22"/>
        </w:rPr>
        <w:t>Regression predicts hourly global active power using lag and time features only. A chronological 80/20 split (no shuffle) simulates real forecasting conditions.</w:t>
      </w:r>
    </w:p>
    <w:p>
      <w:pPr>
        <w:pStyle w:val="ListBullet"/>
        <w:spacing w:after="80"/>
        <w:ind w:left="432"/>
      </w:pPr>
      <w:r>
        <w:rPr>
          <w:sz w:val="22"/>
        </w:rPr>
        <w:t>Forecast features: hour, day_of_week, month, is_weekend, lag_1, lag_2, lag_24, rolling_3_mean, rolling_24_mean</w:t>
      </w:r>
    </w:p>
    <w:p>
      <w:pPr>
        <w:pStyle w:val="ListBullet"/>
        <w:spacing w:after="80"/>
        <w:ind w:left="432"/>
      </w:pPr>
      <w:r>
        <w:rPr>
          <w:sz w:val="22"/>
        </w:rPr>
        <w:t>Models: Linear Regression, Ridge Regression (alpha=1.0), Polynomial Ridge (degree=2, alpha=1.0)</w:t>
      </w:r>
    </w:p>
    <w:p>
      <w:pPr>
        <w:pStyle w:val="ListBullet"/>
        <w:spacing w:after="80"/>
        <w:ind w:left="432"/>
      </w:pPr>
      <w:r>
        <w:rPr>
          <w:sz w:val="22"/>
        </w:rPr>
        <w:t>Metrics: MAE, RMSE, R²</w:t>
      </w:r>
    </w:p>
    <w:p>
      <w:pPr>
        <w:pStyle w:val="ListBullet"/>
        <w:spacing w:after="80"/>
        <w:ind w:left="432"/>
      </w:pPr>
      <w:r>
        <w:rPr>
          <w:sz w:val="22"/>
        </w:rPr>
        <w:t>Actual vs Predicted chart generated to show where the model struggles</w:t>
      </w:r>
    </w:p>
    <w:p>
      <w:pPr>
        <w:pStyle w:val="Heading2"/>
        <w:spacing w:before="160" w:after="120"/>
      </w:pPr>
      <w:r>
        <w:rPr>
          <w:color w:val="117A8B"/>
          <w:sz w:val="26"/>
        </w:rPr>
        <w:t>5.3 Classification</w:t>
      </w:r>
    </w:p>
    <w:p>
      <w:pPr>
        <w:spacing w:after="120"/>
      </w:pPr>
      <w:r>
        <w:rPr>
          <w:b w:val="0"/>
          <w:i w:val="0"/>
          <w:sz w:val="22"/>
        </w:rPr>
        <w:t>Classification labels each hour as high consumption (top quartile of global active power) or normal. A stratified 80/20 split is used. Random Forest feature importances are extracted to explain which features most strongly predict high-consumption hours.</w:t>
      </w:r>
    </w:p>
    <w:p>
      <w:pPr>
        <w:pStyle w:val="ListBullet"/>
        <w:spacing w:after="80"/>
        <w:ind w:left="432"/>
      </w:pPr>
      <w:r>
        <w:rPr>
          <w:sz w:val="22"/>
        </w:rPr>
        <w:t>Feature set: same 12-feature behavior set used in clustering</w:t>
      </w:r>
    </w:p>
    <w:p>
      <w:pPr>
        <w:pStyle w:val="ListBullet"/>
        <w:spacing w:after="80"/>
        <w:ind w:left="432"/>
      </w:pPr>
      <w:r>
        <w:rPr>
          <w:sz w:val="22"/>
        </w:rPr>
        <w:t>Models: Logistic Regression (max_iter=1000), Random Forest (150 trees, max_depth=12)</w:t>
      </w:r>
    </w:p>
    <w:p>
      <w:pPr>
        <w:pStyle w:val="ListBullet"/>
        <w:spacing w:after="80"/>
        <w:ind w:left="432"/>
      </w:pPr>
      <w:r>
        <w:rPr>
          <w:sz w:val="22"/>
        </w:rPr>
        <w:t>Random Forest feature_importances_ extracted and visualized</w:t>
      </w:r>
    </w:p>
    <w:p>
      <w:pPr>
        <w:pStyle w:val="Heading2"/>
        <w:spacing w:before="160" w:after="120"/>
      </w:pPr>
      <w:r>
        <w:rPr>
          <w:color w:val="117A8B"/>
          <w:sz w:val="26"/>
        </w:rPr>
        <w:t>5.4 PCA</w:t>
      </w:r>
    </w:p>
    <w:p>
      <w:pPr>
        <w:spacing w:after="120"/>
      </w:pPr>
      <w:r>
        <w:rPr>
          <w:b w:val="0"/>
          <w:i w:val="0"/>
          <w:sz w:val="22"/>
        </w:rPr>
        <w:t>PCA is applied to the behavior feature set to summarize the variance structure. Three components are computed. A 2D PCA projection is also used in the clustering section for scatter-plot visualization of cluster separation.</w:t>
      </w:r>
    </w:p>
    <w:p>
      <w:r>
        <w:br w:type="page"/>
      </w:r>
    </w:p>
    <w:p>
      <w:pPr>
        <w:pStyle w:val="Heading1"/>
        <w:spacing w:before="280" w:after="120"/>
      </w:pPr>
      <w:r>
        <w:rPr>
          <w:color w:val="0A3D62"/>
          <w:sz w:val="32"/>
        </w:rPr>
        <w:t>6. Evaluation</w:t>
      </w:r>
    </w:p>
    <w:p>
      <w:pPr>
        <w:pStyle w:val="Heading2"/>
        <w:spacing w:before="160" w:after="120"/>
      </w:pPr>
      <w:r>
        <w:rPr>
          <w:color w:val="117A8B"/>
          <w:sz w:val="26"/>
        </w:rPr>
        <w:t>6.1 Clustering Results</w:t>
      </w:r>
    </w:p>
    <w:p>
      <w:pPr>
        <w:spacing w:after="120"/>
      </w:pPr>
      <w:r>
        <w:rPr>
          <w:b w:val="0"/>
          <w:i w:val="0"/>
          <w:sz w:val="22"/>
        </w:rPr>
        <w:t>Silhouette scores range from 0 (overlapping) to 1 (perfectly separated). Scores in the 0.20–0.26 range are moderate and expected for real-world energy data, where similar appliances run at similar times across many different days.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A3D62"/>
          </w:tcPr>
          <w:p>
            <w:pPr>
              <w:jc w:val="center"/>
            </w:pPr>
            <w:r>
              <w:rPr>
                <w:b/>
                <w:color w:val="FFFFFF"/>
                <w:sz w:val="20"/>
              </w:rPr>
              <w:t>Algorithm</w:t>
            </w:r>
          </w:p>
        </w:tc>
        <w:tc>
          <w:tcPr>
            <w:tcW w:type="dxa" w:w="2280"/>
            <w:shd w:val="clear" w:color="auto" w:fill="0A3D62"/>
          </w:tcPr>
          <w:p>
            <w:pPr>
              <w:jc w:val="center"/>
            </w:pPr>
            <w:r>
              <w:rPr>
                <w:b/>
                <w:color w:val="FFFFFF"/>
                <w:sz w:val="20"/>
              </w:rPr>
              <w:t>k / Clusters</w:t>
            </w:r>
          </w:p>
        </w:tc>
        <w:tc>
          <w:tcPr>
            <w:tcW w:type="dxa" w:w="2280"/>
            <w:shd w:val="clear" w:color="auto" w:fill="0A3D62"/>
          </w:tcPr>
          <w:p>
            <w:pPr>
              <w:jc w:val="center"/>
            </w:pPr>
            <w:r>
              <w:rPr>
                <w:b/>
                <w:color w:val="FFFFFF"/>
                <w:sz w:val="20"/>
              </w:rPr>
              <w:t>Silhouette</w:t>
            </w:r>
          </w:p>
        </w:tc>
        <w:tc>
          <w:tcPr>
            <w:tcW w:type="dxa" w:w="2280"/>
            <w:shd w:val="clear" w:color="auto" w:fill="0A3D62"/>
          </w:tcPr>
          <w:p>
            <w:pPr>
              <w:jc w:val="center"/>
            </w:pPr>
            <w:r>
              <w:rPr>
                <w:b/>
                <w:color w:val="FFFFFF"/>
                <w:sz w:val="20"/>
              </w:rPr>
              <w:t>Noise Points</w:t>
            </w:r>
          </w:p>
        </w:tc>
      </w:tr>
      <w:tr>
        <w:tc>
          <w:tcPr>
            <w:tcW w:type="dxa" w:w="2280"/>
            <w:shd w:val="clear" w:color="auto" w:fill="E8F8F0"/>
          </w:tcPr>
          <w:p>
            <w:r>
              <w:rPr>
                <w:b/>
                <w:color w:val="055030"/>
                <w:sz w:val="20"/>
              </w:rPr>
              <w:t>K-Means</w:t>
            </w:r>
          </w:p>
        </w:tc>
        <w:tc>
          <w:tcPr>
            <w:tcW w:type="dxa" w:w="2280"/>
            <w:shd w:val="clear" w:color="auto" w:fill="E8F8F0"/>
          </w:tcPr>
          <w:p>
            <w:r>
              <w:rPr>
                <w:b/>
                <w:color w:val="055030"/>
                <w:sz w:val="20"/>
              </w:rPr>
              <w:t>2</w:t>
            </w:r>
          </w:p>
        </w:tc>
        <w:tc>
          <w:tcPr>
            <w:tcW w:type="dxa" w:w="2280"/>
            <w:shd w:val="clear" w:color="auto" w:fill="E8F8F0"/>
          </w:tcPr>
          <w:p>
            <w:r>
              <w:rPr>
                <w:b/>
                <w:color w:val="055030"/>
                <w:sz w:val="20"/>
              </w:rPr>
              <w:t>0.260</w:t>
            </w:r>
          </w:p>
        </w:tc>
        <w:tc>
          <w:tcPr>
            <w:tcW w:type="dxa" w:w="2280"/>
            <w:shd w:val="clear" w:color="auto" w:fill="E8F8F0"/>
          </w:tcPr>
          <w:p>
            <w:r>
              <w:rPr>
                <w:b/>
                <w:color w:val="055030"/>
                <w:sz w:val="20"/>
              </w:rPr>
              <w:t>—</w:t>
            </w:r>
          </w:p>
        </w:tc>
      </w:tr>
      <w:tr>
        <w:tc>
          <w:tcPr>
            <w:tcW w:type="dxa" w:w="2280"/>
          </w:tcPr>
          <w:p>
            <w:r>
              <w:rPr>
                <w:sz w:val="20"/>
              </w:rPr>
              <w:t>K-Means</w:t>
            </w:r>
          </w:p>
        </w:tc>
        <w:tc>
          <w:tcPr>
            <w:tcW w:type="dxa" w:w="2280"/>
          </w:tcPr>
          <w:p>
            <w:r>
              <w:rPr>
                <w:sz w:val="20"/>
              </w:rPr>
              <w:t>3</w:t>
            </w:r>
          </w:p>
        </w:tc>
        <w:tc>
          <w:tcPr>
            <w:tcW w:type="dxa" w:w="2280"/>
          </w:tcPr>
          <w:p>
            <w:r>
              <w:rPr>
                <w:sz w:val="20"/>
              </w:rPr>
              <w:t>0.204</w:t>
            </w:r>
          </w:p>
        </w:tc>
        <w:tc>
          <w:tcPr>
            <w:tcW w:type="dxa" w:w="2280"/>
          </w:tcPr>
          <w:p>
            <w:r>
              <w:rPr>
                <w:sz w:val="20"/>
              </w:rPr>
              <w:t>—</w:t>
            </w:r>
          </w:p>
        </w:tc>
      </w:tr>
      <w:tr>
        <w:tc>
          <w:tcPr>
            <w:tcW w:type="dxa" w:w="2280"/>
          </w:tcPr>
          <w:p>
            <w:r>
              <w:rPr>
                <w:sz w:val="20"/>
              </w:rPr>
              <w:t>K-Means</w:t>
            </w:r>
          </w:p>
        </w:tc>
        <w:tc>
          <w:tcPr>
            <w:tcW w:type="dxa" w:w="2280"/>
          </w:tcPr>
          <w:p>
            <w:r>
              <w:rPr>
                <w:sz w:val="20"/>
              </w:rPr>
              <w:t>4</w:t>
            </w:r>
          </w:p>
        </w:tc>
        <w:tc>
          <w:tcPr>
            <w:tcW w:type="dxa" w:w="2280"/>
          </w:tcPr>
          <w:p>
            <w:r>
              <w:rPr>
                <w:sz w:val="20"/>
              </w:rPr>
              <w:t>0.216</w:t>
            </w:r>
          </w:p>
        </w:tc>
        <w:tc>
          <w:tcPr>
            <w:tcW w:type="dxa" w:w="2280"/>
          </w:tcPr>
          <w:p>
            <w:r>
              <w:rPr>
                <w:sz w:val="20"/>
              </w:rPr>
              <w:t>—</w:t>
            </w:r>
          </w:p>
        </w:tc>
      </w:tr>
      <w:tr>
        <w:tc>
          <w:tcPr>
            <w:tcW w:type="dxa" w:w="2280"/>
          </w:tcPr>
          <w:p>
            <w:r>
              <w:rPr>
                <w:sz w:val="20"/>
              </w:rPr>
              <w:t>K-Means</w:t>
            </w:r>
          </w:p>
        </w:tc>
        <w:tc>
          <w:tcPr>
            <w:tcW w:type="dxa" w:w="2280"/>
          </w:tcPr>
          <w:p>
            <w:r>
              <w:rPr>
                <w:sz w:val="20"/>
              </w:rPr>
              <w:t>5</w:t>
            </w:r>
          </w:p>
        </w:tc>
        <w:tc>
          <w:tcPr>
            <w:tcW w:type="dxa" w:w="2280"/>
          </w:tcPr>
          <w:p>
            <w:r>
              <w:rPr>
                <w:sz w:val="20"/>
              </w:rPr>
              <w:t>0.226</w:t>
            </w:r>
          </w:p>
        </w:tc>
        <w:tc>
          <w:tcPr>
            <w:tcW w:type="dxa" w:w="2280"/>
          </w:tcPr>
          <w:p>
            <w:r>
              <w:rPr>
                <w:sz w:val="20"/>
              </w:rPr>
              <w:t>—</w:t>
            </w:r>
          </w:p>
        </w:tc>
      </w:tr>
      <w:tr>
        <w:tc>
          <w:tcPr>
            <w:tcW w:type="dxa" w:w="2280"/>
          </w:tcPr>
          <w:p>
            <w:r>
              <w:rPr>
                <w:sz w:val="20"/>
              </w:rPr>
              <w:t>DBSCAN</w:t>
            </w:r>
          </w:p>
        </w:tc>
        <w:tc>
          <w:tcPr>
            <w:tcW w:type="dxa" w:w="2280"/>
          </w:tcPr>
          <w:p>
            <w:r>
              <w:rPr>
                <w:sz w:val="20"/>
              </w:rPr>
              <w:t>6</w:t>
            </w:r>
          </w:p>
        </w:tc>
        <w:tc>
          <w:tcPr>
            <w:tcW w:type="dxa" w:w="2280"/>
          </w:tcPr>
          <w:p>
            <w:r>
              <w:rPr>
                <w:sz w:val="20"/>
              </w:rPr>
              <w:t>0.118</w:t>
            </w:r>
          </w:p>
        </w:tc>
        <w:tc>
          <w:tcPr>
            <w:tcW w:type="dxa" w:w="2280"/>
          </w:tcPr>
          <w:p>
            <w:r>
              <w:rPr>
                <w:sz w:val="20"/>
              </w:rPr>
              <w:t>2,334</w:t>
            </w:r>
          </w:p>
        </w:tc>
      </w:tr>
    </w:tbl>
    <w:p/>
    <w:p>
      <w:pPr>
        <w:shd w:val="clear" w:color="auto" w:fill="EBF5FB"/>
        <w:spacing w:before="80" w:after="160"/>
        <w:ind w:left="288" w:right="288"/>
      </w:pPr>
      <w:r>
        <w:rPr>
          <w:b/>
          <w:color w:val="117A8B"/>
          <w:sz w:val="20"/>
        </w:rPr>
        <w:t xml:space="preserve">Decision:  </w:t>
      </w:r>
      <w:r>
        <w:rPr>
          <w:i w:val="0"/>
          <w:color w:val="556574"/>
          <w:sz w:val="20"/>
        </w:rPr>
        <w:t>K-Means k=2 gives the best silhouette. K=3 is used for the final profile because it yields three interpretable behavioral segments.</w:t>
      </w:r>
    </w:p>
    <w:p>
      <w:pPr>
        <w:jc w:val="center"/>
      </w:pPr>
      <w:r>
        <w:drawing>
          <wp:inline xmlns:a="http://schemas.openxmlformats.org/drawingml/2006/main" xmlns:pic="http://schemas.openxmlformats.org/drawingml/2006/picture">
            <wp:extent cx="4114800" cy="22976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2297660"/>
                    </a:xfrm>
                    <a:prstGeom prst="rect"/>
                  </pic:spPr>
                </pic:pic>
              </a:graphicData>
            </a:graphic>
          </wp:inline>
        </w:drawing>
      </w:r>
    </w:p>
    <w:p>
      <w:pPr>
        <w:spacing w:after="200"/>
        <w:jc w:val="center"/>
      </w:pPr>
      <w:r>
        <w:rPr>
          <w:i/>
          <w:color w:val="556574"/>
          <w:sz w:val="18"/>
        </w:rPr>
        <w:t>Figure: K-Means silhouette score by number of clusters</w:t>
      </w:r>
    </w:p>
    <w:p>
      <w:pPr>
        <w:spacing w:after="120"/>
      </w:pPr>
      <w:r>
        <w:rPr>
          <w:b w:val="0"/>
          <w:i w:val="0"/>
          <w:sz w:val="22"/>
        </w:rPr>
        <w:t>K-Means k=3 Cluster Profile: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0A3D62"/>
          </w:tcPr>
          <w:p>
            <w:pPr>
              <w:jc w:val="center"/>
            </w:pPr>
            <w:r>
              <w:rPr>
                <w:b/>
                <w:color w:val="FFFFFF"/>
                <w:sz w:val="20"/>
              </w:rPr>
              <w:t>Cluster</w:t>
            </w:r>
          </w:p>
        </w:tc>
        <w:tc>
          <w:tcPr>
            <w:tcW w:type="dxa" w:w="1520"/>
            <w:shd w:val="clear" w:color="auto" w:fill="0A3D62"/>
          </w:tcPr>
          <w:p>
            <w:pPr>
              <w:jc w:val="center"/>
            </w:pPr>
            <w:r>
              <w:rPr>
                <w:b/>
                <w:color w:val="FFFFFF"/>
                <w:sz w:val="20"/>
              </w:rPr>
              <w:t>Records</w:t>
            </w:r>
          </w:p>
        </w:tc>
        <w:tc>
          <w:tcPr>
            <w:tcW w:type="dxa" w:w="1520"/>
            <w:shd w:val="clear" w:color="auto" w:fill="0A3D62"/>
          </w:tcPr>
          <w:p>
            <w:pPr>
              <w:jc w:val="center"/>
            </w:pPr>
            <w:r>
              <w:rPr>
                <w:b/>
                <w:color w:val="FFFFFF"/>
                <w:sz w:val="20"/>
              </w:rPr>
              <w:t>Avg Power</w:t>
            </w:r>
          </w:p>
        </w:tc>
        <w:tc>
          <w:tcPr>
            <w:tcW w:type="dxa" w:w="1520"/>
            <w:shd w:val="clear" w:color="auto" w:fill="0A3D62"/>
          </w:tcPr>
          <w:p>
            <w:pPr>
              <w:jc w:val="center"/>
            </w:pPr>
            <w:r>
              <w:rPr>
                <w:b/>
                <w:color w:val="FFFFFF"/>
                <w:sz w:val="20"/>
              </w:rPr>
              <w:t>Avg Hour</w:t>
            </w:r>
          </w:p>
        </w:tc>
        <w:tc>
          <w:tcPr>
            <w:tcW w:type="dxa" w:w="1520"/>
            <w:shd w:val="clear" w:color="auto" w:fill="0A3D62"/>
          </w:tcPr>
          <w:p>
            <w:pPr>
              <w:jc w:val="center"/>
            </w:pPr>
            <w:r>
              <w:rPr>
                <w:b/>
                <w:color w:val="FFFFFF"/>
                <w:sz w:val="20"/>
              </w:rPr>
              <w:t>Weekend %</w:t>
            </w:r>
          </w:p>
        </w:tc>
        <w:tc>
          <w:tcPr>
            <w:tcW w:type="dxa" w:w="1520"/>
            <w:shd w:val="clear" w:color="auto" w:fill="0A3D62"/>
          </w:tcPr>
          <w:p>
            <w:pPr>
              <w:jc w:val="center"/>
            </w:pPr>
            <w:r>
              <w:rPr>
                <w:b/>
                <w:color w:val="FFFFFF"/>
                <w:sz w:val="20"/>
              </w:rPr>
              <w:t>Interpretation</w:t>
            </w:r>
          </w:p>
        </w:tc>
      </w:tr>
      <w:tr>
        <w:tc>
          <w:tcPr>
            <w:tcW w:type="dxa" w:w="1520"/>
          </w:tcPr>
          <w:p>
            <w:r>
              <w:rPr>
                <w:sz w:val="20"/>
              </w:rPr>
              <w:t>0 — Low Weekday</w:t>
            </w:r>
          </w:p>
        </w:tc>
        <w:tc>
          <w:tcPr>
            <w:tcW w:type="dxa" w:w="1520"/>
          </w:tcPr>
          <w:p>
            <w:r>
              <w:rPr>
                <w:sz w:val="20"/>
              </w:rPr>
              <w:t>10,065</w:t>
            </w:r>
          </w:p>
        </w:tc>
        <w:tc>
          <w:tcPr>
            <w:tcW w:type="dxa" w:w="1520"/>
          </w:tcPr>
          <w:p>
            <w:r>
              <w:rPr>
                <w:sz w:val="20"/>
              </w:rPr>
              <w:t>0.698 kW</w:t>
            </w:r>
          </w:p>
        </w:tc>
        <w:tc>
          <w:tcPr>
            <w:tcW w:type="dxa" w:w="1520"/>
          </w:tcPr>
          <w:p>
            <w:r>
              <w:rPr>
                <w:sz w:val="20"/>
              </w:rPr>
              <w:t>10:38</w:t>
            </w:r>
          </w:p>
        </w:tc>
        <w:tc>
          <w:tcPr>
            <w:tcW w:type="dxa" w:w="1520"/>
          </w:tcPr>
          <w:p>
            <w:r>
              <w:rPr>
                <w:sz w:val="20"/>
              </w:rPr>
              <w:t>0%</w:t>
            </w:r>
          </w:p>
        </w:tc>
        <w:tc>
          <w:tcPr>
            <w:tcW w:type="dxa" w:w="1520"/>
          </w:tcPr>
          <w:p>
            <w:r>
              <w:rPr>
                <w:sz w:val="20"/>
              </w:rPr>
              <w:t>Low-use weekday hours</w:t>
            </w:r>
          </w:p>
        </w:tc>
      </w:tr>
      <w:tr>
        <w:tc>
          <w:tcPr>
            <w:tcW w:type="dxa" w:w="1520"/>
          </w:tcPr>
          <w:p>
            <w:r>
              <w:rPr>
                <w:sz w:val="20"/>
              </w:rPr>
              <w:t>1 — Low Weekend</w:t>
            </w:r>
          </w:p>
        </w:tc>
        <w:tc>
          <w:tcPr>
            <w:tcW w:type="dxa" w:w="1520"/>
          </w:tcPr>
          <w:p>
            <w:r>
              <w:rPr>
                <w:sz w:val="20"/>
              </w:rPr>
              <w:t>3,821</w:t>
            </w:r>
          </w:p>
        </w:tc>
        <w:tc>
          <w:tcPr>
            <w:tcW w:type="dxa" w:w="1520"/>
          </w:tcPr>
          <w:p>
            <w:r>
              <w:rPr>
                <w:sz w:val="20"/>
              </w:rPr>
              <w:t>0.783 kW</w:t>
            </w:r>
          </w:p>
        </w:tc>
        <w:tc>
          <w:tcPr>
            <w:tcW w:type="dxa" w:w="1520"/>
          </w:tcPr>
          <w:p>
            <w:r>
              <w:rPr>
                <w:sz w:val="20"/>
              </w:rPr>
              <w:t>10:12</w:t>
            </w:r>
          </w:p>
        </w:tc>
        <w:tc>
          <w:tcPr>
            <w:tcW w:type="dxa" w:w="1520"/>
          </w:tcPr>
          <w:p>
            <w:r>
              <w:rPr>
                <w:sz w:val="20"/>
              </w:rPr>
              <w:t>100%</w:t>
            </w:r>
          </w:p>
        </w:tc>
        <w:tc>
          <w:tcPr>
            <w:tcW w:type="dxa" w:w="1520"/>
          </w:tcPr>
          <w:p>
            <w:r>
              <w:rPr>
                <w:sz w:val="20"/>
              </w:rPr>
              <w:t>Low-use weekend hours</w:t>
            </w:r>
          </w:p>
        </w:tc>
      </w:tr>
      <w:tr>
        <w:tc>
          <w:tcPr>
            <w:tcW w:type="dxa" w:w="1520"/>
            <w:shd w:val="clear" w:color="auto" w:fill="E8F8F0"/>
          </w:tcPr>
          <w:p>
            <w:r>
              <w:rPr>
                <w:b/>
                <w:color w:val="055030"/>
                <w:sz w:val="20"/>
              </w:rPr>
              <w:t>2 — Peak Usage</w:t>
            </w:r>
          </w:p>
        </w:tc>
        <w:tc>
          <w:tcPr>
            <w:tcW w:type="dxa" w:w="1520"/>
            <w:shd w:val="clear" w:color="auto" w:fill="E8F8F0"/>
          </w:tcPr>
          <w:p>
            <w:r>
              <w:rPr>
                <w:b/>
                <w:color w:val="055030"/>
                <w:sz w:val="20"/>
              </w:rPr>
              <w:t>3,591</w:t>
            </w:r>
          </w:p>
        </w:tc>
        <w:tc>
          <w:tcPr>
            <w:tcW w:type="dxa" w:w="1520"/>
            <w:shd w:val="clear" w:color="auto" w:fill="E8F8F0"/>
          </w:tcPr>
          <w:p>
            <w:r>
              <w:rPr>
                <w:b/>
                <w:color w:val="055030"/>
                <w:sz w:val="20"/>
              </w:rPr>
              <w:t>2.593 kW</w:t>
            </w:r>
          </w:p>
        </w:tc>
        <w:tc>
          <w:tcPr>
            <w:tcW w:type="dxa" w:w="1520"/>
            <w:shd w:val="clear" w:color="auto" w:fill="E8F8F0"/>
          </w:tcPr>
          <w:p>
            <w:r>
              <w:rPr>
                <w:b/>
                <w:color w:val="055030"/>
                <w:sz w:val="20"/>
              </w:rPr>
              <w:t>15:20</w:t>
            </w:r>
          </w:p>
        </w:tc>
        <w:tc>
          <w:tcPr>
            <w:tcW w:type="dxa" w:w="1520"/>
            <w:shd w:val="clear" w:color="auto" w:fill="E8F8F0"/>
          </w:tcPr>
          <w:p>
            <w:r>
              <w:rPr>
                <w:b/>
                <w:color w:val="055030"/>
                <w:sz w:val="20"/>
              </w:rPr>
              <w:t>33%</w:t>
            </w:r>
          </w:p>
        </w:tc>
        <w:tc>
          <w:tcPr>
            <w:tcW w:type="dxa" w:w="1520"/>
            <w:shd w:val="clear" w:color="auto" w:fill="E8F8F0"/>
          </w:tcPr>
          <w:p>
            <w:r>
              <w:rPr>
                <w:b/>
                <w:color w:val="055030"/>
                <w:sz w:val="20"/>
              </w:rPr>
              <w:t>High-activity hours</w:t>
            </w:r>
          </w:p>
        </w:tc>
      </w:tr>
    </w:tbl>
    <w:p/>
    <w:p>
      <w:pPr>
        <w:jc w:val="center"/>
      </w:pPr>
      <w:r>
        <w:drawing>
          <wp:inline xmlns:a="http://schemas.openxmlformats.org/drawingml/2006/main" xmlns:pic="http://schemas.openxmlformats.org/drawingml/2006/picture">
            <wp:extent cx="5029200" cy="250617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506171"/>
                    </a:xfrm>
                    <a:prstGeom prst="rect"/>
                  </pic:spPr>
                </pic:pic>
              </a:graphicData>
            </a:graphic>
          </wp:inline>
        </w:drawing>
      </w:r>
    </w:p>
    <w:p>
      <w:pPr>
        <w:spacing w:after="200"/>
        <w:jc w:val="center"/>
      </w:pPr>
      <w:r>
        <w:rPr>
          <w:i/>
          <w:color w:val="556574"/>
          <w:sz w:val="18"/>
        </w:rPr>
        <w:t>Figure: Average sub-metering energy (Wh/hour) per appliance category by cluster</w:t>
      </w:r>
    </w:p>
    <w:p>
      <w:pPr>
        <w:spacing w:after="160"/>
      </w:pPr>
      <w:r>
        <w:rPr>
          <w:b/>
          <w:color w:val="06B6D4"/>
          <w:sz w:val="20"/>
        </w:rPr>
        <w:t>[Screenshot: Clustering tab — Cluster temporal heatmap (hour x day of week per cluster)]</w:t>
      </w:r>
    </w:p>
    <w:p>
      <w:pPr>
        <w:pStyle w:val="Heading2"/>
        <w:spacing w:before="160" w:after="120"/>
      </w:pPr>
      <w:r>
        <w:rPr>
          <w:color w:val="117A8B"/>
          <w:sz w:val="26"/>
        </w:rPr>
        <w:t>6.2 Regression Results</w:t>
      </w:r>
    </w:p>
    <w:p>
      <w:pPr>
        <w:spacing w:after="120"/>
      </w:pPr>
      <w:r>
        <w:rPr>
          <w:b w:val="0"/>
          <w:i w:val="0"/>
          <w:sz w:val="22"/>
        </w:rPr>
        <w:t>RMSE penalizes large prediction errors more heavily, which is important for energy spike prediction. Polynomial Ridge achieves the best performance, capturing non-linear relationships between time, lag features, and consumption.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0A3D62"/>
          </w:tcPr>
          <w:p>
            <w:pPr>
              <w:jc w:val="center"/>
            </w:pPr>
            <w:r>
              <w:rPr>
                <w:b/>
                <w:color w:val="FFFFFF"/>
                <w:sz w:val="20"/>
              </w:rPr>
              <w:t>Model</w:t>
            </w:r>
          </w:p>
        </w:tc>
        <w:tc>
          <w:tcPr>
            <w:tcW w:type="dxa" w:w="2280"/>
            <w:shd w:val="clear" w:color="auto" w:fill="0A3D62"/>
          </w:tcPr>
          <w:p>
            <w:pPr>
              <w:jc w:val="center"/>
            </w:pPr>
            <w:r>
              <w:rPr>
                <w:b/>
                <w:color w:val="FFFFFF"/>
                <w:sz w:val="20"/>
              </w:rPr>
              <w:t>MAE (kW)</w:t>
            </w:r>
          </w:p>
        </w:tc>
        <w:tc>
          <w:tcPr>
            <w:tcW w:type="dxa" w:w="2280"/>
            <w:shd w:val="clear" w:color="auto" w:fill="0A3D62"/>
          </w:tcPr>
          <w:p>
            <w:pPr>
              <w:jc w:val="center"/>
            </w:pPr>
            <w:r>
              <w:rPr>
                <w:b/>
                <w:color w:val="FFFFFF"/>
                <w:sz w:val="20"/>
              </w:rPr>
              <w:t>RMSE (kW)</w:t>
            </w:r>
          </w:p>
        </w:tc>
        <w:tc>
          <w:tcPr>
            <w:tcW w:type="dxa" w:w="2280"/>
            <w:shd w:val="clear" w:color="auto" w:fill="0A3D62"/>
          </w:tcPr>
          <w:p>
            <w:pPr>
              <w:jc w:val="center"/>
            </w:pPr>
            <w:r>
              <w:rPr>
                <w:b/>
                <w:color w:val="FFFFFF"/>
                <w:sz w:val="20"/>
              </w:rPr>
              <w:t>R²</w:t>
            </w:r>
          </w:p>
        </w:tc>
      </w:tr>
      <w:tr>
        <w:tc>
          <w:tcPr>
            <w:tcW w:type="dxa" w:w="2280"/>
            <w:shd w:val="clear" w:color="auto" w:fill="E8F8F0"/>
          </w:tcPr>
          <w:p>
            <w:r>
              <w:rPr>
                <w:b/>
                <w:color w:val="055030"/>
                <w:sz w:val="20"/>
              </w:rPr>
              <w:t>Polynomial Ridge</w:t>
            </w:r>
          </w:p>
        </w:tc>
        <w:tc>
          <w:tcPr>
            <w:tcW w:type="dxa" w:w="2280"/>
            <w:shd w:val="clear" w:color="auto" w:fill="E8F8F0"/>
          </w:tcPr>
          <w:p>
            <w:r>
              <w:rPr>
                <w:b/>
                <w:color w:val="055030"/>
                <w:sz w:val="20"/>
              </w:rPr>
              <w:t>0.370</w:t>
            </w:r>
          </w:p>
        </w:tc>
        <w:tc>
          <w:tcPr>
            <w:tcW w:type="dxa" w:w="2280"/>
            <w:shd w:val="clear" w:color="auto" w:fill="E8F8F0"/>
          </w:tcPr>
          <w:p>
            <w:r>
              <w:rPr>
                <w:b/>
                <w:color w:val="055030"/>
                <w:sz w:val="20"/>
              </w:rPr>
              <w:t>0.541</w:t>
            </w:r>
          </w:p>
        </w:tc>
        <w:tc>
          <w:tcPr>
            <w:tcW w:type="dxa" w:w="2280"/>
            <w:shd w:val="clear" w:color="auto" w:fill="E8F8F0"/>
          </w:tcPr>
          <w:p>
            <w:r>
              <w:rPr>
                <w:b/>
                <w:color w:val="055030"/>
                <w:sz w:val="20"/>
              </w:rPr>
              <w:t>0.633</w:t>
            </w:r>
          </w:p>
        </w:tc>
      </w:tr>
      <w:tr>
        <w:tc>
          <w:tcPr>
            <w:tcW w:type="dxa" w:w="2280"/>
          </w:tcPr>
          <w:p>
            <w:r>
              <w:rPr>
                <w:sz w:val="20"/>
              </w:rPr>
              <w:t>Linear Regression</w:t>
            </w:r>
          </w:p>
        </w:tc>
        <w:tc>
          <w:tcPr>
            <w:tcW w:type="dxa" w:w="2280"/>
          </w:tcPr>
          <w:p>
            <w:r>
              <w:rPr>
                <w:sz w:val="20"/>
              </w:rPr>
              <w:t>0.377</w:t>
            </w:r>
          </w:p>
        </w:tc>
        <w:tc>
          <w:tcPr>
            <w:tcW w:type="dxa" w:w="2280"/>
          </w:tcPr>
          <w:p>
            <w:r>
              <w:rPr>
                <w:sz w:val="20"/>
              </w:rPr>
              <w:t>0.556</w:t>
            </w:r>
          </w:p>
        </w:tc>
        <w:tc>
          <w:tcPr>
            <w:tcW w:type="dxa" w:w="2280"/>
          </w:tcPr>
          <w:p>
            <w:r>
              <w:rPr>
                <w:sz w:val="20"/>
              </w:rPr>
              <w:t>0.611</w:t>
            </w:r>
          </w:p>
        </w:tc>
      </w:tr>
      <w:tr>
        <w:tc>
          <w:tcPr>
            <w:tcW w:type="dxa" w:w="2280"/>
          </w:tcPr>
          <w:p>
            <w:r>
              <w:rPr>
                <w:sz w:val="20"/>
              </w:rPr>
              <w:t>Ridge Regression</w:t>
            </w:r>
          </w:p>
        </w:tc>
        <w:tc>
          <w:tcPr>
            <w:tcW w:type="dxa" w:w="2280"/>
          </w:tcPr>
          <w:p>
            <w:r>
              <w:rPr>
                <w:sz w:val="20"/>
              </w:rPr>
              <w:t>0.377</w:t>
            </w:r>
          </w:p>
        </w:tc>
        <w:tc>
          <w:tcPr>
            <w:tcW w:type="dxa" w:w="2280"/>
          </w:tcPr>
          <w:p>
            <w:r>
              <w:rPr>
                <w:sz w:val="20"/>
              </w:rPr>
              <w:t>0.557</w:t>
            </w:r>
          </w:p>
        </w:tc>
        <w:tc>
          <w:tcPr>
            <w:tcW w:type="dxa" w:w="2280"/>
          </w:tcPr>
          <w:p>
            <w:r>
              <w:rPr>
                <w:sz w:val="20"/>
              </w:rPr>
              <w:t>0.611</w:t>
            </w:r>
          </w:p>
        </w:tc>
      </w:tr>
    </w:tbl>
    <w:p/>
    <w:p>
      <w:pPr>
        <w:shd w:val="clear" w:color="auto" w:fill="EBF5FB"/>
        <w:spacing w:before="80" w:after="160"/>
        <w:ind w:left="288" w:right="288"/>
      </w:pPr>
      <w:r>
        <w:rPr>
          <w:b/>
          <w:color w:val="117A8B"/>
          <w:sz w:val="20"/>
        </w:rPr>
        <w:t xml:space="preserve">Interpretation:  </w:t>
      </w:r>
      <w:r>
        <w:rPr>
          <w:i w:val="0"/>
          <w:color w:val="556574"/>
          <w:sz w:val="20"/>
        </w:rPr>
        <w:t>An R² of 0.63 means that 63% of hourly power variation is explained by lag and time features alone, without any weather or occupancy data — a strong result for a baseline model.</w:t>
      </w:r>
    </w:p>
    <w:p>
      <w:pPr>
        <w:jc w:val="center"/>
      </w:pPr>
      <w:r>
        <w:drawing>
          <wp:inline xmlns:a="http://schemas.openxmlformats.org/drawingml/2006/main" xmlns:pic="http://schemas.openxmlformats.org/drawingml/2006/picture">
            <wp:extent cx="5029200" cy="23267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326776"/>
                    </a:xfrm>
                    <a:prstGeom prst="rect"/>
                  </pic:spPr>
                </pic:pic>
              </a:graphicData>
            </a:graphic>
          </wp:inline>
        </w:drawing>
      </w:r>
    </w:p>
    <w:p>
      <w:pPr>
        <w:spacing w:after="200"/>
        <w:jc w:val="center"/>
      </w:pPr>
      <w:r>
        <w:rPr>
          <w:i/>
          <w:color w:val="556574"/>
          <w:sz w:val="18"/>
        </w:rPr>
        <w:t>Figure: Regression RMSE comparison across models</w:t>
      </w:r>
    </w:p>
    <w:p>
      <w:pPr>
        <w:spacing w:after="160"/>
      </w:pPr>
      <w:r>
        <w:rPr>
          <w:b/>
          <w:color w:val="06B6D4"/>
          <w:sz w:val="20"/>
        </w:rPr>
        <w:t>[Screenshot: Regression tab — Actual vs Predicted power over time (test set)]</w:t>
      </w:r>
    </w:p>
    <w:p>
      <w:pPr>
        <w:pStyle w:val="Heading2"/>
        <w:spacing w:before="160" w:after="120"/>
      </w:pPr>
      <w:r>
        <w:rPr>
          <w:color w:val="117A8B"/>
          <w:sz w:val="26"/>
        </w:rPr>
        <w:t>6.3 Classification Results</w:t>
      </w:r>
    </w:p>
    <w:p>
      <w:pPr>
        <w:spacing w:after="120"/>
      </w:pPr>
      <w:r>
        <w:rPr>
          <w:b w:val="0"/>
          <w:i w:val="0"/>
          <w:sz w:val="22"/>
        </w:rPr>
        <w:t>Both classifiers achieve very high accuracy because the behavior feature set (including global_intensity and sub-metering totals) provides strong proxies for the global_active_power threshold used to define the label. The feature engineering produced a highly separable target.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0A3D62"/>
          </w:tcPr>
          <w:p>
            <w:pPr>
              <w:jc w:val="center"/>
            </w:pPr>
            <w:r>
              <w:rPr>
                <w:b/>
                <w:color w:val="FFFFFF"/>
                <w:sz w:val="20"/>
              </w:rPr>
              <w:t>Model</w:t>
            </w:r>
          </w:p>
        </w:tc>
        <w:tc>
          <w:tcPr>
            <w:tcW w:type="dxa" w:w="1824"/>
            <w:shd w:val="clear" w:color="auto" w:fill="0A3D62"/>
          </w:tcPr>
          <w:p>
            <w:pPr>
              <w:jc w:val="center"/>
            </w:pPr>
            <w:r>
              <w:rPr>
                <w:b/>
                <w:color w:val="FFFFFF"/>
                <w:sz w:val="20"/>
              </w:rPr>
              <w:t>Accuracy</w:t>
            </w:r>
          </w:p>
        </w:tc>
        <w:tc>
          <w:tcPr>
            <w:tcW w:type="dxa" w:w="1824"/>
            <w:shd w:val="clear" w:color="auto" w:fill="0A3D62"/>
          </w:tcPr>
          <w:p>
            <w:pPr>
              <w:jc w:val="center"/>
            </w:pPr>
            <w:r>
              <w:rPr>
                <w:b/>
                <w:color w:val="FFFFFF"/>
                <w:sz w:val="20"/>
              </w:rPr>
              <w:t>Precision (High)</w:t>
            </w:r>
          </w:p>
        </w:tc>
        <w:tc>
          <w:tcPr>
            <w:tcW w:type="dxa" w:w="1824"/>
            <w:shd w:val="clear" w:color="auto" w:fill="0A3D62"/>
          </w:tcPr>
          <w:p>
            <w:pPr>
              <w:jc w:val="center"/>
            </w:pPr>
            <w:r>
              <w:rPr>
                <w:b/>
                <w:color w:val="FFFFFF"/>
                <w:sz w:val="20"/>
              </w:rPr>
              <w:t>Recall (High)</w:t>
            </w:r>
          </w:p>
        </w:tc>
        <w:tc>
          <w:tcPr>
            <w:tcW w:type="dxa" w:w="1824"/>
            <w:shd w:val="clear" w:color="auto" w:fill="0A3D62"/>
          </w:tcPr>
          <w:p>
            <w:pPr>
              <w:jc w:val="center"/>
            </w:pPr>
            <w:r>
              <w:rPr>
                <w:b/>
                <w:color w:val="FFFFFF"/>
                <w:sz w:val="20"/>
              </w:rPr>
              <w:t>F1 (High)</w:t>
            </w:r>
          </w:p>
        </w:tc>
      </w:tr>
      <w:tr>
        <w:tc>
          <w:tcPr>
            <w:tcW w:type="dxa" w:w="1824"/>
            <w:shd w:val="clear" w:color="auto" w:fill="E8F8F0"/>
          </w:tcPr>
          <w:p>
            <w:r>
              <w:rPr>
                <w:b/>
                <w:color w:val="055030"/>
                <w:sz w:val="20"/>
              </w:rPr>
              <w:t>Logistic Regression</w:t>
            </w:r>
          </w:p>
        </w:tc>
        <w:tc>
          <w:tcPr>
            <w:tcW w:type="dxa" w:w="1824"/>
            <w:shd w:val="clear" w:color="auto" w:fill="E8F8F0"/>
          </w:tcPr>
          <w:p>
            <w:r>
              <w:rPr>
                <w:b/>
                <w:color w:val="055030"/>
                <w:sz w:val="20"/>
              </w:rPr>
              <w:t>99.77%</w:t>
            </w:r>
          </w:p>
        </w:tc>
        <w:tc>
          <w:tcPr>
            <w:tcW w:type="dxa" w:w="1824"/>
            <w:shd w:val="clear" w:color="auto" w:fill="E8F8F0"/>
          </w:tcPr>
          <w:p>
            <w:r>
              <w:rPr>
                <w:b/>
                <w:color w:val="055030"/>
                <w:sz w:val="20"/>
              </w:rPr>
              <w:t>1.00</w:t>
            </w:r>
          </w:p>
        </w:tc>
        <w:tc>
          <w:tcPr>
            <w:tcW w:type="dxa" w:w="1824"/>
            <w:shd w:val="clear" w:color="auto" w:fill="E8F8F0"/>
          </w:tcPr>
          <w:p>
            <w:r>
              <w:rPr>
                <w:b/>
                <w:color w:val="055030"/>
                <w:sz w:val="20"/>
              </w:rPr>
              <w:t>1.00</w:t>
            </w:r>
          </w:p>
        </w:tc>
        <w:tc>
          <w:tcPr>
            <w:tcW w:type="dxa" w:w="1824"/>
            <w:shd w:val="clear" w:color="auto" w:fill="E8F8F0"/>
          </w:tcPr>
          <w:p>
            <w:r>
              <w:rPr>
                <w:b/>
                <w:color w:val="055030"/>
                <w:sz w:val="20"/>
              </w:rPr>
              <w:t>1.00</w:t>
            </w:r>
          </w:p>
        </w:tc>
      </w:tr>
      <w:tr>
        <w:tc>
          <w:tcPr>
            <w:tcW w:type="dxa" w:w="1824"/>
          </w:tcPr>
          <w:p>
            <w:r>
              <w:rPr>
                <w:sz w:val="20"/>
              </w:rPr>
              <w:t>Random Forest</w:t>
            </w:r>
          </w:p>
        </w:tc>
        <w:tc>
          <w:tcPr>
            <w:tcW w:type="dxa" w:w="1824"/>
          </w:tcPr>
          <w:p>
            <w:r>
              <w:rPr>
                <w:sz w:val="20"/>
              </w:rPr>
              <w:t>99.57%</w:t>
            </w:r>
          </w:p>
        </w:tc>
        <w:tc>
          <w:tcPr>
            <w:tcW w:type="dxa" w:w="1824"/>
          </w:tcPr>
          <w:p>
            <w:r>
              <w:rPr>
                <w:sz w:val="20"/>
              </w:rPr>
              <w:t>0.99</w:t>
            </w:r>
          </w:p>
        </w:tc>
        <w:tc>
          <w:tcPr>
            <w:tcW w:type="dxa" w:w="1824"/>
          </w:tcPr>
          <w:p>
            <w:r>
              <w:rPr>
                <w:sz w:val="20"/>
              </w:rPr>
              <w:t>0.99</w:t>
            </w:r>
          </w:p>
        </w:tc>
        <w:tc>
          <w:tcPr>
            <w:tcW w:type="dxa" w:w="1824"/>
          </w:tcPr>
          <w:p>
            <w:r>
              <w:rPr>
                <w:sz w:val="20"/>
              </w:rPr>
              <w:t>0.99</w:t>
            </w:r>
          </w:p>
        </w:tc>
      </w:tr>
    </w:tbl>
    <w:p/>
    <w:p>
      <w:pPr>
        <w:jc w:val="center"/>
      </w:pPr>
      <w:r>
        <w:drawing>
          <wp:inline xmlns:a="http://schemas.openxmlformats.org/drawingml/2006/main" xmlns:pic="http://schemas.openxmlformats.org/drawingml/2006/picture">
            <wp:extent cx="5029200" cy="31677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167779"/>
                    </a:xfrm>
                    <a:prstGeom prst="rect"/>
                  </pic:spPr>
                </pic:pic>
              </a:graphicData>
            </a:graphic>
          </wp:inline>
        </w:drawing>
      </w:r>
    </w:p>
    <w:p>
      <w:pPr>
        <w:spacing w:after="200"/>
        <w:jc w:val="center"/>
      </w:pPr>
      <w:r>
        <w:rPr>
          <w:i/>
          <w:color w:val="556574"/>
          <w:sz w:val="18"/>
        </w:rPr>
        <w:t>Figure: Random Forest feature importance — top 10 features predicting high consumption</w:t>
      </w:r>
    </w:p>
    <w:p>
      <w:pPr>
        <w:shd w:val="clear" w:color="auto" w:fill="EBF5FB"/>
        <w:spacing w:before="80" w:after="160"/>
        <w:ind w:left="288" w:right="288"/>
      </w:pPr>
      <w:r>
        <w:rPr>
          <w:b/>
          <w:color w:val="117A8B"/>
          <w:sz w:val="20"/>
        </w:rPr>
        <w:t xml:space="preserve">Key finding:  </w:t>
      </w:r>
      <w:r>
        <w:rPr>
          <w:i w:val="0"/>
          <w:color w:val="556574"/>
          <w:sz w:val="20"/>
        </w:rPr>
        <w:t>global_intensity and sub_metering_total_wh are the strongest predictors, confirming that electrical current and metered appliance load are the primary drivers of high-consumption hours.</w:t>
      </w:r>
    </w:p>
    <w:p>
      <w:pPr>
        <w:pStyle w:val="Heading2"/>
        <w:spacing w:before="160" w:after="120"/>
      </w:pPr>
      <w:r>
        <w:rPr>
          <w:color w:val="117A8B"/>
          <w:sz w:val="26"/>
        </w:rPr>
        <w:t>6.4 PCA Results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3D62"/>
          </w:tcPr>
          <w:p>
            <w:pPr>
              <w:jc w:val="center"/>
            </w:pPr>
            <w:r>
              <w:rPr>
                <w:b/>
                <w:color w:val="FFFFFF"/>
                <w:sz w:val="20"/>
              </w:rPr>
              <w:t>Component</w:t>
            </w:r>
          </w:p>
        </w:tc>
        <w:tc>
          <w:tcPr>
            <w:tcW w:type="dxa" w:w="3041"/>
            <w:shd w:val="clear" w:color="auto" w:fill="0A3D62"/>
          </w:tcPr>
          <w:p>
            <w:pPr>
              <w:jc w:val="center"/>
            </w:pPr>
            <w:r>
              <w:rPr>
                <w:b/>
                <w:color w:val="FFFFFF"/>
                <w:sz w:val="20"/>
              </w:rPr>
              <w:t>Explained Variance</w:t>
            </w:r>
          </w:p>
        </w:tc>
        <w:tc>
          <w:tcPr>
            <w:tcW w:type="dxa" w:w="3041"/>
            <w:shd w:val="clear" w:color="auto" w:fill="0A3D62"/>
          </w:tcPr>
          <w:p>
            <w:pPr>
              <w:jc w:val="center"/>
            </w:pPr>
            <w:r>
              <w:rPr>
                <w:b/>
                <w:color w:val="FFFFFF"/>
                <w:sz w:val="20"/>
              </w:rPr>
              <w:t>Cumulative</w:t>
            </w:r>
          </w:p>
        </w:tc>
      </w:tr>
      <w:tr>
        <w:tc>
          <w:tcPr>
            <w:tcW w:type="dxa" w:w="3041"/>
          </w:tcPr>
          <w:p>
            <w:r>
              <w:rPr>
                <w:sz w:val="20"/>
              </w:rPr>
              <w:t>PC1</w:t>
            </w:r>
          </w:p>
        </w:tc>
        <w:tc>
          <w:tcPr>
            <w:tcW w:type="dxa" w:w="3041"/>
          </w:tcPr>
          <w:p>
            <w:r>
              <w:rPr>
                <w:sz w:val="20"/>
              </w:rPr>
              <w:t>33.3%</w:t>
            </w:r>
          </w:p>
        </w:tc>
        <w:tc>
          <w:tcPr>
            <w:tcW w:type="dxa" w:w="3041"/>
          </w:tcPr>
          <w:p>
            <w:r>
              <w:rPr>
                <w:sz w:val="20"/>
              </w:rPr>
              <w:t>33.3%</w:t>
            </w:r>
          </w:p>
        </w:tc>
      </w:tr>
      <w:tr>
        <w:tc>
          <w:tcPr>
            <w:tcW w:type="dxa" w:w="3041"/>
          </w:tcPr>
          <w:p>
            <w:r>
              <w:rPr>
                <w:sz w:val="20"/>
              </w:rPr>
              <w:t>PC2</w:t>
            </w:r>
          </w:p>
        </w:tc>
        <w:tc>
          <w:tcPr>
            <w:tcW w:type="dxa" w:w="3041"/>
          </w:tcPr>
          <w:p>
            <w:r>
              <w:rPr>
                <w:sz w:val="20"/>
              </w:rPr>
              <w:t>15.0%</w:t>
            </w:r>
          </w:p>
        </w:tc>
        <w:tc>
          <w:tcPr>
            <w:tcW w:type="dxa" w:w="3041"/>
          </w:tcPr>
          <w:p>
            <w:r>
              <w:rPr>
                <w:sz w:val="20"/>
              </w:rPr>
              <w:t>48.3%</w:t>
            </w:r>
          </w:p>
        </w:tc>
      </w:tr>
      <w:tr>
        <w:tc>
          <w:tcPr>
            <w:tcW w:type="dxa" w:w="3041"/>
          </w:tcPr>
          <w:p>
            <w:r>
              <w:rPr>
                <w:sz w:val="20"/>
              </w:rPr>
              <w:t>PC3</w:t>
            </w:r>
          </w:p>
        </w:tc>
        <w:tc>
          <w:tcPr>
            <w:tcW w:type="dxa" w:w="3041"/>
          </w:tcPr>
          <w:p>
            <w:r>
              <w:rPr>
                <w:sz w:val="20"/>
              </w:rPr>
              <w:t>9.0%</w:t>
            </w:r>
          </w:p>
        </w:tc>
        <w:tc>
          <w:tcPr>
            <w:tcW w:type="dxa" w:w="3041"/>
          </w:tcPr>
          <w:p>
            <w:r>
              <w:rPr>
                <w:sz w:val="20"/>
              </w:rPr>
              <w:t>57.3%</w:t>
            </w:r>
          </w:p>
        </w:tc>
      </w:tr>
    </w:tbl>
    <w:p/>
    <w:p>
      <w:pPr>
        <w:spacing w:after="120"/>
      </w:pPr>
      <w:r>
        <w:rPr>
          <w:b w:val="0"/>
          <w:i w:val="0"/>
          <w:sz w:val="22"/>
        </w:rPr>
        <w:t>PC1 likely represents overall household load level (correlated with global_intensity and sub_metering_total_wh). PC2 likely separates by time-of-day pattern. Three components explain 57.3% of total feature variance.</w:t>
      </w:r>
    </w:p>
    <w:p>
      <w:pPr>
        <w:jc w:val="center"/>
      </w:pPr>
      <w:r>
        <w:drawing>
          <wp:inline xmlns:a="http://schemas.openxmlformats.org/drawingml/2006/main" xmlns:pic="http://schemas.openxmlformats.org/drawingml/2006/picture">
            <wp:extent cx="4114800" cy="255486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554861"/>
                    </a:xfrm>
                    <a:prstGeom prst="rect"/>
                  </pic:spPr>
                </pic:pic>
              </a:graphicData>
            </a:graphic>
          </wp:inline>
        </w:drawing>
      </w:r>
    </w:p>
    <w:p>
      <w:pPr>
        <w:spacing w:after="200"/>
        <w:jc w:val="center"/>
      </w:pPr>
      <w:r>
        <w:rPr>
          <w:i/>
          <w:color w:val="556574"/>
          <w:sz w:val="18"/>
        </w:rPr>
        <w:t>Figure: PCA explained variance (bars) and cumulative variance (line)</w:t>
      </w:r>
    </w:p>
    <w:p>
      <w:r>
        <w:br w:type="page"/>
      </w:r>
    </w:p>
    <w:p>
      <w:pPr>
        <w:pStyle w:val="Heading1"/>
        <w:spacing w:before="280" w:after="120"/>
      </w:pPr>
      <w:r>
        <w:rPr>
          <w:color w:val="0A3D62"/>
          <w:sz w:val="32"/>
        </w:rPr>
        <w:t>7. Deployment</w:t>
      </w:r>
    </w:p>
    <w:p>
      <w:pPr>
        <w:spacing w:after="120"/>
      </w:pPr>
      <w:r>
        <w:rPr>
          <w:b w:val="0"/>
          <w:i w:val="0"/>
          <w:sz w:val="22"/>
        </w:rPr>
        <w:t>The deployment layer is an interactive Streamlit dashboard (dashboard/app.py), styled with a Tech Blue dark theme to match the analytical identity of the project. It is also deployed to Streamlit Community Cloud.</w:t>
      </w:r>
    </w:p>
    <w:p>
      <w:pPr>
        <w:pStyle w:val="Heading2"/>
        <w:spacing w:before="160" w:after="120"/>
      </w:pPr>
      <w:r>
        <w:rPr>
          <w:color w:val="117A8B"/>
          <w:sz w:val="26"/>
        </w:rPr>
        <w:t>7.1 Dashboard Sections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3D62"/>
          </w:tcPr>
          <w:p>
            <w:pPr>
              <w:jc w:val="center"/>
            </w:pPr>
            <w:r>
              <w:rPr>
                <w:b/>
                <w:color w:val="FFFFFF"/>
                <w:sz w:val="20"/>
              </w:rPr>
              <w:t>Section</w:t>
            </w:r>
          </w:p>
        </w:tc>
        <w:tc>
          <w:tcPr>
            <w:tcW w:type="dxa" w:w="4561"/>
            <w:shd w:val="clear" w:color="auto" w:fill="0A3D62"/>
          </w:tcPr>
          <w:p>
            <w:pPr>
              <w:jc w:val="center"/>
            </w:pPr>
            <w:r>
              <w:rPr>
                <w:b/>
                <w:color w:val="FFFFFF"/>
                <w:sz w:val="20"/>
              </w:rPr>
              <w:t>Key Visualizations</w:t>
            </w:r>
          </w:p>
        </w:tc>
      </w:tr>
      <w:tr>
        <w:tc>
          <w:tcPr>
            <w:tcW w:type="dxa" w:w="4561"/>
          </w:tcPr>
          <w:p>
            <w:r>
              <w:rPr>
                <w:sz w:val="20"/>
              </w:rPr>
              <w:t>Overview</w:t>
            </w:r>
          </w:p>
        </w:tc>
        <w:tc>
          <w:tcPr>
            <w:tcW w:type="dxa" w:w="4561"/>
          </w:tcPr>
          <w:p>
            <w:r>
              <w:rPr>
                <w:sz w:val="20"/>
              </w:rPr>
              <w:t>Metrics panel, power time-series, hourly average bar, energy share pie, weekday vs weekend box plot</w:t>
            </w:r>
          </w:p>
        </w:tc>
      </w:tr>
      <w:tr>
        <w:tc>
          <w:tcPr>
            <w:tcW w:type="dxa" w:w="4561"/>
          </w:tcPr>
          <w:p>
            <w:r>
              <w:rPr>
                <w:sz w:val="20"/>
              </w:rPr>
              <w:t>Clustering</w:t>
            </w:r>
          </w:p>
        </w:tc>
        <w:tc>
          <w:tcPr>
            <w:tcW w:type="dxa" w:w="4561"/>
          </w:tcPr>
          <w:p>
            <w:r>
              <w:rPr>
                <w:sz w:val="20"/>
              </w:rPr>
              <w:t>Silhouette table, cluster profile, PCA scatter, sub-metering breakdown, cluster temporal heatmap</w:t>
            </w:r>
          </w:p>
        </w:tc>
      </w:tr>
      <w:tr>
        <w:tc>
          <w:tcPr>
            <w:tcW w:type="dxa" w:w="4561"/>
          </w:tcPr>
          <w:p>
            <w:r>
              <w:rPr>
                <w:sz w:val="20"/>
              </w:rPr>
              <w:t>Regression</w:t>
            </w:r>
          </w:p>
        </w:tc>
        <w:tc>
          <w:tcPr>
            <w:tcW w:type="dxa" w:w="4561"/>
          </w:tcPr>
          <w:p>
            <w:r>
              <w:rPr>
                <w:sz w:val="20"/>
              </w:rPr>
              <w:t>RMSE comparison table + bar chart, actual vs predicted time-series</w:t>
            </w:r>
          </w:p>
        </w:tc>
      </w:tr>
      <w:tr>
        <w:tc>
          <w:tcPr>
            <w:tcW w:type="dxa" w:w="4561"/>
          </w:tcPr>
          <w:p>
            <w:r>
              <w:rPr>
                <w:sz w:val="20"/>
              </w:rPr>
              <w:t>Classification</w:t>
            </w:r>
          </w:p>
        </w:tc>
        <w:tc>
          <w:tcPr>
            <w:tcW w:type="dxa" w:w="4561"/>
          </w:tcPr>
          <w:p>
            <w:r>
              <w:rPr>
                <w:sz w:val="20"/>
              </w:rPr>
              <w:t>Accuracy table, classification report, Random Forest feature importance chart</w:t>
            </w:r>
          </w:p>
        </w:tc>
      </w:tr>
      <w:tr>
        <w:tc>
          <w:tcPr>
            <w:tcW w:type="dxa" w:w="4561"/>
          </w:tcPr>
          <w:p>
            <w:r>
              <w:rPr>
                <w:sz w:val="20"/>
              </w:rPr>
              <w:t>Business Insights</w:t>
            </w:r>
          </w:p>
        </w:tc>
        <w:tc>
          <w:tcPr>
            <w:tcW w:type="dxa" w:w="4561"/>
          </w:tcPr>
          <w:p>
            <w:r>
              <w:rPr>
                <w:sz w:val="20"/>
              </w:rPr>
              <w:t>Peak hour metric, high-consumption share, PCA summary, recommendations</w:t>
            </w:r>
          </w:p>
        </w:tc>
      </w:tr>
    </w:tbl>
    <w:p/>
    <w:p>
      <w:pPr>
        <w:pStyle w:val="Heading2"/>
        <w:spacing w:before="160" w:after="120"/>
      </w:pPr>
      <w:r>
        <w:rPr>
          <w:color w:val="117A8B"/>
          <w:sz w:val="26"/>
        </w:rPr>
        <w:t>7.2 Global Filters</w:t>
      </w:r>
    </w:p>
    <w:p>
      <w:pPr>
        <w:pStyle w:val="ListBullet"/>
        <w:spacing w:after="80"/>
        <w:ind w:left="432"/>
      </w:pPr>
      <w:r>
        <w:rPr>
          <w:sz w:val="22"/>
        </w:rPr>
        <w:t>Date range selector — filters all sections to a chosen period.</w:t>
      </w:r>
    </w:p>
    <w:p>
      <w:pPr>
        <w:pStyle w:val="ListBullet"/>
        <w:spacing w:after="80"/>
        <w:ind w:left="432"/>
      </w:pPr>
      <w:r>
        <w:rPr>
          <w:sz w:val="22"/>
        </w:rPr>
        <w:t>Sample mode toggle — switches between fast cloud mode and full dataset (17,477 rows).</w:t>
      </w:r>
    </w:p>
    <w:p>
      <w:pPr>
        <w:shd w:val="clear" w:color="auto" w:fill="EBF5FB"/>
        <w:spacing w:before="80" w:after="160"/>
        <w:ind w:left="288" w:right="288"/>
      </w:pPr>
      <w:r>
        <w:rPr>
          <w:b/>
          <w:color w:val="117A8B"/>
          <w:sz w:val="20"/>
        </w:rPr>
        <w:t xml:space="preserve">Note:  </w:t>
      </w:r>
      <w:r>
        <w:rPr>
          <w:i w:val="0"/>
          <w:color w:val="556574"/>
          <w:sz w:val="20"/>
        </w:rPr>
        <w:t>Default sample mode uses ~1,666 hourly rows (first 100,000 raw minutes). Full dataset mode loads all 17,477 rows. Metrics differ between modes.</w:t>
      </w:r>
    </w:p>
    <w:p>
      <w:pPr>
        <w:spacing w:after="160"/>
      </w:pPr>
      <w:r>
        <w:rPr>
          <w:b/>
          <w:color w:val="06B6D4"/>
          <w:sz w:val="20"/>
        </w:rPr>
        <w:t>[Screenshot: Overview tab — metrics panel + weekday vs weekend chart]</w:t>
      </w:r>
    </w:p>
    <w:p>
      <w:pPr>
        <w:spacing w:after="160"/>
      </w:pPr>
      <w:r>
        <w:rPr>
          <w:b/>
          <w:color w:val="06B6D4"/>
          <w:sz w:val="20"/>
        </w:rPr>
        <w:t>[Screenshot: Clustering tab — PCA scatter + sub-metering breakdown + temporal heatmap]</w:t>
      </w:r>
    </w:p>
    <w:p>
      <w:r>
        <w:br w:type="page"/>
      </w:r>
    </w:p>
    <w:p>
      <w:pPr>
        <w:pStyle w:val="Heading1"/>
        <w:spacing w:before="280" w:after="120"/>
      </w:pPr>
      <w:r>
        <w:rPr>
          <w:color w:val="0A3D62"/>
          <w:sz w:val="32"/>
        </w:rPr>
        <w:t>8. Business Insights</w:t>
      </w:r>
    </w:p>
    <w:p>
      <w:pPr>
        <w:pStyle w:val="Heading2"/>
        <w:spacing w:before="160" w:after="120"/>
      </w:pPr>
      <w:r>
        <w:rPr>
          <w:color w:val="117A8B"/>
          <w:sz w:val="26"/>
        </w:rPr>
        <w:t>8.1 Key Findings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3D62"/>
          </w:tcPr>
          <w:p>
            <w:pPr>
              <w:jc w:val="center"/>
            </w:pPr>
            <w:r>
              <w:rPr>
                <w:b/>
                <w:color w:val="FFFFFF"/>
                <w:sz w:val="20"/>
              </w:rPr>
              <w:t>Finding</w:t>
            </w:r>
          </w:p>
        </w:tc>
        <w:tc>
          <w:tcPr>
            <w:tcW w:type="dxa" w:w="3041"/>
            <w:shd w:val="clear" w:color="auto" w:fill="0A3D62"/>
          </w:tcPr>
          <w:p>
            <w:pPr>
              <w:jc w:val="center"/>
            </w:pPr>
            <w:r>
              <w:rPr>
                <w:b/>
                <w:color w:val="FFFFFF"/>
                <w:sz w:val="20"/>
              </w:rPr>
              <w:t>Value</w:t>
            </w:r>
          </w:p>
        </w:tc>
        <w:tc>
          <w:tcPr>
            <w:tcW w:type="dxa" w:w="3041"/>
            <w:shd w:val="clear" w:color="auto" w:fill="0A3D62"/>
          </w:tcPr>
          <w:p>
            <w:pPr>
              <w:jc w:val="center"/>
            </w:pPr>
            <w:r>
              <w:rPr>
                <w:b/>
                <w:color w:val="FFFFFF"/>
                <w:sz w:val="20"/>
              </w:rPr>
              <w:t>Source</w:t>
            </w:r>
          </w:p>
        </w:tc>
      </w:tr>
      <w:tr>
        <w:tc>
          <w:tcPr>
            <w:tcW w:type="dxa" w:w="3041"/>
          </w:tcPr>
          <w:p>
            <w:r>
              <w:rPr>
                <w:sz w:val="20"/>
              </w:rPr>
              <w:t>Peak consumption hour</w:t>
            </w:r>
          </w:p>
        </w:tc>
        <w:tc>
          <w:tcPr>
            <w:tcW w:type="dxa" w:w="3041"/>
          </w:tcPr>
          <w:p>
            <w:r>
              <w:rPr>
                <w:sz w:val="20"/>
              </w:rPr>
              <w:t>20:00 – 21:00</w:t>
            </w:r>
          </w:p>
        </w:tc>
        <w:tc>
          <w:tcPr>
            <w:tcW w:type="dxa" w:w="3041"/>
          </w:tcPr>
          <w:p>
            <w:r>
              <w:rPr>
                <w:sz w:val="20"/>
              </w:rPr>
              <w:t>Business Insights tab</w:t>
            </w:r>
          </w:p>
        </w:tc>
      </w:tr>
      <w:tr>
        <w:tc>
          <w:tcPr>
            <w:tcW w:type="dxa" w:w="3041"/>
          </w:tcPr>
          <w:p>
            <w:r>
              <w:rPr>
                <w:sz w:val="20"/>
              </w:rPr>
              <w:t>Average active power</w:t>
            </w:r>
          </w:p>
        </w:tc>
        <w:tc>
          <w:tcPr>
            <w:tcW w:type="dxa" w:w="3041"/>
          </w:tcPr>
          <w:p>
            <w:r>
              <w:rPr>
                <w:sz w:val="20"/>
              </w:rPr>
              <w:t>1.106 kW</w:t>
            </w:r>
          </w:p>
        </w:tc>
        <w:tc>
          <w:tcPr>
            <w:tcW w:type="dxa" w:w="3041"/>
          </w:tcPr>
          <w:p>
            <w:r>
              <w:rPr>
                <w:sz w:val="20"/>
              </w:rPr>
              <w:t>Overview tab</w:t>
            </w:r>
          </w:p>
        </w:tc>
      </w:tr>
      <w:tr>
        <w:tc>
          <w:tcPr>
            <w:tcW w:type="dxa" w:w="3041"/>
          </w:tcPr>
          <w:p>
            <w:r>
              <w:rPr>
                <w:sz w:val="20"/>
              </w:rPr>
              <w:t>Peak active power</w:t>
            </w:r>
          </w:p>
        </w:tc>
        <w:tc>
          <w:tcPr>
            <w:tcW w:type="dxa" w:w="3041"/>
          </w:tcPr>
          <w:p>
            <w:r>
              <w:rPr>
                <w:sz w:val="20"/>
              </w:rPr>
              <w:t>6.560 kW</w:t>
            </w:r>
          </w:p>
        </w:tc>
        <w:tc>
          <w:tcPr>
            <w:tcW w:type="dxa" w:w="3041"/>
          </w:tcPr>
          <w:p>
            <w:r>
              <w:rPr>
                <w:sz w:val="20"/>
              </w:rPr>
              <w:t>Overview tab</w:t>
            </w:r>
          </w:p>
        </w:tc>
      </w:tr>
      <w:tr>
        <w:tc>
          <w:tcPr>
            <w:tcW w:type="dxa" w:w="3041"/>
          </w:tcPr>
          <w:p>
            <w:r>
              <w:rPr>
                <w:sz w:val="20"/>
              </w:rPr>
              <w:t>High consumption share</w:t>
            </w:r>
          </w:p>
        </w:tc>
        <w:tc>
          <w:tcPr>
            <w:tcW w:type="dxa" w:w="3041"/>
          </w:tcPr>
          <w:p>
            <w:r>
              <w:rPr>
                <w:sz w:val="20"/>
              </w:rPr>
              <w:t>25.0%</w:t>
            </w:r>
          </w:p>
        </w:tc>
        <w:tc>
          <w:tcPr>
            <w:tcW w:type="dxa" w:w="3041"/>
          </w:tcPr>
          <w:p>
            <w:r>
              <w:rPr>
                <w:sz w:val="20"/>
              </w:rPr>
              <w:t>Data Preparation</w:t>
            </w:r>
          </w:p>
        </w:tc>
      </w:tr>
      <w:tr>
        <w:tc>
          <w:tcPr>
            <w:tcW w:type="dxa" w:w="3041"/>
          </w:tcPr>
          <w:p>
            <w:r>
              <w:rPr>
                <w:sz w:val="20"/>
              </w:rPr>
              <w:t>Top predictive feature</w:t>
            </w:r>
          </w:p>
        </w:tc>
        <w:tc>
          <w:tcPr>
            <w:tcW w:type="dxa" w:w="3041"/>
          </w:tcPr>
          <w:p>
            <w:r>
              <w:rPr>
                <w:sz w:val="20"/>
              </w:rPr>
              <w:t>global_intensity</w:t>
            </w:r>
          </w:p>
        </w:tc>
        <w:tc>
          <w:tcPr>
            <w:tcW w:type="dxa" w:w="3041"/>
          </w:tcPr>
          <w:p>
            <w:r>
              <w:rPr>
                <w:sz w:val="20"/>
              </w:rPr>
              <w:t>RF Feature Importance</w:t>
            </w:r>
          </w:p>
        </w:tc>
      </w:tr>
      <w:tr>
        <w:tc>
          <w:tcPr>
            <w:tcW w:type="dxa" w:w="3041"/>
          </w:tcPr>
          <w:p>
            <w:r>
              <w:rPr>
                <w:sz w:val="20"/>
              </w:rPr>
              <w:t>Best regression R²</w:t>
            </w:r>
          </w:p>
        </w:tc>
        <w:tc>
          <w:tcPr>
            <w:tcW w:type="dxa" w:w="3041"/>
          </w:tcPr>
          <w:p>
            <w:r>
              <w:rPr>
                <w:sz w:val="20"/>
              </w:rPr>
              <w:t>0.633</w:t>
            </w:r>
          </w:p>
        </w:tc>
        <w:tc>
          <w:tcPr>
            <w:tcW w:type="dxa" w:w="3041"/>
          </w:tcPr>
          <w:p>
            <w:r>
              <w:rPr>
                <w:sz w:val="20"/>
              </w:rPr>
              <w:t>Notebook 04</w:t>
            </w:r>
          </w:p>
        </w:tc>
      </w:tr>
    </w:tbl>
    <w:p/>
    <w:p>
      <w:pPr>
        <w:pStyle w:val="Heading2"/>
        <w:spacing w:before="160" w:after="120"/>
      </w:pPr>
      <w:r>
        <w:rPr>
          <w:color w:val="117A8B"/>
          <w:sz w:val="26"/>
        </w:rPr>
        <w:t>8.2 Recommendations</w:t>
      </w:r>
    </w:p>
    <w:p>
      <w:pPr>
        <w:pStyle w:val="ListBullet"/>
        <w:spacing w:after="80"/>
        <w:ind w:left="432"/>
      </w:pPr>
      <w:r>
        <w:rPr>
          <w:sz w:val="22"/>
        </w:rPr>
        <w:t>Shift laundry and dishwashers away from the 19:00–22:00 evening peak window.</w:t>
      </w:r>
    </w:p>
    <w:p>
      <w:pPr>
        <w:pStyle w:val="ListBullet"/>
        <w:spacing w:after="80"/>
        <w:ind w:left="432"/>
      </w:pPr>
      <w:r>
        <w:rPr>
          <w:sz w:val="22"/>
        </w:rPr>
        <w:t>Sub-metering data shows which appliance category (kitchen / laundry / HVAC) drives load — targeting the highest-metered category yields the biggest efficiency gains.</w:t>
      </w:r>
    </w:p>
    <w:p>
      <w:pPr>
        <w:pStyle w:val="ListBullet"/>
        <w:spacing w:after="80"/>
        <w:ind w:left="432"/>
      </w:pPr>
      <w:r>
        <w:rPr>
          <w:sz w:val="22"/>
        </w:rPr>
        <w:t>Use the high-consumption classifier as the basis for a simple household energy alert.</w:t>
      </w:r>
    </w:p>
    <w:p>
      <w:pPr>
        <w:pStyle w:val="ListBullet"/>
        <w:spacing w:after="80"/>
        <w:ind w:left="432"/>
      </w:pPr>
      <w:r>
        <w:rPr>
          <w:sz w:val="22"/>
        </w:rPr>
        <w:t>Cluster 2 (Peak Usage, 2.59 kW avg) peaks mid-afternoon — high usage is not exclusively evening.</w:t>
      </w:r>
    </w:p>
    <w:p>
      <w:pPr>
        <w:pStyle w:val="ListBullet"/>
        <w:spacing w:after="80"/>
        <w:ind w:left="432"/>
      </w:pPr>
      <w:r>
        <w:rPr>
          <w:sz w:val="22"/>
        </w:rPr>
        <w:t>Weekend usage is structurally different from weekday patterns; separate behavioral strategies apply.</w:t>
      </w:r>
    </w:p>
    <w:p>
      <w:r>
        <w:br w:type="page"/>
      </w:r>
    </w:p>
    <w:p>
      <w:pPr>
        <w:pStyle w:val="Heading1"/>
        <w:spacing w:before="280" w:after="120"/>
      </w:pPr>
      <w:r>
        <w:rPr>
          <w:color w:val="0A3D62"/>
          <w:sz w:val="32"/>
        </w:rPr>
        <w:t>9. Limitations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3D62"/>
          </w:tcPr>
          <w:p>
            <w:pPr>
              <w:jc w:val="center"/>
            </w:pPr>
            <w:r>
              <w:rPr>
                <w:b/>
                <w:color w:val="FFFFFF"/>
                <w:sz w:val="20"/>
              </w:rPr>
              <w:t>Limitation</w:t>
            </w:r>
          </w:p>
        </w:tc>
        <w:tc>
          <w:tcPr>
            <w:tcW w:type="dxa" w:w="4561"/>
            <w:shd w:val="clear" w:color="auto" w:fill="0A3D62"/>
          </w:tcPr>
          <w:p>
            <w:pPr>
              <w:jc w:val="center"/>
            </w:pPr>
            <w:r>
              <w:rPr>
                <w:b/>
                <w:color w:val="FFFFFF"/>
                <w:sz w:val="20"/>
              </w:rPr>
              <w:t>Impact</w:t>
            </w:r>
          </w:p>
        </w:tc>
      </w:tr>
      <w:tr>
        <w:tc>
          <w:tcPr>
            <w:tcW w:type="dxa" w:w="4561"/>
          </w:tcPr>
          <w:p>
            <w:r>
              <w:rPr>
                <w:sz w:val="20"/>
              </w:rPr>
              <w:t>Single-household dataset</w:t>
            </w:r>
          </w:p>
        </w:tc>
        <w:tc>
          <w:tcPr>
            <w:tcW w:type="dxa" w:w="4561"/>
          </w:tcPr>
          <w:p>
            <w:r>
              <w:rPr>
                <w:sz w:val="20"/>
              </w:rPr>
              <w:t>Results are not generalizable to other households or regions</w:t>
            </w:r>
          </w:p>
        </w:tc>
      </w:tr>
      <w:tr>
        <w:tc>
          <w:tcPr>
            <w:tcW w:type="dxa" w:w="4561"/>
          </w:tcPr>
          <w:p>
            <w:r>
              <w:rPr>
                <w:sz w:val="20"/>
              </w:rPr>
              <w:t>No weather data</w:t>
            </w:r>
          </w:p>
        </w:tc>
        <w:tc>
          <w:tcPr>
            <w:tcW w:type="dxa" w:w="4561"/>
          </w:tcPr>
          <w:p>
            <w:r>
              <w:rPr>
                <w:sz w:val="20"/>
              </w:rPr>
              <w:t>Cannot separate seasonal from behavioral demand changes</w:t>
            </w:r>
          </w:p>
        </w:tc>
      </w:tr>
      <w:tr>
        <w:tc>
          <w:tcPr>
            <w:tcW w:type="dxa" w:w="4561"/>
          </w:tcPr>
          <w:p>
            <w:r>
              <w:rPr>
                <w:sz w:val="20"/>
              </w:rPr>
              <w:t>No occupancy data</w:t>
            </w:r>
          </w:p>
        </w:tc>
        <w:tc>
          <w:tcPr>
            <w:tcW w:type="dxa" w:w="4561"/>
          </w:tcPr>
          <w:p>
            <w:r>
              <w:rPr>
                <w:sz w:val="20"/>
              </w:rPr>
              <w:t>Cannot distinguish empty vs occupied periods</w:t>
            </w:r>
          </w:p>
        </w:tc>
      </w:tr>
      <w:tr>
        <w:tc>
          <w:tcPr>
            <w:tcW w:type="dxa" w:w="4561"/>
          </w:tcPr>
          <w:p>
            <w:r>
              <w:rPr>
                <w:sz w:val="20"/>
              </w:rPr>
              <w:t>No tariff data</w:t>
            </w:r>
          </w:p>
        </w:tc>
        <w:tc>
          <w:tcPr>
            <w:tcW w:type="dxa" w:w="4561"/>
          </w:tcPr>
          <w:p>
            <w:r>
              <w:rPr>
                <w:sz w:val="20"/>
              </w:rPr>
              <w:t>Cannot estimate financial savings from behavioral changes</w:t>
            </w:r>
          </w:p>
        </w:tc>
      </w:tr>
      <w:tr>
        <w:tc>
          <w:tcPr>
            <w:tcW w:type="dxa" w:w="4561"/>
          </w:tcPr>
          <w:p>
            <w:r>
              <w:rPr>
                <w:sz w:val="20"/>
              </w:rPr>
              <w:t>Local CSV coverage</w:t>
            </w:r>
          </w:p>
        </w:tc>
        <w:tc>
          <w:tcPr>
            <w:tcW w:type="dxa" w:w="4561"/>
          </w:tcPr>
          <w:p>
            <w:r>
              <w:rPr>
                <w:sz w:val="20"/>
              </w:rPr>
              <w:t>Metrics reflect the working local file, not the full public period</w:t>
            </w:r>
          </w:p>
        </w:tc>
      </w:tr>
      <w:tr>
        <w:tc>
          <w:tcPr>
            <w:tcW w:type="dxa" w:w="4561"/>
          </w:tcPr>
          <w:p>
            <w:r>
              <w:rPr>
                <w:sz w:val="20"/>
              </w:rPr>
              <w:t>Baseline models</w:t>
            </w:r>
          </w:p>
        </w:tc>
        <w:tc>
          <w:tcPr>
            <w:tcW w:type="dxa" w:w="4561"/>
          </w:tcPr>
          <w:p>
            <w:r>
              <w:rPr>
                <w:sz w:val="20"/>
              </w:rPr>
              <w:t>Not production systems; performance improves with richer data</w:t>
            </w:r>
          </w:p>
        </w:tc>
      </w:tr>
      <w:tr>
        <w:tc>
          <w:tcPr>
            <w:tcW w:type="dxa" w:w="4561"/>
          </w:tcPr>
          <w:p>
            <w:r>
              <w:rPr>
                <w:sz w:val="20"/>
              </w:rPr>
              <w:t>High classification accuracy</w:t>
            </w:r>
          </w:p>
        </w:tc>
        <w:tc>
          <w:tcPr>
            <w:tcW w:type="dxa" w:w="4561"/>
          </w:tcPr>
          <w:p>
            <w:r>
              <w:rPr>
                <w:sz w:val="20"/>
              </w:rPr>
              <w:t>Near-perfect accuracy is due to feature-label correlation</w:t>
            </w:r>
          </w:p>
        </w:tc>
      </w:tr>
    </w:tbl>
    <w:p/>
    <w:p>
      <w:r>
        <w:br w:type="page"/>
      </w:r>
    </w:p>
    <w:p>
      <w:pPr>
        <w:pStyle w:val="Heading1"/>
        <w:spacing w:before="280" w:after="120"/>
      </w:pPr>
      <w:r>
        <w:rPr>
          <w:color w:val="0A3D62"/>
          <w:sz w:val="32"/>
        </w:rPr>
        <w:t>10. Future Work</w:t>
      </w:r>
    </w:p>
    <w:p>
      <w:pPr>
        <w:pStyle w:val="ListBullet"/>
        <w:spacing w:after="80"/>
        <w:ind w:left="432"/>
      </w:pPr>
      <w:r>
        <w:rPr>
          <w:sz w:val="22"/>
        </w:rPr>
        <w:t>Add weather and temperature features to separate seasonal and behavioral effects.</w:t>
      </w:r>
    </w:p>
    <w:p>
      <w:pPr>
        <w:pStyle w:val="ListBullet"/>
        <w:spacing w:after="80"/>
        <w:ind w:left="432"/>
      </w:pPr>
      <w:r>
        <w:rPr>
          <w:sz w:val="22"/>
        </w:rPr>
        <w:t>Incorporate tariff and pricing data to quantify the financial value of consumption shifts.</w:t>
      </w:r>
    </w:p>
    <w:p>
      <w:pPr>
        <w:pStyle w:val="ListBullet"/>
        <w:spacing w:after="80"/>
        <w:ind w:left="432"/>
      </w:pPr>
      <w:r>
        <w:rPr>
          <w:sz w:val="22"/>
        </w:rPr>
        <w:t>Apply LSTM, Prophet, or XGBoost for richer time-series forecasting.</w:t>
      </w:r>
    </w:p>
    <w:p>
      <w:pPr>
        <w:pStyle w:val="ListBullet"/>
        <w:spacing w:after="80"/>
        <w:ind w:left="432"/>
      </w:pPr>
      <w:r>
        <w:rPr>
          <w:sz w:val="22"/>
        </w:rPr>
        <w:t>Extend to multi-household comparison datasets for more generalizable insights.</w:t>
      </w:r>
    </w:p>
    <w:p>
      <w:pPr>
        <w:pStyle w:val="ListBullet"/>
        <w:spacing w:after="80"/>
        <w:ind w:left="432"/>
      </w:pPr>
      <w:r>
        <w:rPr>
          <w:sz w:val="22"/>
        </w:rPr>
        <w:t>Integrate real-time smart meter data with live dashboard alerts.</w:t>
      </w:r>
    </w:p>
    <w:p>
      <w:pPr>
        <w:pStyle w:val="ListBullet"/>
        <w:spacing w:after="80"/>
        <w:ind w:left="432"/>
      </w:pPr>
      <w:r>
        <w:rPr>
          <w:sz w:val="22"/>
        </w:rPr>
        <w:t>Add association rule mining to identify co-occurring appliance usage patterns.</w:t>
      </w:r>
    </w:p>
    <w:p>
      <w:pPr>
        <w:pStyle w:val="ListBullet"/>
        <w:spacing w:after="80"/>
        <w:ind w:left="432"/>
      </w:pPr>
      <w:r>
        <w:rPr>
          <w:sz w:val="22"/>
        </w:rPr>
        <w:t>Explore demand-side management recommendations based on cluster and classification outputs.</w:t>
      </w:r>
    </w:p>
    <w:p>
      <w:r>
        <w:br w:type="page"/>
      </w:r>
    </w:p>
    <w:p>
      <w:pPr>
        <w:pStyle w:val="Heading1"/>
        <w:spacing w:before="280" w:after="120"/>
      </w:pPr>
      <w:r>
        <w:rPr>
          <w:color w:val="0A3D62"/>
          <w:sz w:val="32"/>
        </w:rPr>
        <w:t>11. Conclusion</w:t>
      </w:r>
    </w:p>
    <w:p>
      <w:pPr>
        <w:spacing w:after="120"/>
      </w:pPr>
      <w:r>
        <w:rPr>
          <w:b w:val="0"/>
          <w:i w:val="0"/>
          <w:sz w:val="22"/>
        </w:rPr>
        <w:t>This project delivered a complete CRISP-DM data mining cycle applied to household electricity consumption. Starting from raw minute-level meter readings, the workflow produced a clean hourly dataset, trained and evaluated three categories of baseline models, and deployed the results through an interactive Streamlit dashboard.</w:t>
      </w:r>
    </w:p>
    <w:p>
      <w:pPr>
        <w:shd w:val="clear" w:color="auto" w:fill="EBF5FB"/>
        <w:spacing w:before="80" w:after="160"/>
        <w:ind w:left="288" w:right="288"/>
      </w:pPr>
      <w:r>
        <w:rPr>
          <w:b/>
          <w:color w:val="117A8B"/>
          <w:sz w:val="20"/>
        </w:rPr>
        <w:t xml:space="preserve">Summary:  </w:t>
      </w:r>
      <w:r>
        <w:rPr>
          <w:i w:val="0"/>
          <w:color w:val="556574"/>
          <w:sz w:val="20"/>
        </w:rPr>
        <w:t>Peak consumption occurs in the evening (20:00–21:00). Polynomial Ridge regression explains 63% of hourly power variation (R²=0.633). Classifiers identify high-consumption hours at over 99% accuracy. Shifting heavy appliance usage away from the 19:00–22:00 window is the most impactful recommendation.</w:t>
      </w:r>
    </w:p>
    <w:p>
      <w:pPr>
        <w:spacing w:after="120"/>
      </w:pPr>
      <w:r>
        <w:rPr>
          <w:b w:val="0"/>
          <w:i w:val="0"/>
          <w:sz w:val="22"/>
        </w:rPr>
        <w:t>With the addition of weather, occupancy, and tariff data, the same framework could support richer personalized energy management and real-time household alerts. The goal of this project — a reproducible, interpretable, and professionally delivered data mining study — was fully met.</w:t>
      </w:r>
    </w:p>
    <w:p>
      <w:r>
        <w:br w:type="page"/>
      </w:r>
    </w:p>
    <w:p>
      <w:pPr>
        <w:pStyle w:val="Heading1"/>
        <w:spacing w:before="280" w:after="120"/>
      </w:pPr>
      <w:r>
        <w:rPr>
          <w:color w:val="0A3D62"/>
          <w:sz w:val="32"/>
        </w:rPr>
        <w:t>12. References</w:t>
      </w:r>
    </w:p>
    <w:p>
      <w:pPr>
        <w:pStyle w:val="ListBullet"/>
        <w:spacing w:after="80"/>
        <w:ind w:left="432"/>
      </w:pPr>
      <w:r>
        <w:rPr>
          <w:sz w:val="22"/>
        </w:rPr>
        <w:t>[1]  Dua, D. and Graff, C. (2019). UCI Machine Learning Repository. University of California, Irvine.</w:t>
      </w:r>
    </w:p>
    <w:p>
      <w:pPr>
        <w:pStyle w:val="ListBullet"/>
        <w:spacing w:after="80"/>
        <w:ind w:left="432"/>
      </w:pPr>
      <w:r>
        <w:rPr>
          <w:sz w:val="22"/>
        </w:rPr>
        <w:t>[2]  Heagerty, G. (2006). Individual Household Electric Power Consumption Dataset. UCI ML Repository.</w:t>
      </w:r>
    </w:p>
    <w:p>
      <w:pPr>
        <w:pStyle w:val="ListBullet"/>
        <w:spacing w:after="80"/>
        <w:ind w:left="432"/>
      </w:pPr>
      <w:r>
        <w:rPr>
          <w:sz w:val="22"/>
        </w:rPr>
        <w:t>[3]  Chapman et al. (2000). CRISP-DM 1.0: Step-by-step data mining guide. SPSS Inc.</w:t>
      </w:r>
    </w:p>
    <w:p>
      <w:pPr>
        <w:pStyle w:val="ListBullet"/>
        <w:spacing w:after="80"/>
        <w:ind w:left="432"/>
      </w:pPr>
      <w:r>
        <w:rPr>
          <w:sz w:val="22"/>
        </w:rPr>
        <w:t>[4]  Pedregosa et al. (2011). Scikit-learn: Machine Learning in Python. JMLR, 12, 2825-2830.</w:t>
      </w:r>
    </w:p>
    <w:p>
      <w:pPr>
        <w:pStyle w:val="ListBullet"/>
        <w:spacing w:after="80"/>
        <w:ind w:left="432"/>
      </w:pPr>
      <w:r>
        <w:rPr>
          <w:sz w:val="22"/>
        </w:rPr>
        <w:t>[5]  Streamlit Inc. (2023). Streamlit Documentation. https://docs.streamlit.io</w:t>
      </w:r>
    </w:p>
    <w:p>
      <w:pPr>
        <w:pStyle w:val="ListBullet"/>
        <w:spacing w:after="80"/>
        <w:ind w:left="432"/>
      </w:pPr>
      <w:r>
        <w:rPr>
          <w:sz w:val="22"/>
        </w:rPr>
        <w:t>[6]  McKinney, W. (2010). Data Structures for Statistical Computing in Python. SciPy Conference.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