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69C0"/>
          <w:sz w:val="44"/>
        </w:rPr>
        <w:t>Smart Energy Consumption Analytics System</w:t>
      </w:r>
    </w:p>
    <w:p>
      <w:pPr>
        <w:jc w:val="center"/>
      </w:pPr>
      <w:r>
        <w:rPr>
          <w:sz w:val="28"/>
        </w:rPr>
        <w:t>Data Mining Course — Final Project Report</w:t>
      </w:r>
    </w:p>
    <w:p/>
    <w:p>
      <w:pPr>
        <w:jc w:val="center"/>
      </w:pPr>
      <w:r>
        <w:rPr>
          <w:b/>
          <w:sz w:val="24"/>
        </w:rPr>
        <w:t xml:space="preserve">Author: </w:t>
      </w:r>
      <w:r>
        <w:rPr>
          <w:sz w:val="24"/>
        </w:rPr>
        <w:t>Omar Abdulaal</w:t>
      </w:r>
    </w:p>
    <w:p>
      <w:pPr>
        <w:jc w:val="center"/>
      </w:pPr>
      <w:r>
        <w:rPr>
          <w:b/>
          <w:sz w:val="24"/>
        </w:rPr>
        <w:t xml:space="preserve">Instructor: </w:t>
      </w:r>
      <w:r>
        <w:rPr>
          <w:sz w:val="24"/>
        </w:rPr>
        <w:t>Mariam Labib</w:t>
      </w:r>
    </w:p>
    <w:p>
      <w:pPr>
        <w:jc w:val="center"/>
      </w:pPr>
      <w:r>
        <w:rPr>
          <w:b/>
          <w:sz w:val="24"/>
        </w:rPr>
        <w:t xml:space="preserve">Course: </w:t>
      </w:r>
      <w:r>
        <w:rPr>
          <w:sz w:val="24"/>
        </w:rPr>
        <w:t>Data Mining</w:t>
      </w:r>
    </w:p>
    <w:p>
      <w:pPr>
        <w:jc w:val="center"/>
      </w:pPr>
      <w:r>
        <w:rPr>
          <w:b/>
          <w:sz w:val="24"/>
        </w:rPr>
        <w:t xml:space="preserve">Date: </w:t>
      </w:r>
      <w:r>
        <w:rPr>
          <w:sz w:val="24"/>
        </w:rPr>
        <w:t>May 2026</w:t>
      </w:r>
    </w:p>
    <w:p>
      <w:pPr>
        <w:jc w:val="center"/>
      </w:pPr>
      <w:r>
        <w:rPr>
          <w:b/>
          <w:sz w:val="24"/>
        </w:rPr>
        <w:t xml:space="preserve">Methodology: </w:t>
      </w:r>
      <w:r>
        <w:rPr>
          <w:sz w:val="24"/>
        </w:rPr>
        <w:t>CRISP-DM</w:t>
      </w:r>
    </w:p>
    <w:p>
      <w:r>
        <w:br w:type="page"/>
      </w:r>
    </w:p>
    <w:p>
      <w:pPr>
        <w:pStyle w:val="Heading1"/>
      </w:pPr>
      <w:r>
        <w:t>Table of Contents</w:t>
      </w:r>
    </w:p>
    <w:p>
      <w:pPr>
        <w:pStyle w:val="ListBullet"/>
        <w:spacing w:after="80"/>
        <w:ind w:left="360"/>
      </w:pPr>
      <w:r>
        <w:t>1. Introduction</w:t>
      </w:r>
    </w:p>
    <w:p>
      <w:pPr>
        <w:pStyle w:val="ListBullet"/>
        <w:spacing w:after="80"/>
        <w:ind w:left="360"/>
      </w:pPr>
      <w:r>
        <w:t>2. Business Understanding</w:t>
      </w:r>
    </w:p>
    <w:p>
      <w:pPr>
        <w:pStyle w:val="ListBullet"/>
        <w:spacing w:after="80"/>
        <w:ind w:left="360"/>
      </w:pPr>
      <w:r>
        <w:t>3. Data Understanding</w:t>
      </w:r>
    </w:p>
    <w:p>
      <w:pPr>
        <w:pStyle w:val="ListBullet"/>
        <w:spacing w:after="80"/>
        <w:ind w:left="360"/>
      </w:pPr>
      <w:r>
        <w:t>4. Data Preparation</w:t>
      </w:r>
    </w:p>
    <w:p>
      <w:pPr>
        <w:pStyle w:val="ListBullet"/>
        <w:spacing w:after="80"/>
        <w:ind w:left="360"/>
      </w:pPr>
      <w:r>
        <w:t>5. Modelling</w:t>
      </w:r>
    </w:p>
    <w:p>
      <w:pPr>
        <w:pStyle w:val="ListBullet"/>
        <w:spacing w:after="80"/>
        <w:ind w:left="360"/>
      </w:pPr>
      <w:r>
        <w:t>6. Evaluation</w:t>
      </w:r>
    </w:p>
    <w:p>
      <w:pPr>
        <w:pStyle w:val="ListBullet"/>
        <w:spacing w:after="80"/>
        <w:ind w:left="360"/>
      </w:pPr>
      <w:r>
        <w:t>7. Deployment</w:t>
      </w:r>
    </w:p>
    <w:p>
      <w:pPr>
        <w:pStyle w:val="ListBullet"/>
        <w:spacing w:after="80"/>
        <w:ind w:left="360"/>
      </w:pPr>
      <w:r>
        <w:t>8. Business Insights</w:t>
      </w:r>
    </w:p>
    <w:p>
      <w:pPr>
        <w:pStyle w:val="ListBullet"/>
        <w:spacing w:after="80"/>
        <w:ind w:left="360"/>
      </w:pPr>
      <w:r>
        <w:t>9. Limitations</w:t>
      </w:r>
    </w:p>
    <w:p>
      <w:pPr>
        <w:pStyle w:val="ListBullet"/>
        <w:spacing w:after="80"/>
        <w:ind w:left="360"/>
      </w:pPr>
      <w:r>
        <w:t>10. Future Work</w:t>
      </w:r>
    </w:p>
    <w:p>
      <w:pPr>
        <w:pStyle w:val="ListBullet"/>
        <w:spacing w:after="80"/>
        <w:ind w:left="360"/>
      </w:pPr>
      <w:r>
        <w:t>11. Conclusion</w:t>
      </w:r>
    </w:p>
    <w:p>
      <w:pPr>
        <w:pStyle w:val="ListBullet"/>
        <w:spacing w:after="80"/>
        <w:ind w:left="360"/>
      </w:pPr>
      <w:r>
        <w:t>12. References</w:t>
      </w:r>
    </w:p>
    <w:p>
      <w:r>
        <w:br w:type="page"/>
      </w:r>
    </w:p>
    <w:p>
      <w:pPr>
        <w:pStyle w:val="Heading1"/>
      </w:pPr>
      <w:r>
        <w:t>1. Introduction</w:t>
      </w:r>
    </w:p>
    <w:p>
      <w:pPr>
        <w:spacing w:after="120"/>
      </w:pPr>
      <w:r>
        <w:rPr>
          <w:b w:val="0"/>
          <w:i w:val="0"/>
          <w:sz w:val="22"/>
        </w:rPr>
        <w:t>This report presents the complete data mining study for the Smart Energy Consumption Analytics System, developed as the final project for the Data Mining course. The project analyzes household electricity consumption data using four categories of data mining techniques: clustering, regression, classification, and anomaly detection. All work is structured according to the CRISP-DM methodology and delivered through six ordered Jupyter notebooks and an interactive Streamlit dashboard.</w:t>
      </w:r>
    </w:p>
    <w:p>
      <w:pPr>
        <w:spacing w:after="120"/>
      </w:pPr>
      <w:r>
        <w:rPr>
          <w:b w:val="0"/>
          <w:i w:val="0"/>
          <w:sz w:val="22"/>
        </w:rPr>
        <w:t>The central motivation is that households typically receive a monthly electricity bill with no insight into when consumption is highest, which appliance categories drive peak load, or which usage periods appear abnormal. A data-driven approach can turn raw meter readings into actionable recommendations, supporting energy-saving behavior and household awareness.</w:t>
      </w:r>
    </w:p>
    <w:p>
      <w:pPr>
        <w:spacing w:after="120"/>
      </w:pPr>
      <w:r>
        <w:rPr>
          <w:b w:val="0"/>
          <w:i w:val="0"/>
          <w:sz w:val="22"/>
        </w:rPr>
        <w:t>The project demonstrates a complete data mining cycle: from defining the business problem and understanding the raw data, through preparation, modelling, and evaluation, to deploying the results in an interactive dashboard. The goal is not maximum model accuracy but a reproducible, interpretable, and professionally delivered study.</w:t>
      </w:r>
    </w:p>
    <w:p/>
    <w:p>
      <w:pPr>
        <w:pStyle w:val="Heading1"/>
      </w:pPr>
      <w:r>
        <w:t>2. Business Understanding</w:t>
      </w:r>
    </w:p>
    <w:p>
      <w:pPr>
        <w:pStyle w:val="Heading2"/>
      </w:pPr>
      <w:r>
        <w:t>2.1 Business Problem</w:t>
      </w:r>
    </w:p>
    <w:p>
      <w:pPr>
        <w:spacing w:after="120"/>
      </w:pPr>
      <w:r>
        <w:rPr>
          <w:b w:val="0"/>
          <w:i w:val="0"/>
          <w:sz w:val="22"/>
        </w:rPr>
        <w:t>Households receive electricity bills without understanding when consumption peaks, which usage patterns repeat, or which periods look abnormal. This lack of visibility makes it difficult to reduce waste or shift heavy appliance usage away from peak hours. A smart energy analytics workflow transforms raw meter readings into practical insights: peak-hour detection, consumption prediction, high-usage classification, and anomaly detection.</w:t>
      </w:r>
    </w:p>
    <w:p>
      <w:pPr>
        <w:pStyle w:val="Heading2"/>
      </w:pPr>
      <w:r>
        <w:t>2.2 Project Objectives</w:t>
      </w:r>
    </w:p>
    <w:p>
      <w:pPr>
        <w:pStyle w:val="ListBullet"/>
        <w:spacing w:after="80"/>
        <w:ind w:left="360"/>
      </w:pPr>
      <w:r>
        <w:t>Analyze household electricity consumption patterns over time.</w:t>
      </w:r>
    </w:p>
    <w:p>
      <w:pPr>
        <w:pStyle w:val="ListBullet"/>
        <w:spacing w:after="80"/>
        <w:ind w:left="360"/>
      </w:pPr>
      <w:r>
        <w:t>Identify peak usage hours and repeated behavior segments.</w:t>
      </w:r>
    </w:p>
    <w:p>
      <w:pPr>
        <w:pStyle w:val="ListBullet"/>
        <w:spacing w:after="80"/>
        <w:ind w:left="360"/>
      </w:pPr>
      <w:r>
        <w:t>Predict short-term global active power using time and historical lag features.</w:t>
      </w:r>
    </w:p>
    <w:p>
      <w:pPr>
        <w:pStyle w:val="ListBullet"/>
        <w:spacing w:after="80"/>
        <w:ind w:left="360"/>
      </w:pPr>
      <w:r>
        <w:t>Classify hourly periods as high or normal consumption.</w:t>
      </w:r>
    </w:p>
    <w:p>
      <w:pPr>
        <w:pStyle w:val="ListBullet"/>
        <w:spacing w:after="80"/>
        <w:ind w:left="360"/>
      </w:pPr>
      <w:r>
        <w:t>Detect unusual consumption spikes that may require investigation.</w:t>
      </w:r>
    </w:p>
    <w:p>
      <w:pPr>
        <w:pStyle w:val="ListBullet"/>
        <w:spacing w:after="80"/>
        <w:ind w:left="360"/>
      </w:pPr>
      <w:r>
        <w:t>Present the results in an interactive Streamlit dashboard.</w:t>
      </w:r>
    </w:p>
    <w:p>
      <w:pPr>
        <w:pStyle w:val="Heading2"/>
      </w:pPr>
      <w:r>
        <w:t>2.3 Research Questions</w:t>
      </w:r>
    </w:p>
    <w:p>
      <w:pPr>
        <w:pStyle w:val="ListBullet"/>
        <w:spacing w:after="80"/>
        <w:ind w:left="360"/>
      </w:pPr>
      <w:r>
        <w:t>When is household electricity usage highest?</w:t>
      </w:r>
    </w:p>
    <w:p>
      <w:pPr>
        <w:pStyle w:val="ListBullet"/>
        <w:spacing w:after="80"/>
        <w:ind w:left="360"/>
      </w:pPr>
      <w:r>
        <w:t>Can similar consumption behaviors be grouped using clustering?</w:t>
      </w:r>
    </w:p>
    <w:p>
      <w:pPr>
        <w:pStyle w:val="ListBullet"/>
        <w:spacing w:after="80"/>
        <w:ind w:left="360"/>
      </w:pPr>
      <w:r>
        <w:t>Can recent consumption history help predict short-term power usage?</w:t>
      </w:r>
    </w:p>
    <w:p>
      <w:pPr>
        <w:pStyle w:val="ListBullet"/>
        <w:spacing w:after="80"/>
        <w:ind w:left="360"/>
      </w:pPr>
      <w:r>
        <w:t>Can high-consumption periods be classified accurately?</w:t>
      </w:r>
    </w:p>
    <w:p>
      <w:pPr>
        <w:pStyle w:val="ListBullet"/>
        <w:spacing w:after="80"/>
        <w:ind w:left="360"/>
      </w:pPr>
      <w:r>
        <w:t>Which periods appear unusual compared with normal household behavior?</w:t>
      </w:r>
    </w:p>
    <w:p>
      <w:pPr>
        <w:pStyle w:val="Heading2"/>
      </w:pPr>
      <w:r>
        <w:t>2.4 Technique Selection</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sz w:val="20"/>
              </w:rPr>
              <w:t>Technique Category</w:t>
            </w:r>
          </w:p>
        </w:tc>
        <w:tc>
          <w:tcPr>
            <w:tcW w:type="dxa" w:w="3041"/>
          </w:tcPr>
          <w:p>
            <w:pPr>
              <w:jc w:val="center"/>
            </w:pPr>
            <w:r>
              <w:rPr>
                <w:b/>
                <w:sz w:val="20"/>
              </w:rPr>
              <w:t>Models Used</w:t>
            </w:r>
          </w:p>
        </w:tc>
        <w:tc>
          <w:tcPr>
            <w:tcW w:type="dxa" w:w="3041"/>
          </w:tcPr>
          <w:p>
            <w:pPr>
              <w:jc w:val="center"/>
            </w:pPr>
            <w:r>
              <w:rPr>
                <w:b/>
                <w:sz w:val="20"/>
              </w:rPr>
              <w:t>Business Purpose</w:t>
            </w:r>
          </w:p>
        </w:tc>
      </w:tr>
      <w:tr>
        <w:tc>
          <w:tcPr>
            <w:tcW w:type="dxa" w:w="3041"/>
          </w:tcPr>
          <w:p>
            <w:r>
              <w:rPr>
                <w:sz w:val="20"/>
              </w:rPr>
              <w:t>Clustering</w:t>
            </w:r>
          </w:p>
        </w:tc>
        <w:tc>
          <w:tcPr>
            <w:tcW w:type="dxa" w:w="3041"/>
          </w:tcPr>
          <w:p>
            <w:r>
              <w:rPr>
                <w:sz w:val="20"/>
              </w:rPr>
              <w:t>K-Means, DBSCAN</w:t>
            </w:r>
          </w:p>
        </w:tc>
        <w:tc>
          <w:tcPr>
            <w:tcW w:type="dxa" w:w="3041"/>
          </w:tcPr>
          <w:p>
            <w:r>
              <w:rPr>
                <w:sz w:val="20"/>
              </w:rPr>
              <w:t>Group similar hourly consumption behavior patterns</w:t>
            </w:r>
          </w:p>
        </w:tc>
      </w:tr>
      <w:tr>
        <w:tc>
          <w:tcPr>
            <w:tcW w:type="dxa" w:w="3041"/>
          </w:tcPr>
          <w:p>
            <w:r>
              <w:rPr>
                <w:sz w:val="20"/>
              </w:rPr>
              <w:t>Regression</w:t>
            </w:r>
          </w:p>
        </w:tc>
        <w:tc>
          <w:tcPr>
            <w:tcW w:type="dxa" w:w="3041"/>
          </w:tcPr>
          <w:p>
            <w:r>
              <w:rPr>
                <w:sz w:val="20"/>
              </w:rPr>
              <w:t>Linear, Ridge, Polynomial Ridge</w:t>
            </w:r>
          </w:p>
        </w:tc>
        <w:tc>
          <w:tcPr>
            <w:tcW w:type="dxa" w:w="3041"/>
          </w:tcPr>
          <w:p>
            <w:r>
              <w:rPr>
                <w:sz w:val="20"/>
              </w:rPr>
              <w:t>Predict short-term global active power</w:t>
            </w:r>
          </w:p>
        </w:tc>
      </w:tr>
      <w:tr>
        <w:tc>
          <w:tcPr>
            <w:tcW w:type="dxa" w:w="3041"/>
          </w:tcPr>
          <w:p>
            <w:r>
              <w:rPr>
                <w:sz w:val="20"/>
              </w:rPr>
              <w:t>Classification</w:t>
            </w:r>
          </w:p>
        </w:tc>
        <w:tc>
          <w:tcPr>
            <w:tcW w:type="dxa" w:w="3041"/>
          </w:tcPr>
          <w:p>
            <w:r>
              <w:rPr>
                <w:sz w:val="20"/>
              </w:rPr>
              <w:t>Logistic Regression, Random Forest</w:t>
            </w:r>
          </w:p>
        </w:tc>
        <w:tc>
          <w:tcPr>
            <w:tcW w:type="dxa" w:w="3041"/>
          </w:tcPr>
          <w:p>
            <w:r>
              <w:rPr>
                <w:sz w:val="20"/>
              </w:rPr>
              <w:t>Label each hour as high or normal consumption</w:t>
            </w:r>
          </w:p>
        </w:tc>
      </w:tr>
      <w:tr>
        <w:tc>
          <w:tcPr>
            <w:tcW w:type="dxa" w:w="3041"/>
          </w:tcPr>
          <w:p>
            <w:r>
              <w:rPr>
                <w:sz w:val="20"/>
              </w:rPr>
              <w:t>Anomaly Detection</w:t>
            </w:r>
          </w:p>
        </w:tc>
        <w:tc>
          <w:tcPr>
            <w:tcW w:type="dxa" w:w="3041"/>
          </w:tcPr>
          <w:p>
            <w:r>
              <w:rPr>
                <w:sz w:val="20"/>
              </w:rPr>
              <w:t>Isolation Forest + PCA</w:t>
            </w:r>
          </w:p>
        </w:tc>
        <w:tc>
          <w:tcPr>
            <w:tcW w:type="dxa" w:w="3041"/>
          </w:tcPr>
          <w:p>
            <w:r>
              <w:rPr>
                <w:sz w:val="20"/>
              </w:rPr>
              <w:t>Detect unusual consumption spikes for investigation</w:t>
            </w:r>
          </w:p>
        </w:tc>
      </w:tr>
    </w:tbl>
    <w:p/>
    <w:p>
      <w:pPr>
        <w:pStyle w:val="Heading2"/>
      </w:pPr>
      <w:r>
        <w:t>2.5 Success Criteria</w:t>
      </w:r>
    </w:p>
    <w:p>
      <w:pPr>
        <w:spacing w:after="120"/>
      </w:pPr>
      <w:r>
        <w:rPr>
          <w:b w:val="0"/>
          <w:i w:val="0"/>
          <w:sz w:val="22"/>
        </w:rPr>
        <w:t>The project is successful if it produces a reproducible notebook workflow, meaningful visualizations, baseline model results, interpretable energy insights, and a dashboard that communicates findings clearly. The emphasis is on demonstrating a complete CRISP-DM process, not on achieving perfect model accuracy.</w:t>
      </w:r>
    </w:p>
    <w:p>
      <w:r>
        <w:br w:type="page"/>
      </w:r>
    </w:p>
    <w:p>
      <w:pPr>
        <w:pStyle w:val="Heading1"/>
      </w:pPr>
      <w:r>
        <w:t>3. Data Understanding</w:t>
      </w:r>
    </w:p>
    <w:p>
      <w:pPr>
        <w:pStyle w:val="Heading2"/>
      </w:pPr>
      <w:r>
        <w:t>3.1 Dataset Overview</w:t>
      </w:r>
    </w:p>
    <w:p>
      <w:pPr>
        <w:spacing w:after="120"/>
      </w:pPr>
      <w:r>
        <w:rPr>
          <w:b w:val="0"/>
          <w:i w:val="0"/>
          <w:sz w:val="22"/>
        </w:rPr>
        <w:t>The dataset used is the Individual Household Electric Power Consumption dataset from the UCI Machine Learning Repository, also available on Kaggle. The original public dataset contains over 2 million rows collected at one-minute intervals. The local CSV file used in this project covers the date range 2006-12-16 to 2008-12-13, containing 1,048,575 raw minute-level rows across 9 columns.</w:t>
      </w:r>
    </w:p>
    <w:p>
      <w:pPr>
        <w:spacing w:after="120"/>
      </w:pPr>
      <w:r>
        <w:rPr>
          <w:i/>
          <w:color w:val="555555"/>
          <w:sz w:val="20"/>
        </w:rPr>
        <w:t>Note: The original public dataset may cover a longer period. The local CSV used in this implementation covers 2006-12-16 to 2008-12-13. All reported metrics reflect this local file. Dashboard sample mode (2006-12-16 to 2007-02-24) uses a 100,000-row subset for faster cloud performance.</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sz w:val="20"/>
              </w:rPr>
              <w:t>Attribute</w:t>
            </w:r>
          </w:p>
        </w:tc>
        <w:tc>
          <w:tcPr>
            <w:tcW w:type="dxa" w:w="4561"/>
          </w:tcPr>
          <w:p>
            <w:pPr>
              <w:jc w:val="center"/>
            </w:pPr>
            <w:r>
              <w:rPr>
                <w:b/>
                <w:sz w:val="20"/>
              </w:rPr>
              <w:t>Value</w:t>
            </w:r>
          </w:p>
        </w:tc>
      </w:tr>
      <w:tr>
        <w:tc>
          <w:tcPr>
            <w:tcW w:type="dxa" w:w="4561"/>
          </w:tcPr>
          <w:p>
            <w:r>
              <w:rPr>
                <w:sz w:val="20"/>
              </w:rPr>
              <w:t>Dataset Name</w:t>
            </w:r>
          </w:p>
        </w:tc>
        <w:tc>
          <w:tcPr>
            <w:tcW w:type="dxa" w:w="4561"/>
          </w:tcPr>
          <w:p>
            <w:r>
              <w:rPr>
                <w:sz w:val="20"/>
              </w:rPr>
              <w:t>Individual Household Electric Power Consumption</w:t>
            </w:r>
          </w:p>
        </w:tc>
      </w:tr>
      <w:tr>
        <w:tc>
          <w:tcPr>
            <w:tcW w:type="dxa" w:w="4561"/>
          </w:tcPr>
          <w:p>
            <w:r>
              <w:rPr>
                <w:sz w:val="20"/>
              </w:rPr>
              <w:t>Source</w:t>
            </w:r>
          </w:p>
        </w:tc>
        <w:tc>
          <w:tcPr>
            <w:tcW w:type="dxa" w:w="4561"/>
          </w:tcPr>
          <w:p>
            <w:r>
              <w:rPr>
                <w:sz w:val="20"/>
              </w:rPr>
              <w:t>UCI Machine Learning Repository / Kaggle</w:t>
            </w:r>
          </w:p>
        </w:tc>
      </w:tr>
      <w:tr>
        <w:tc>
          <w:tcPr>
            <w:tcW w:type="dxa" w:w="4561"/>
          </w:tcPr>
          <w:p>
            <w:r>
              <w:rPr>
                <w:sz w:val="20"/>
              </w:rPr>
              <w:t>Local CSV Range</w:t>
            </w:r>
          </w:p>
        </w:tc>
        <w:tc>
          <w:tcPr>
            <w:tcW w:type="dxa" w:w="4561"/>
          </w:tcPr>
          <w:p>
            <w:r>
              <w:rPr>
                <w:sz w:val="20"/>
              </w:rPr>
              <w:t>2006-12-16 to 2008-12-13 (~2 years)</w:t>
            </w:r>
          </w:p>
        </w:tc>
      </w:tr>
      <w:tr>
        <w:tc>
          <w:tcPr>
            <w:tcW w:type="dxa" w:w="4561"/>
          </w:tcPr>
          <w:p>
            <w:r>
              <w:rPr>
                <w:sz w:val="20"/>
              </w:rPr>
              <w:t>Raw Row Count</w:t>
            </w:r>
          </w:p>
        </w:tc>
        <w:tc>
          <w:tcPr>
            <w:tcW w:type="dxa" w:w="4561"/>
          </w:tcPr>
          <w:p>
            <w:r>
              <w:rPr>
                <w:sz w:val="20"/>
              </w:rPr>
              <w:t>1,048,575</w:t>
            </w:r>
          </w:p>
        </w:tc>
      </w:tr>
      <w:tr>
        <w:tc>
          <w:tcPr>
            <w:tcW w:type="dxa" w:w="4561"/>
          </w:tcPr>
          <w:p>
            <w:r>
              <w:rPr>
                <w:sz w:val="20"/>
              </w:rPr>
              <w:t>Sampling Rate</w:t>
            </w:r>
          </w:p>
        </w:tc>
        <w:tc>
          <w:tcPr>
            <w:tcW w:type="dxa" w:w="4561"/>
          </w:tcPr>
          <w:p>
            <w:r>
              <w:rPr>
                <w:sz w:val="20"/>
              </w:rPr>
              <w:t>One reading per minute</w:t>
            </w:r>
          </w:p>
        </w:tc>
      </w:tr>
      <w:tr>
        <w:tc>
          <w:tcPr>
            <w:tcW w:type="dxa" w:w="4561"/>
          </w:tcPr>
          <w:p>
            <w:r>
              <w:rPr>
                <w:sz w:val="20"/>
              </w:rPr>
              <w:t>Features</w:t>
            </w:r>
          </w:p>
        </w:tc>
        <w:tc>
          <w:tcPr>
            <w:tcW w:type="dxa" w:w="4561"/>
          </w:tcPr>
          <w:p>
            <w:r>
              <w:rPr>
                <w:sz w:val="20"/>
              </w:rPr>
              <w:t>9 raw columns</w:t>
            </w:r>
          </w:p>
        </w:tc>
      </w:tr>
      <w:tr>
        <w:tc>
          <w:tcPr>
            <w:tcW w:type="dxa" w:w="4561"/>
          </w:tcPr>
          <w:p>
            <w:r>
              <w:rPr>
                <w:sz w:val="20"/>
              </w:rPr>
              <w:t>Missing Values</w:t>
            </w:r>
          </w:p>
        </w:tc>
        <w:tc>
          <w:tcPr>
            <w:tcW w:type="dxa" w:w="4561"/>
          </w:tcPr>
          <w:p>
            <w:r>
              <w:rPr>
                <w:sz w:val="20"/>
              </w:rPr>
              <w:t>~4,069 per numeric column (~0.39%)</w:t>
            </w:r>
          </w:p>
        </w:tc>
      </w:tr>
      <w:tr>
        <w:tc>
          <w:tcPr>
            <w:tcW w:type="dxa" w:w="4561"/>
          </w:tcPr>
          <w:p>
            <w:r>
              <w:rPr>
                <w:sz w:val="20"/>
              </w:rPr>
              <w:t>File Format</w:t>
            </w:r>
          </w:p>
        </w:tc>
        <w:tc>
          <w:tcPr>
            <w:tcW w:type="dxa" w:w="4561"/>
          </w:tcPr>
          <w:p>
            <w:r>
              <w:rPr>
                <w:sz w:val="20"/>
              </w:rPr>
              <w:t>CSV (semicolon-separated)</w:t>
            </w:r>
          </w:p>
        </w:tc>
      </w:tr>
    </w:tbl>
    <w:p/>
    <w:p>
      <w:pPr>
        <w:pStyle w:val="Heading2"/>
      </w:pPr>
      <w:r>
        <w:t>3.2 Feature Description</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sz w:val="20"/>
              </w:rPr>
              <w:t>Feature</w:t>
            </w:r>
          </w:p>
        </w:tc>
        <w:tc>
          <w:tcPr>
            <w:tcW w:type="dxa" w:w="3041"/>
          </w:tcPr>
          <w:p>
            <w:pPr>
              <w:jc w:val="center"/>
            </w:pPr>
            <w:r>
              <w:rPr>
                <w:b/>
                <w:sz w:val="20"/>
              </w:rPr>
              <w:t>Unit</w:t>
            </w:r>
          </w:p>
        </w:tc>
        <w:tc>
          <w:tcPr>
            <w:tcW w:type="dxa" w:w="3041"/>
          </w:tcPr>
          <w:p>
            <w:pPr>
              <w:jc w:val="center"/>
            </w:pPr>
            <w:r>
              <w:rPr>
                <w:b/>
                <w:sz w:val="20"/>
              </w:rPr>
              <w:t>Description</w:t>
            </w:r>
          </w:p>
        </w:tc>
      </w:tr>
      <w:tr>
        <w:tc>
          <w:tcPr>
            <w:tcW w:type="dxa" w:w="3041"/>
          </w:tcPr>
          <w:p>
            <w:r>
              <w:rPr>
                <w:sz w:val="20"/>
              </w:rPr>
              <w:t>Date</w:t>
            </w:r>
          </w:p>
        </w:tc>
        <w:tc>
          <w:tcPr>
            <w:tcW w:type="dxa" w:w="3041"/>
          </w:tcPr>
          <w:p>
            <w:r>
              <w:rPr>
                <w:sz w:val="20"/>
              </w:rPr>
              <w:t>—</w:t>
            </w:r>
          </w:p>
        </w:tc>
        <w:tc>
          <w:tcPr>
            <w:tcW w:type="dxa" w:w="3041"/>
          </w:tcPr>
          <w:p>
            <w:r>
              <w:rPr>
                <w:sz w:val="20"/>
              </w:rPr>
              <w:t>Date of the reading (DD/MM/YYYY)</w:t>
            </w:r>
          </w:p>
        </w:tc>
      </w:tr>
      <w:tr>
        <w:tc>
          <w:tcPr>
            <w:tcW w:type="dxa" w:w="3041"/>
          </w:tcPr>
          <w:p>
            <w:r>
              <w:rPr>
                <w:sz w:val="20"/>
              </w:rPr>
              <w:t>Time</w:t>
            </w:r>
          </w:p>
        </w:tc>
        <w:tc>
          <w:tcPr>
            <w:tcW w:type="dxa" w:w="3041"/>
          </w:tcPr>
          <w:p>
            <w:r>
              <w:rPr>
                <w:sz w:val="20"/>
              </w:rPr>
              <w:t>—</w:t>
            </w:r>
          </w:p>
        </w:tc>
        <w:tc>
          <w:tcPr>
            <w:tcW w:type="dxa" w:w="3041"/>
          </w:tcPr>
          <w:p>
            <w:r>
              <w:rPr>
                <w:sz w:val="20"/>
              </w:rPr>
              <w:t>Time of the reading (HH:MM:SS)</w:t>
            </w:r>
          </w:p>
        </w:tc>
      </w:tr>
      <w:tr>
        <w:tc>
          <w:tcPr>
            <w:tcW w:type="dxa" w:w="3041"/>
          </w:tcPr>
          <w:p>
            <w:r>
              <w:rPr>
                <w:sz w:val="20"/>
              </w:rPr>
              <w:t>Global_active_power</w:t>
            </w:r>
          </w:p>
        </w:tc>
        <w:tc>
          <w:tcPr>
            <w:tcW w:type="dxa" w:w="3041"/>
          </w:tcPr>
          <w:p>
            <w:r>
              <w:rPr>
                <w:sz w:val="20"/>
              </w:rPr>
              <w:t>kW</w:t>
            </w:r>
          </w:p>
        </w:tc>
        <w:tc>
          <w:tcPr>
            <w:tcW w:type="dxa" w:w="3041"/>
          </w:tcPr>
          <w:p>
            <w:r>
              <w:rPr>
                <w:sz w:val="20"/>
              </w:rPr>
              <w:t>Total household active power consumption</w:t>
            </w:r>
          </w:p>
        </w:tc>
      </w:tr>
      <w:tr>
        <w:tc>
          <w:tcPr>
            <w:tcW w:type="dxa" w:w="3041"/>
          </w:tcPr>
          <w:p>
            <w:r>
              <w:rPr>
                <w:sz w:val="20"/>
              </w:rPr>
              <w:t>Global_reactive_power</w:t>
            </w:r>
          </w:p>
        </w:tc>
        <w:tc>
          <w:tcPr>
            <w:tcW w:type="dxa" w:w="3041"/>
          </w:tcPr>
          <w:p>
            <w:r>
              <w:rPr>
                <w:sz w:val="20"/>
              </w:rPr>
              <w:t>kW</w:t>
            </w:r>
          </w:p>
        </w:tc>
        <w:tc>
          <w:tcPr>
            <w:tcW w:type="dxa" w:w="3041"/>
          </w:tcPr>
          <w:p>
            <w:r>
              <w:rPr>
                <w:sz w:val="20"/>
              </w:rPr>
              <w:t>Total household reactive power</w:t>
            </w:r>
          </w:p>
        </w:tc>
      </w:tr>
      <w:tr>
        <w:tc>
          <w:tcPr>
            <w:tcW w:type="dxa" w:w="3041"/>
          </w:tcPr>
          <w:p>
            <w:r>
              <w:rPr>
                <w:sz w:val="20"/>
              </w:rPr>
              <w:t>Voltage</w:t>
            </w:r>
          </w:p>
        </w:tc>
        <w:tc>
          <w:tcPr>
            <w:tcW w:type="dxa" w:w="3041"/>
          </w:tcPr>
          <w:p>
            <w:r>
              <w:rPr>
                <w:sz w:val="20"/>
              </w:rPr>
              <w:t>V</w:t>
            </w:r>
          </w:p>
        </w:tc>
        <w:tc>
          <w:tcPr>
            <w:tcW w:type="dxa" w:w="3041"/>
          </w:tcPr>
          <w:p>
            <w:r>
              <w:rPr>
                <w:sz w:val="20"/>
              </w:rPr>
              <w:t>Minute-averaged supply voltage</w:t>
            </w:r>
          </w:p>
        </w:tc>
      </w:tr>
      <w:tr>
        <w:tc>
          <w:tcPr>
            <w:tcW w:type="dxa" w:w="3041"/>
          </w:tcPr>
          <w:p>
            <w:r>
              <w:rPr>
                <w:sz w:val="20"/>
              </w:rPr>
              <w:t>Global_intensity</w:t>
            </w:r>
          </w:p>
        </w:tc>
        <w:tc>
          <w:tcPr>
            <w:tcW w:type="dxa" w:w="3041"/>
          </w:tcPr>
          <w:p>
            <w:r>
              <w:rPr>
                <w:sz w:val="20"/>
              </w:rPr>
              <w:t>A</w:t>
            </w:r>
          </w:p>
        </w:tc>
        <w:tc>
          <w:tcPr>
            <w:tcW w:type="dxa" w:w="3041"/>
          </w:tcPr>
          <w:p>
            <w:r>
              <w:rPr>
                <w:sz w:val="20"/>
              </w:rPr>
              <w:t>Total current intensity</w:t>
            </w:r>
          </w:p>
        </w:tc>
      </w:tr>
      <w:tr>
        <w:tc>
          <w:tcPr>
            <w:tcW w:type="dxa" w:w="3041"/>
          </w:tcPr>
          <w:p>
            <w:r>
              <w:rPr>
                <w:sz w:val="20"/>
              </w:rPr>
              <w:t>Sub_metering_1</w:t>
            </w:r>
          </w:p>
        </w:tc>
        <w:tc>
          <w:tcPr>
            <w:tcW w:type="dxa" w:w="3041"/>
          </w:tcPr>
          <w:p>
            <w:r>
              <w:rPr>
                <w:sz w:val="20"/>
              </w:rPr>
              <w:t>Wh</w:t>
            </w:r>
          </w:p>
        </w:tc>
        <w:tc>
          <w:tcPr>
            <w:tcW w:type="dxa" w:w="3041"/>
          </w:tcPr>
          <w:p>
            <w:r>
              <w:rPr>
                <w:sz w:val="20"/>
              </w:rPr>
              <w:t>Kitchen appliances</w:t>
            </w:r>
          </w:p>
        </w:tc>
      </w:tr>
      <w:tr>
        <w:tc>
          <w:tcPr>
            <w:tcW w:type="dxa" w:w="3041"/>
          </w:tcPr>
          <w:p>
            <w:r>
              <w:rPr>
                <w:sz w:val="20"/>
              </w:rPr>
              <w:t>Sub_metering_2</w:t>
            </w:r>
          </w:p>
        </w:tc>
        <w:tc>
          <w:tcPr>
            <w:tcW w:type="dxa" w:w="3041"/>
          </w:tcPr>
          <w:p>
            <w:r>
              <w:rPr>
                <w:sz w:val="20"/>
              </w:rPr>
              <w:t>Wh</w:t>
            </w:r>
          </w:p>
        </w:tc>
        <w:tc>
          <w:tcPr>
            <w:tcW w:type="dxa" w:w="3041"/>
          </w:tcPr>
          <w:p>
            <w:r>
              <w:rPr>
                <w:sz w:val="20"/>
              </w:rPr>
              <w:t>Laundry appliances</w:t>
            </w:r>
          </w:p>
        </w:tc>
      </w:tr>
      <w:tr>
        <w:tc>
          <w:tcPr>
            <w:tcW w:type="dxa" w:w="3041"/>
          </w:tcPr>
          <w:p>
            <w:r>
              <w:rPr>
                <w:sz w:val="20"/>
              </w:rPr>
              <w:t>Sub_metering_3</w:t>
            </w:r>
          </w:p>
        </w:tc>
        <w:tc>
          <w:tcPr>
            <w:tcW w:type="dxa" w:w="3041"/>
          </w:tcPr>
          <w:p>
            <w:r>
              <w:rPr>
                <w:sz w:val="20"/>
              </w:rPr>
              <w:t>Wh</w:t>
            </w:r>
          </w:p>
        </w:tc>
        <w:tc>
          <w:tcPr>
            <w:tcW w:type="dxa" w:w="3041"/>
          </w:tcPr>
          <w:p>
            <w:r>
              <w:rPr>
                <w:sz w:val="20"/>
              </w:rPr>
              <w:t>Water heater and air conditioning</w:t>
            </w:r>
          </w:p>
        </w:tc>
      </w:tr>
    </w:tbl>
    <w:p/>
    <w:p>
      <w:pPr>
        <w:pStyle w:val="Heading2"/>
      </w:pPr>
      <w:r>
        <w:t>3.3 Data Quality Issues</w:t>
      </w:r>
    </w:p>
    <w:p>
      <w:pPr>
        <w:pStyle w:val="ListBullet"/>
        <w:spacing w:after="80"/>
        <w:ind w:left="360"/>
      </w:pPr>
      <w:r>
        <w:t>Missing values: approximately 0.39% of readings per numeric column, encoded as '?' in the raw file.</w:t>
      </w:r>
    </w:p>
    <w:p>
      <w:pPr>
        <w:pStyle w:val="ListBullet"/>
        <w:spacing w:after="80"/>
        <w:ind w:left="360"/>
      </w:pPr>
      <w:r>
        <w:t>Date and time are stored as separate string columns and must be combined.</w:t>
      </w:r>
    </w:p>
    <w:p>
      <w:pPr>
        <w:pStyle w:val="ListBullet"/>
        <w:spacing w:after="80"/>
        <w:ind w:left="360"/>
      </w:pPr>
      <w:r>
        <w:t>No weather, temperature, occupancy, or tariff data is included.</w:t>
      </w:r>
    </w:p>
    <w:p>
      <w:pPr>
        <w:pStyle w:val="ListBullet"/>
        <w:spacing w:after="80"/>
        <w:ind w:left="360"/>
      </w:pPr>
      <w:r>
        <w:t>Single-household limitation: behavior patterns reflect one household and cannot be directly generalized.</w:t>
      </w:r>
    </w:p>
    <w:p>
      <w:pPr>
        <w:pStyle w:val="Heading2"/>
      </w:pPr>
      <w:r>
        <w:t>3.4 Initial Data Exploration</w:t>
      </w:r>
    </w:p>
    <w:p>
      <w:pPr>
        <w:spacing w:after="120"/>
      </w:pPr>
      <w:r>
        <w:rPr>
          <w:b w:val="0"/>
          <w:i w:val="0"/>
          <w:sz w:val="22"/>
        </w:rPr>
        <w:t>An initial sample of 5,000 rows was plotted to confirm the data behaves as an ordered time series. Global active power shows regular daily cycles with higher consumption in evening hours. Missing values are not clustered at specific time periods, supporting time-based interpolation.</w:t>
      </w:r>
    </w:p>
    <w:p>
      <w:pPr>
        <w:spacing w:after="160"/>
      </w:pPr>
      <w:r>
        <w:rPr>
          <w:b/>
          <w:color w:val="1F69C0"/>
          <w:sz w:val="20"/>
        </w:rPr>
        <w:t>[Screenshot: Overview tab — Consumption time-series chart (full date range)]</w:t>
      </w:r>
    </w:p>
    <w:p>
      <w:r>
        <w:br w:type="page"/>
      </w:r>
    </w:p>
    <w:p>
      <w:pPr>
        <w:pStyle w:val="Heading1"/>
      </w:pPr>
      <w:r>
        <w:t>4. Data Preparation</w:t>
      </w:r>
    </w:p>
    <w:p>
      <w:pPr>
        <w:pStyle w:val="Heading2"/>
      </w:pPr>
      <w:r>
        <w:t>4.1 Preparation Pipeline</w:t>
      </w:r>
    </w:p>
    <w:p>
      <w:pPr>
        <w:spacing w:after="120"/>
      </w:pPr>
      <w:r>
        <w:rPr>
          <w:b w:val="0"/>
          <w:i w:val="0"/>
          <w:sz w:val="22"/>
        </w:rPr>
        <w:t>The raw minute-level data is transformed into a clean hourly dataset through a systematic pipeline implemented in notebook 03_Data_Preparation.ipynb. Each step is described below.</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sz w:val="20"/>
              </w:rPr>
              <w:t>Step</w:t>
            </w:r>
          </w:p>
        </w:tc>
        <w:tc>
          <w:tcPr>
            <w:tcW w:type="dxa" w:w="3041"/>
          </w:tcPr>
          <w:p>
            <w:pPr>
              <w:jc w:val="center"/>
            </w:pPr>
            <w:r>
              <w:rPr>
                <w:b/>
                <w:sz w:val="20"/>
              </w:rPr>
              <w:t>Action</w:t>
            </w:r>
          </w:p>
        </w:tc>
        <w:tc>
          <w:tcPr>
            <w:tcW w:type="dxa" w:w="3041"/>
          </w:tcPr>
          <w:p>
            <w:pPr>
              <w:jc w:val="center"/>
            </w:pPr>
            <w:r>
              <w:rPr>
                <w:b/>
                <w:sz w:val="20"/>
              </w:rPr>
              <w:t>Outcome</w:t>
            </w:r>
          </w:p>
        </w:tc>
      </w:tr>
      <w:tr>
        <w:tc>
          <w:tcPr>
            <w:tcW w:type="dxa" w:w="3041"/>
          </w:tcPr>
          <w:p>
            <w:r>
              <w:rPr>
                <w:sz w:val="20"/>
              </w:rPr>
              <w:t>1</w:t>
            </w:r>
          </w:p>
        </w:tc>
        <w:tc>
          <w:tcPr>
            <w:tcW w:type="dxa" w:w="3041"/>
          </w:tcPr>
          <w:p>
            <w:r>
              <w:rPr>
                <w:sz w:val="20"/>
              </w:rPr>
              <w:t>Column standardization</w:t>
            </w:r>
          </w:p>
        </w:tc>
        <w:tc>
          <w:tcPr>
            <w:tcW w:type="dxa" w:w="3041"/>
          </w:tcPr>
          <w:p>
            <w:r>
              <w:rPr>
                <w:sz w:val="20"/>
              </w:rPr>
              <w:t>All column names converted to lowercase snake_case</w:t>
            </w:r>
          </w:p>
        </w:tc>
      </w:tr>
      <w:tr>
        <w:tc>
          <w:tcPr>
            <w:tcW w:type="dxa" w:w="3041"/>
          </w:tcPr>
          <w:p>
            <w:r>
              <w:rPr>
                <w:sz w:val="20"/>
              </w:rPr>
              <w:t>2</w:t>
            </w:r>
          </w:p>
        </w:tc>
        <w:tc>
          <w:tcPr>
            <w:tcW w:type="dxa" w:w="3041"/>
          </w:tcPr>
          <w:p>
            <w:r>
              <w:rPr>
                <w:sz w:val="20"/>
              </w:rPr>
              <w:t>Datetime construction</w:t>
            </w:r>
          </w:p>
        </w:tc>
        <w:tc>
          <w:tcPr>
            <w:tcW w:type="dxa" w:w="3041"/>
          </w:tcPr>
          <w:p>
            <w:r>
              <w:rPr>
                <w:sz w:val="20"/>
              </w:rPr>
              <w:t>Date + Time columns merged into a single datetime index</w:t>
            </w:r>
          </w:p>
        </w:tc>
      </w:tr>
      <w:tr>
        <w:tc>
          <w:tcPr>
            <w:tcW w:type="dxa" w:w="3041"/>
          </w:tcPr>
          <w:p>
            <w:r>
              <w:rPr>
                <w:sz w:val="20"/>
              </w:rPr>
              <w:t>3</w:t>
            </w:r>
          </w:p>
        </w:tc>
        <w:tc>
          <w:tcPr>
            <w:tcW w:type="dxa" w:w="3041"/>
          </w:tcPr>
          <w:p>
            <w:r>
              <w:rPr>
                <w:sz w:val="20"/>
              </w:rPr>
              <w:t>Numeric type conversion</w:t>
            </w:r>
          </w:p>
        </w:tc>
        <w:tc>
          <w:tcPr>
            <w:tcW w:type="dxa" w:w="3041"/>
          </w:tcPr>
          <w:p>
            <w:r>
              <w:rPr>
                <w:sz w:val="20"/>
              </w:rPr>
              <w:t>Power columns cast to float; '?' treated as NaN</w:t>
            </w:r>
          </w:p>
        </w:tc>
      </w:tr>
      <w:tr>
        <w:tc>
          <w:tcPr>
            <w:tcW w:type="dxa" w:w="3041"/>
          </w:tcPr>
          <w:p>
            <w:r>
              <w:rPr>
                <w:sz w:val="20"/>
              </w:rPr>
              <w:t>4</w:t>
            </w:r>
          </w:p>
        </w:tc>
        <w:tc>
          <w:tcPr>
            <w:tcW w:type="dxa" w:w="3041"/>
          </w:tcPr>
          <w:p>
            <w:r>
              <w:rPr>
                <w:sz w:val="20"/>
              </w:rPr>
              <w:t>Duplicate removal</w:t>
            </w:r>
          </w:p>
        </w:tc>
        <w:tc>
          <w:tcPr>
            <w:tcW w:type="dxa" w:w="3041"/>
          </w:tcPr>
          <w:p>
            <w:r>
              <w:rPr>
                <w:sz w:val="20"/>
              </w:rPr>
              <w:t>Duplicate timestamps dropped</w:t>
            </w:r>
          </w:p>
        </w:tc>
      </w:tr>
      <w:tr>
        <w:tc>
          <w:tcPr>
            <w:tcW w:type="dxa" w:w="3041"/>
          </w:tcPr>
          <w:p>
            <w:r>
              <w:rPr>
                <w:sz w:val="20"/>
              </w:rPr>
              <w:t>5</w:t>
            </w:r>
          </w:p>
        </w:tc>
        <w:tc>
          <w:tcPr>
            <w:tcW w:type="dxa" w:w="3041"/>
          </w:tcPr>
          <w:p>
            <w:r>
              <w:rPr>
                <w:sz w:val="20"/>
              </w:rPr>
              <w:t>Missing value handling</w:t>
            </w:r>
          </w:p>
        </w:tc>
        <w:tc>
          <w:tcPr>
            <w:tcW w:type="dxa" w:w="3041"/>
          </w:tcPr>
          <w:p>
            <w:r>
              <w:rPr>
                <w:sz w:val="20"/>
              </w:rPr>
              <w:t>Time-based interpolation; remaining gaps filled forward/backward</w:t>
            </w:r>
          </w:p>
        </w:tc>
      </w:tr>
      <w:tr>
        <w:tc>
          <w:tcPr>
            <w:tcW w:type="dxa" w:w="3041"/>
          </w:tcPr>
          <w:p>
            <w:r>
              <w:rPr>
                <w:sz w:val="20"/>
              </w:rPr>
              <w:t>6</w:t>
            </w:r>
          </w:p>
        </w:tc>
        <w:tc>
          <w:tcPr>
            <w:tcW w:type="dxa" w:w="3041"/>
          </w:tcPr>
          <w:p>
            <w:r>
              <w:rPr>
                <w:sz w:val="20"/>
              </w:rPr>
              <w:t>Time feature engineering</w:t>
            </w:r>
          </w:p>
        </w:tc>
        <w:tc>
          <w:tcPr>
            <w:tcW w:type="dxa" w:w="3041"/>
          </w:tcPr>
          <w:p>
            <w:r>
              <w:rPr>
                <w:sz w:val="20"/>
              </w:rPr>
              <w:t>hour, day_of_week, month, year, is_weekend created</w:t>
            </w:r>
          </w:p>
        </w:tc>
      </w:tr>
      <w:tr>
        <w:tc>
          <w:tcPr>
            <w:tcW w:type="dxa" w:w="3041"/>
          </w:tcPr>
          <w:p>
            <w:r>
              <w:rPr>
                <w:sz w:val="20"/>
              </w:rPr>
              <w:t>7</w:t>
            </w:r>
          </w:p>
        </w:tc>
        <w:tc>
          <w:tcPr>
            <w:tcW w:type="dxa" w:w="3041"/>
          </w:tcPr>
          <w:p>
            <w:r>
              <w:rPr>
                <w:sz w:val="20"/>
              </w:rPr>
              <w:t>Energy feature engineering</w:t>
            </w:r>
          </w:p>
        </w:tc>
        <w:tc>
          <w:tcPr>
            <w:tcW w:type="dxa" w:w="3041"/>
          </w:tcPr>
          <w:p>
            <w:r>
              <w:rPr>
                <w:sz w:val="20"/>
              </w:rPr>
              <w:t>sub_metering_total_wh, active_energy_wh, unmetered_energy_wh created</w:t>
            </w:r>
          </w:p>
        </w:tc>
      </w:tr>
      <w:tr>
        <w:tc>
          <w:tcPr>
            <w:tcW w:type="dxa" w:w="3041"/>
          </w:tcPr>
          <w:p>
            <w:r>
              <w:rPr>
                <w:sz w:val="20"/>
              </w:rPr>
              <w:t>8</w:t>
            </w:r>
          </w:p>
        </w:tc>
        <w:tc>
          <w:tcPr>
            <w:tcW w:type="dxa" w:w="3041"/>
          </w:tcPr>
          <w:p>
            <w:r>
              <w:rPr>
                <w:sz w:val="20"/>
              </w:rPr>
              <w:t>Hourly resampling</w:t>
            </w:r>
          </w:p>
        </w:tc>
        <w:tc>
          <w:tcPr>
            <w:tcW w:type="dxa" w:w="3041"/>
          </w:tcPr>
          <w:p>
            <w:r>
              <w:rPr>
                <w:sz w:val="20"/>
              </w:rPr>
              <w:t>Minute data aggregated to 17,477 hourly rows</w:t>
            </w:r>
          </w:p>
        </w:tc>
      </w:tr>
      <w:tr>
        <w:tc>
          <w:tcPr>
            <w:tcW w:type="dxa" w:w="3041"/>
          </w:tcPr>
          <w:p>
            <w:r>
              <w:rPr>
                <w:sz w:val="20"/>
              </w:rPr>
              <w:t>9</w:t>
            </w:r>
          </w:p>
        </w:tc>
        <w:tc>
          <w:tcPr>
            <w:tcW w:type="dxa" w:w="3041"/>
          </w:tcPr>
          <w:p>
            <w:r>
              <w:rPr>
                <w:sz w:val="20"/>
              </w:rPr>
              <w:t>Classification label</w:t>
            </w:r>
          </w:p>
        </w:tc>
        <w:tc>
          <w:tcPr>
            <w:tcW w:type="dxa" w:w="3041"/>
          </w:tcPr>
          <w:p>
            <w:r>
              <w:rPr>
                <w:sz w:val="20"/>
              </w:rPr>
              <w:t>high_consumption = 1 if hourly power ≥ 75th percentile</w:t>
            </w:r>
          </w:p>
        </w:tc>
      </w:tr>
      <w:tr>
        <w:tc>
          <w:tcPr>
            <w:tcW w:type="dxa" w:w="3041"/>
          </w:tcPr>
          <w:p>
            <w:r>
              <w:rPr>
                <w:sz w:val="20"/>
              </w:rPr>
              <w:t>10</w:t>
            </w:r>
          </w:p>
        </w:tc>
        <w:tc>
          <w:tcPr>
            <w:tcW w:type="dxa" w:w="3041"/>
          </w:tcPr>
          <w:p>
            <w:r>
              <w:rPr>
                <w:sz w:val="20"/>
              </w:rPr>
              <w:t>Lag and rolling features</w:t>
            </w:r>
          </w:p>
        </w:tc>
        <w:tc>
          <w:tcPr>
            <w:tcW w:type="dxa" w:w="3041"/>
          </w:tcPr>
          <w:p>
            <w:r>
              <w:rPr>
                <w:sz w:val="20"/>
              </w:rPr>
              <w:t>lag_1, lag_2, lag_24, rolling_3_mean, rolling_24_mean created</w:t>
            </w:r>
          </w:p>
        </w:tc>
      </w:tr>
    </w:tbl>
    <w:p/>
    <w:p>
      <w:pPr>
        <w:pStyle w:val="Heading2"/>
      </w:pPr>
      <w:r>
        <w:t>4.2 Hourly Resampling Rationale</w:t>
      </w:r>
    </w:p>
    <w:p>
      <w:pPr>
        <w:spacing w:after="120"/>
      </w:pPr>
      <w:r>
        <w:rPr>
          <w:b w:val="0"/>
          <w:i w:val="0"/>
          <w:sz w:val="22"/>
        </w:rPr>
        <w:t>The raw dataset contains one reading per minute, producing over one million rows. Minute-level data is noisy, computationally expensive, and produces unclear visual patterns. Hourly aggregation (mean for power and voltage; sum for sub-metering energy) reduces noise, speeds up model training, and makes daily consumption cycles visually interpretable without losing behavioral meaning.</w:t>
      </w:r>
    </w:p>
    <w:p>
      <w:pPr>
        <w:pStyle w:val="Heading2"/>
      </w:pPr>
      <w:r>
        <w:t>4.3 Lag Feature Design</w:t>
      </w:r>
    </w:p>
    <w:p>
      <w:pPr>
        <w:spacing w:after="120"/>
      </w:pPr>
      <w:r>
        <w:rPr>
          <w:b w:val="0"/>
          <w:i w:val="0"/>
          <w:sz w:val="22"/>
        </w:rPr>
        <w:t>Regression models use lag and rolling features instead of direct power measurements to prevent target leakage. The model learns to predict the current hour's consumption from the previous 1-hour, 2-hour, and 24-hour readings, plus 3-hour and 24-hour rolling means. This design reflects realistic forecasting conditions where future values are not yet available.</w:t>
      </w:r>
    </w:p>
    <w:p>
      <w:pPr>
        <w:pStyle w:val="Heading2"/>
      </w:pPr>
      <w:r>
        <w:t>4.4 Prepared Dataset Summary</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sz w:val="20"/>
              </w:rPr>
              <w:t>Attribute</w:t>
            </w:r>
          </w:p>
        </w:tc>
        <w:tc>
          <w:tcPr>
            <w:tcW w:type="dxa" w:w="4561"/>
          </w:tcPr>
          <w:p>
            <w:pPr>
              <w:jc w:val="center"/>
            </w:pPr>
            <w:r>
              <w:rPr>
                <w:b/>
                <w:sz w:val="20"/>
              </w:rPr>
              <w:t>Value</w:t>
            </w:r>
          </w:p>
        </w:tc>
      </w:tr>
      <w:tr>
        <w:tc>
          <w:tcPr>
            <w:tcW w:type="dxa" w:w="4561"/>
          </w:tcPr>
          <w:p>
            <w:r>
              <w:rPr>
                <w:sz w:val="20"/>
              </w:rPr>
              <w:t>Rows (hourly)</w:t>
            </w:r>
          </w:p>
        </w:tc>
        <w:tc>
          <w:tcPr>
            <w:tcW w:type="dxa" w:w="4561"/>
          </w:tcPr>
          <w:p>
            <w:r>
              <w:rPr>
                <w:sz w:val="20"/>
              </w:rPr>
              <w:t>17,477</w:t>
            </w:r>
          </w:p>
        </w:tc>
      </w:tr>
      <w:tr>
        <w:tc>
          <w:tcPr>
            <w:tcW w:type="dxa" w:w="4561"/>
          </w:tcPr>
          <w:p>
            <w:r>
              <w:rPr>
                <w:sz w:val="20"/>
              </w:rPr>
              <w:t>Columns</w:t>
            </w:r>
          </w:p>
        </w:tc>
        <w:tc>
          <w:tcPr>
            <w:tcW w:type="dxa" w:w="4561"/>
          </w:tcPr>
          <w:p>
            <w:r>
              <w:rPr>
                <w:sz w:val="20"/>
              </w:rPr>
              <w:t>22</w:t>
            </w:r>
          </w:p>
        </w:tc>
      </w:tr>
      <w:tr>
        <w:tc>
          <w:tcPr>
            <w:tcW w:type="dxa" w:w="4561"/>
          </w:tcPr>
          <w:p>
            <w:r>
              <w:rPr>
                <w:sz w:val="20"/>
              </w:rPr>
              <w:t>Date range</w:t>
            </w:r>
          </w:p>
        </w:tc>
        <w:tc>
          <w:tcPr>
            <w:tcW w:type="dxa" w:w="4561"/>
          </w:tcPr>
          <w:p>
            <w:r>
              <w:rPr>
                <w:sz w:val="20"/>
              </w:rPr>
              <w:t>2006-12-16 17:00 to 2008-12-13 21:00</w:t>
            </w:r>
          </w:p>
        </w:tc>
      </w:tr>
      <w:tr>
        <w:tc>
          <w:tcPr>
            <w:tcW w:type="dxa" w:w="4561"/>
          </w:tcPr>
          <w:p>
            <w:r>
              <w:rPr>
                <w:sz w:val="20"/>
              </w:rPr>
              <w:t>Missing values</w:t>
            </w:r>
          </w:p>
        </w:tc>
        <w:tc>
          <w:tcPr>
            <w:tcW w:type="dxa" w:w="4561"/>
          </w:tcPr>
          <w:p>
            <w:r>
              <w:rPr>
                <w:sz w:val="20"/>
              </w:rPr>
              <w:t>0 (after interpolation)</w:t>
            </w:r>
          </w:p>
        </w:tc>
      </w:tr>
      <w:tr>
        <w:tc>
          <w:tcPr>
            <w:tcW w:type="dxa" w:w="4561"/>
          </w:tcPr>
          <w:p>
            <w:r>
              <w:rPr>
                <w:sz w:val="20"/>
              </w:rPr>
              <w:t>Average active power</w:t>
            </w:r>
          </w:p>
        </w:tc>
        <w:tc>
          <w:tcPr>
            <w:tcW w:type="dxa" w:w="4561"/>
          </w:tcPr>
          <w:p>
            <w:r>
              <w:rPr>
                <w:sz w:val="20"/>
              </w:rPr>
              <w:t>1.106 kW</w:t>
            </w:r>
          </w:p>
        </w:tc>
      </w:tr>
      <w:tr>
        <w:tc>
          <w:tcPr>
            <w:tcW w:type="dxa" w:w="4561"/>
          </w:tcPr>
          <w:p>
            <w:r>
              <w:rPr>
                <w:sz w:val="20"/>
              </w:rPr>
              <w:t>Peak active power</w:t>
            </w:r>
          </w:p>
        </w:tc>
        <w:tc>
          <w:tcPr>
            <w:tcW w:type="dxa" w:w="4561"/>
          </w:tcPr>
          <w:p>
            <w:r>
              <w:rPr>
                <w:sz w:val="20"/>
              </w:rPr>
              <w:t>6.560 kW</w:t>
            </w:r>
          </w:p>
        </w:tc>
      </w:tr>
      <w:tr>
        <w:tc>
          <w:tcPr>
            <w:tcW w:type="dxa" w:w="4561"/>
          </w:tcPr>
          <w:p>
            <w:r>
              <w:rPr>
                <w:sz w:val="20"/>
              </w:rPr>
              <w:t>High consumption share</w:t>
            </w:r>
          </w:p>
        </w:tc>
        <w:tc>
          <w:tcPr>
            <w:tcW w:type="dxa" w:w="4561"/>
          </w:tcPr>
          <w:p>
            <w:r>
              <w:rPr>
                <w:sz w:val="20"/>
              </w:rPr>
              <w:t>25.0% (top quartile threshold)</w:t>
            </w:r>
          </w:p>
        </w:tc>
      </w:tr>
    </w:tbl>
    <w:p/>
    <w:p>
      <w:r>
        <w:br w:type="page"/>
      </w:r>
    </w:p>
    <w:p>
      <w:pPr>
        <w:pStyle w:val="Heading1"/>
      </w:pPr>
      <w:r>
        <w:t>5. Modelling</w:t>
      </w:r>
    </w:p>
    <w:p>
      <w:pPr>
        <w:pStyle w:val="Heading2"/>
      </w:pPr>
      <w:r>
        <w:t>5.1 Clustering</w:t>
      </w:r>
    </w:p>
    <w:p>
      <w:pPr>
        <w:spacing w:after="120"/>
      </w:pPr>
      <w:r>
        <w:rPr>
          <w:b w:val="0"/>
          <w:i w:val="0"/>
          <w:sz w:val="22"/>
        </w:rPr>
        <w:t>Clustering groups similar hourly consumption periods without using predefined labels. Two algorithms are applied: K-Means and DBSCAN. All features are standardized with StandardScaler before clustering.</w:t>
      </w:r>
    </w:p>
    <w:p>
      <w:pPr>
        <w:pStyle w:val="ListBullet"/>
        <w:spacing w:after="80"/>
        <w:ind w:left="360"/>
      </w:pPr>
      <w:r>
        <w:t>Feature set: global_reactive_power, voltage, global_intensity, sub_metering_1/2/3, sub_metering_total_wh, unmetered_energy_wh, hour, day_of_week, month, is_weekend</w:t>
      </w:r>
    </w:p>
    <w:p>
      <w:pPr>
        <w:pStyle w:val="ListBullet"/>
        <w:spacing w:after="80"/>
        <w:ind w:left="360"/>
      </w:pPr>
      <w:r>
        <w:t>K-Means: tested for k = 2, 3, 4, 5; best k selected by silhouette score</w:t>
      </w:r>
    </w:p>
    <w:p>
      <w:pPr>
        <w:pStyle w:val="ListBullet"/>
        <w:spacing w:after="80"/>
        <w:ind w:left="360"/>
      </w:pPr>
      <w:r>
        <w:t>DBSCAN: eps=1.5, min_samples=20; identifies dense groups and noise points</w:t>
      </w:r>
    </w:p>
    <w:p>
      <w:pPr>
        <w:pStyle w:val="ListBullet"/>
        <w:spacing w:after="80"/>
        <w:ind w:left="360"/>
      </w:pPr>
      <w:r>
        <w:t>PCA projection: 2D PCA used to visualize cluster separation without axis correlation issues</w:t>
      </w:r>
    </w:p>
    <w:p>
      <w:pPr>
        <w:spacing w:after="120"/>
      </w:pPr>
      <w:r>
        <w:rPr>
          <w:b w:val="0"/>
          <w:i w:val="0"/>
          <w:sz w:val="22"/>
        </w:rPr>
        <w:t>K-Means with k=3 is used for the final cluster profile because it produces three interpretable behavioral segments: low weekday usage, low weekend usage, and high-activity hours.</w:t>
      </w:r>
    </w:p>
    <w:p>
      <w:pPr>
        <w:pStyle w:val="Heading2"/>
      </w:pPr>
      <w:r>
        <w:t>5.2 Regression</w:t>
      </w:r>
    </w:p>
    <w:p>
      <w:pPr>
        <w:spacing w:after="120"/>
      </w:pPr>
      <w:r>
        <w:rPr>
          <w:b w:val="0"/>
          <w:i w:val="0"/>
          <w:sz w:val="22"/>
        </w:rPr>
        <w:t>Regression predicts hourly global active power using only time and lag features. A chronological train/test split (80% train, 20% test, no shuffle) is used to simulate real forecasting conditions.</w:t>
      </w:r>
    </w:p>
    <w:p>
      <w:pPr>
        <w:pStyle w:val="ListBullet"/>
        <w:spacing w:after="80"/>
        <w:ind w:left="360"/>
      </w:pPr>
      <w:r>
        <w:t>Features: hour, day_of_week, month, is_weekend, lag_1, lag_2, lag_24, rolling_3_mean, rolling_24_mean</w:t>
      </w:r>
    </w:p>
    <w:p>
      <w:pPr>
        <w:pStyle w:val="ListBullet"/>
        <w:spacing w:after="80"/>
        <w:ind w:left="360"/>
      </w:pPr>
      <w:r>
        <w:t>Models: Linear Regression, Ridge Regression (alpha=1.0), Polynomial Ridge (degree=2, alpha=1.0)</w:t>
      </w:r>
    </w:p>
    <w:p>
      <w:pPr>
        <w:pStyle w:val="ListBullet"/>
        <w:spacing w:after="80"/>
        <w:ind w:left="360"/>
      </w:pPr>
      <w:r>
        <w:t>All models use StandardScaler inside a pipeline</w:t>
      </w:r>
    </w:p>
    <w:p>
      <w:pPr>
        <w:pStyle w:val="Heading2"/>
      </w:pPr>
      <w:r>
        <w:t>5.3 Classification</w:t>
      </w:r>
    </w:p>
    <w:p>
      <w:pPr>
        <w:spacing w:after="120"/>
      </w:pPr>
      <w:r>
        <w:rPr>
          <w:b w:val="0"/>
          <w:i w:val="0"/>
          <w:sz w:val="22"/>
        </w:rPr>
        <w:t>Classification labels each hour as high consumption (1) or normal consumption (0), where high consumption is defined as global active power at or above the 75th percentile. A stratified 80/20 split is used.</w:t>
      </w:r>
    </w:p>
    <w:p>
      <w:pPr>
        <w:pStyle w:val="ListBullet"/>
        <w:spacing w:after="80"/>
        <w:ind w:left="360"/>
      </w:pPr>
      <w:r>
        <w:t>Features: the full behavior feature set (same as clustering)</w:t>
      </w:r>
    </w:p>
    <w:p>
      <w:pPr>
        <w:pStyle w:val="ListBullet"/>
        <w:spacing w:after="80"/>
        <w:ind w:left="360"/>
      </w:pPr>
      <w:r>
        <w:t>Models: Logistic Regression (max_iter=1000), Random Forest (150 trees, max_depth=12)</w:t>
      </w:r>
    </w:p>
    <w:p>
      <w:pPr>
        <w:pStyle w:val="Heading2"/>
      </w:pPr>
      <w:r>
        <w:t>5.4 Anomaly Detection and PCA</w:t>
      </w:r>
    </w:p>
    <w:p>
      <w:pPr>
        <w:spacing w:after="120"/>
      </w:pPr>
      <w:r>
        <w:rPr>
          <w:b w:val="0"/>
          <w:i w:val="0"/>
          <w:sz w:val="22"/>
        </w:rPr>
        <w:t>Isolation Forest detects unusual consumption periods by isolating points that require fewer splits in random decision trees. A contamination parameter of 0.01 (1%) sets the expected anomaly budget. PCA separately summarizes how much variance is captured by the first three principal components.</w:t>
      </w:r>
    </w:p>
    <w:p>
      <w:pPr>
        <w:pStyle w:val="ListBullet"/>
        <w:spacing w:after="80"/>
        <w:ind w:left="360"/>
      </w:pPr>
      <w:r>
        <w:t>Sample: up to 50,000 rows for Isolation Forest</w:t>
      </w:r>
    </w:p>
    <w:p>
      <w:pPr>
        <w:pStyle w:val="ListBullet"/>
        <w:spacing w:after="80"/>
        <w:ind w:left="360"/>
      </w:pPr>
      <w:r>
        <w:t>Contamination: 0.01 (1% anomaly budget)</w:t>
      </w:r>
    </w:p>
    <w:p>
      <w:pPr>
        <w:pStyle w:val="ListBullet"/>
        <w:spacing w:after="80"/>
        <w:ind w:left="360"/>
      </w:pPr>
      <w:r>
        <w:t>n_estimators: 150</w:t>
      </w:r>
    </w:p>
    <w:p>
      <w:pPr>
        <w:pStyle w:val="ListBullet"/>
        <w:spacing w:after="80"/>
        <w:ind w:left="360"/>
      </w:pPr>
      <w:r>
        <w:t>Each point receives a binary anomaly label and a continuous anomaly score</w:t>
      </w:r>
    </w:p>
    <w:p>
      <w:r>
        <w:br w:type="page"/>
      </w:r>
    </w:p>
    <w:p>
      <w:pPr>
        <w:pStyle w:val="Heading1"/>
      </w:pPr>
      <w:r>
        <w:t>6. Evaluation</w:t>
      </w:r>
    </w:p>
    <w:p>
      <w:pPr>
        <w:pStyle w:val="Heading2"/>
      </w:pPr>
      <w:r>
        <w:t>6.1 Clustering Results</w:t>
      </w:r>
    </w:p>
    <w:p>
      <w:pPr>
        <w:spacing w:after="120"/>
      </w:pPr>
      <w:r>
        <w:rPr>
          <w:b w:val="0"/>
          <w:i w:val="0"/>
          <w:sz w:val="22"/>
        </w:rPr>
        <w:t>Silhouette score measures how well-separated the clusters are. A score of 1.0 is perfect; 0.0 means overlapping clusters. Scores in the 0.20–0.26 range are moderate, which is expected for household energy data because similar appliances are used at similar times across many days.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sz w:val="20"/>
              </w:rPr>
              <w:t>Algorithm</w:t>
            </w:r>
          </w:p>
        </w:tc>
        <w:tc>
          <w:tcPr>
            <w:tcW w:type="dxa" w:w="2280"/>
          </w:tcPr>
          <w:p>
            <w:pPr>
              <w:jc w:val="center"/>
            </w:pPr>
            <w:r>
              <w:rPr>
                <w:b/>
                <w:sz w:val="20"/>
              </w:rPr>
              <w:t>k / Clusters</w:t>
            </w:r>
          </w:p>
        </w:tc>
        <w:tc>
          <w:tcPr>
            <w:tcW w:type="dxa" w:w="2280"/>
          </w:tcPr>
          <w:p>
            <w:pPr>
              <w:jc w:val="center"/>
            </w:pPr>
            <w:r>
              <w:rPr>
                <w:b/>
                <w:sz w:val="20"/>
              </w:rPr>
              <w:t>Silhouette</w:t>
            </w:r>
          </w:p>
        </w:tc>
        <w:tc>
          <w:tcPr>
            <w:tcW w:type="dxa" w:w="2280"/>
          </w:tcPr>
          <w:p>
            <w:pPr>
              <w:jc w:val="center"/>
            </w:pPr>
            <w:r>
              <w:rPr>
                <w:b/>
                <w:sz w:val="20"/>
              </w:rPr>
              <w:t>Noise Points</w:t>
            </w:r>
          </w:p>
        </w:tc>
      </w:tr>
      <w:tr>
        <w:tc>
          <w:tcPr>
            <w:tcW w:type="dxa" w:w="2280"/>
          </w:tcPr>
          <w:p>
            <w:r>
              <w:rPr>
                <w:sz w:val="20"/>
              </w:rPr>
              <w:t>K-Means</w:t>
            </w:r>
          </w:p>
        </w:tc>
        <w:tc>
          <w:tcPr>
            <w:tcW w:type="dxa" w:w="2280"/>
          </w:tcPr>
          <w:p>
            <w:r>
              <w:rPr>
                <w:sz w:val="20"/>
              </w:rPr>
              <w:t>2</w:t>
            </w:r>
          </w:p>
        </w:tc>
        <w:tc>
          <w:tcPr>
            <w:tcW w:type="dxa" w:w="2280"/>
          </w:tcPr>
          <w:p>
            <w:r>
              <w:rPr>
                <w:sz w:val="20"/>
              </w:rPr>
              <w:t>0.2601</w:t>
            </w:r>
          </w:p>
        </w:tc>
        <w:tc>
          <w:tcPr>
            <w:tcW w:type="dxa" w:w="2280"/>
          </w:tcPr>
          <w:p>
            <w:r>
              <w:rPr>
                <w:sz w:val="20"/>
              </w:rPr>
              <w:t>—</w:t>
            </w:r>
          </w:p>
        </w:tc>
      </w:tr>
      <w:tr>
        <w:tc>
          <w:tcPr>
            <w:tcW w:type="dxa" w:w="2280"/>
          </w:tcPr>
          <w:p>
            <w:r>
              <w:rPr>
                <w:sz w:val="20"/>
              </w:rPr>
              <w:t>K-Means</w:t>
            </w:r>
          </w:p>
        </w:tc>
        <w:tc>
          <w:tcPr>
            <w:tcW w:type="dxa" w:w="2280"/>
          </w:tcPr>
          <w:p>
            <w:r>
              <w:rPr>
                <w:sz w:val="20"/>
              </w:rPr>
              <w:t>3</w:t>
            </w:r>
          </w:p>
        </w:tc>
        <w:tc>
          <w:tcPr>
            <w:tcW w:type="dxa" w:w="2280"/>
          </w:tcPr>
          <w:p>
            <w:r>
              <w:rPr>
                <w:sz w:val="20"/>
              </w:rPr>
              <w:t>0.2036</w:t>
            </w:r>
          </w:p>
        </w:tc>
        <w:tc>
          <w:tcPr>
            <w:tcW w:type="dxa" w:w="2280"/>
          </w:tcPr>
          <w:p>
            <w:r>
              <w:rPr>
                <w:sz w:val="20"/>
              </w:rPr>
              <w:t>—</w:t>
            </w:r>
          </w:p>
        </w:tc>
      </w:tr>
      <w:tr>
        <w:tc>
          <w:tcPr>
            <w:tcW w:type="dxa" w:w="2280"/>
          </w:tcPr>
          <w:p>
            <w:r>
              <w:rPr>
                <w:sz w:val="20"/>
              </w:rPr>
              <w:t>K-Means</w:t>
            </w:r>
          </w:p>
        </w:tc>
        <w:tc>
          <w:tcPr>
            <w:tcW w:type="dxa" w:w="2280"/>
          </w:tcPr>
          <w:p>
            <w:r>
              <w:rPr>
                <w:sz w:val="20"/>
              </w:rPr>
              <w:t>4</w:t>
            </w:r>
          </w:p>
        </w:tc>
        <w:tc>
          <w:tcPr>
            <w:tcW w:type="dxa" w:w="2280"/>
          </w:tcPr>
          <w:p>
            <w:r>
              <w:rPr>
                <w:sz w:val="20"/>
              </w:rPr>
              <w:t>0.2163</w:t>
            </w:r>
          </w:p>
        </w:tc>
        <w:tc>
          <w:tcPr>
            <w:tcW w:type="dxa" w:w="2280"/>
          </w:tcPr>
          <w:p>
            <w:r>
              <w:rPr>
                <w:sz w:val="20"/>
              </w:rPr>
              <w:t>—</w:t>
            </w:r>
          </w:p>
        </w:tc>
      </w:tr>
      <w:tr>
        <w:tc>
          <w:tcPr>
            <w:tcW w:type="dxa" w:w="2280"/>
          </w:tcPr>
          <w:p>
            <w:r>
              <w:rPr>
                <w:sz w:val="20"/>
              </w:rPr>
              <w:t>K-Means</w:t>
            </w:r>
          </w:p>
        </w:tc>
        <w:tc>
          <w:tcPr>
            <w:tcW w:type="dxa" w:w="2280"/>
          </w:tcPr>
          <w:p>
            <w:r>
              <w:rPr>
                <w:sz w:val="20"/>
              </w:rPr>
              <w:t>5</w:t>
            </w:r>
          </w:p>
        </w:tc>
        <w:tc>
          <w:tcPr>
            <w:tcW w:type="dxa" w:w="2280"/>
          </w:tcPr>
          <w:p>
            <w:r>
              <w:rPr>
                <w:sz w:val="20"/>
              </w:rPr>
              <w:t>0.2263</w:t>
            </w:r>
          </w:p>
        </w:tc>
        <w:tc>
          <w:tcPr>
            <w:tcW w:type="dxa" w:w="2280"/>
          </w:tcPr>
          <w:p>
            <w:r>
              <w:rPr>
                <w:sz w:val="20"/>
              </w:rPr>
              <w:t>—</w:t>
            </w:r>
          </w:p>
        </w:tc>
      </w:tr>
      <w:tr>
        <w:tc>
          <w:tcPr>
            <w:tcW w:type="dxa" w:w="2280"/>
          </w:tcPr>
          <w:p>
            <w:r>
              <w:rPr>
                <w:sz w:val="20"/>
              </w:rPr>
              <w:t>DBSCAN</w:t>
            </w:r>
          </w:p>
        </w:tc>
        <w:tc>
          <w:tcPr>
            <w:tcW w:type="dxa" w:w="2280"/>
          </w:tcPr>
          <w:p>
            <w:r>
              <w:rPr>
                <w:sz w:val="20"/>
              </w:rPr>
              <w:t>6</w:t>
            </w:r>
          </w:p>
        </w:tc>
        <w:tc>
          <w:tcPr>
            <w:tcW w:type="dxa" w:w="2280"/>
          </w:tcPr>
          <w:p>
            <w:r>
              <w:rPr>
                <w:sz w:val="20"/>
              </w:rPr>
              <w:t>0.1183</w:t>
            </w:r>
          </w:p>
        </w:tc>
        <w:tc>
          <w:tcPr>
            <w:tcW w:type="dxa" w:w="2280"/>
          </w:tcPr>
          <w:p>
            <w:r>
              <w:rPr>
                <w:sz w:val="20"/>
              </w:rPr>
              <w:t>2,334</w:t>
            </w:r>
          </w:p>
        </w:tc>
      </w:tr>
    </w:tbl>
    <w:p/>
    <w:p>
      <w:pPr>
        <w:spacing w:after="120"/>
      </w:pPr>
      <w:r>
        <w:rPr>
          <w:i/>
          <w:color w:val="555555"/>
          <w:sz w:val="20"/>
        </w:rPr>
        <w:t>Note: K-Means k=2 gives the best silhouette. K=3 is used for interpretable profiling (3 behavioral segments).</w:t>
      </w:r>
    </w:p>
    <w:p>
      <w:pPr>
        <w:spacing w:after="120"/>
      </w:pPr>
      <w:r>
        <w:rPr>
          <w:b w:val="0"/>
          <w:i w:val="0"/>
          <w:sz w:val="22"/>
        </w:rPr>
        <w:t>K-Means k=3 Cluster Profile (full dataset, 17,477 rows):</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pPr>
              <w:jc w:val="center"/>
            </w:pPr>
            <w:r>
              <w:rPr>
                <w:b/>
                <w:sz w:val="20"/>
              </w:rPr>
              <w:t>Cluster</w:t>
            </w:r>
          </w:p>
        </w:tc>
        <w:tc>
          <w:tcPr>
            <w:tcW w:type="dxa" w:w="1140"/>
          </w:tcPr>
          <w:p>
            <w:pPr>
              <w:jc w:val="center"/>
            </w:pPr>
            <w:r>
              <w:rPr>
                <w:b/>
                <w:sz w:val="20"/>
              </w:rPr>
              <w:t>Records</w:t>
            </w:r>
          </w:p>
        </w:tc>
        <w:tc>
          <w:tcPr>
            <w:tcW w:type="dxa" w:w="1140"/>
          </w:tcPr>
          <w:p>
            <w:pPr>
              <w:jc w:val="center"/>
            </w:pPr>
            <w:r>
              <w:rPr>
                <w:b/>
                <w:sz w:val="20"/>
              </w:rPr>
              <w:t>Avg Power (kW)</w:t>
            </w:r>
          </w:p>
        </w:tc>
        <w:tc>
          <w:tcPr>
            <w:tcW w:type="dxa" w:w="1140"/>
          </w:tcPr>
          <w:p>
            <w:pPr>
              <w:jc w:val="center"/>
            </w:pPr>
            <w:r>
              <w:rPr>
                <w:b/>
                <w:sz w:val="20"/>
              </w:rPr>
              <w:t>Avg Intensity (A)</w:t>
            </w:r>
          </w:p>
        </w:tc>
        <w:tc>
          <w:tcPr>
            <w:tcW w:type="dxa" w:w="1140"/>
          </w:tcPr>
          <w:p>
            <w:pPr>
              <w:jc w:val="center"/>
            </w:pPr>
            <w:r>
              <w:rPr>
                <w:b/>
                <w:sz w:val="20"/>
              </w:rPr>
              <w:t>Sub-metering (Wh)</w:t>
            </w:r>
          </w:p>
        </w:tc>
        <w:tc>
          <w:tcPr>
            <w:tcW w:type="dxa" w:w="1140"/>
          </w:tcPr>
          <w:p>
            <w:pPr>
              <w:jc w:val="center"/>
            </w:pPr>
            <w:r>
              <w:rPr>
                <w:b/>
                <w:sz w:val="20"/>
              </w:rPr>
              <w:t>Peak Hour</w:t>
            </w:r>
          </w:p>
        </w:tc>
        <w:tc>
          <w:tcPr>
            <w:tcW w:type="dxa" w:w="1140"/>
          </w:tcPr>
          <w:p>
            <w:pPr>
              <w:jc w:val="center"/>
            </w:pPr>
            <w:r>
              <w:rPr>
                <w:b/>
                <w:sz w:val="20"/>
              </w:rPr>
              <w:t>Weekend Share</w:t>
            </w:r>
          </w:p>
        </w:tc>
        <w:tc>
          <w:tcPr>
            <w:tcW w:type="dxa" w:w="1140"/>
          </w:tcPr>
          <w:p>
            <w:pPr>
              <w:jc w:val="center"/>
            </w:pPr>
            <w:r>
              <w:rPr>
                <w:b/>
                <w:sz w:val="20"/>
              </w:rPr>
              <w:t>Interpretation</w:t>
            </w:r>
          </w:p>
        </w:tc>
      </w:tr>
      <w:tr>
        <w:tc>
          <w:tcPr>
            <w:tcW w:type="dxa" w:w="1140"/>
          </w:tcPr>
          <w:p>
            <w:r>
              <w:rPr>
                <w:sz w:val="20"/>
              </w:rPr>
              <w:t>0</w:t>
            </w:r>
          </w:p>
        </w:tc>
        <w:tc>
          <w:tcPr>
            <w:tcW w:type="dxa" w:w="1140"/>
          </w:tcPr>
          <w:p>
            <w:r>
              <w:rPr>
                <w:sz w:val="20"/>
              </w:rPr>
              <w:t>10,065</w:t>
            </w:r>
          </w:p>
        </w:tc>
        <w:tc>
          <w:tcPr>
            <w:tcW w:type="dxa" w:w="1140"/>
          </w:tcPr>
          <w:p>
            <w:r>
              <w:rPr>
                <w:sz w:val="20"/>
              </w:rPr>
              <w:t>0.698</w:t>
            </w:r>
          </w:p>
        </w:tc>
        <w:tc>
          <w:tcPr>
            <w:tcW w:type="dxa" w:w="1140"/>
          </w:tcPr>
          <w:p>
            <w:r>
              <w:rPr>
                <w:sz w:val="20"/>
              </w:rPr>
              <w:t>2.98</w:t>
            </w:r>
          </w:p>
        </w:tc>
        <w:tc>
          <w:tcPr>
            <w:tcW w:type="dxa" w:w="1140"/>
          </w:tcPr>
          <w:p>
            <w:r>
              <w:rPr>
                <w:sz w:val="20"/>
              </w:rPr>
              <w:t>280</w:t>
            </w:r>
          </w:p>
        </w:tc>
        <w:tc>
          <w:tcPr>
            <w:tcW w:type="dxa" w:w="1140"/>
          </w:tcPr>
          <w:p>
            <w:r>
              <w:rPr>
                <w:sz w:val="20"/>
              </w:rPr>
              <w:t>~10:38</w:t>
            </w:r>
          </w:p>
        </w:tc>
        <w:tc>
          <w:tcPr>
            <w:tcW w:type="dxa" w:w="1140"/>
          </w:tcPr>
          <w:p>
            <w:r>
              <w:rPr>
                <w:sz w:val="20"/>
              </w:rPr>
              <w:t>0%</w:t>
            </w:r>
          </w:p>
        </w:tc>
        <w:tc>
          <w:tcPr>
            <w:tcW w:type="dxa" w:w="1140"/>
          </w:tcPr>
          <w:p>
            <w:r>
              <w:rPr>
                <w:sz w:val="20"/>
              </w:rPr>
              <w:t>Low-use weekday hours</w:t>
            </w:r>
          </w:p>
        </w:tc>
      </w:tr>
      <w:tr>
        <w:tc>
          <w:tcPr>
            <w:tcW w:type="dxa" w:w="1140"/>
          </w:tcPr>
          <w:p>
            <w:r>
              <w:rPr>
                <w:sz w:val="20"/>
              </w:rPr>
              <w:t>1</w:t>
            </w:r>
          </w:p>
        </w:tc>
        <w:tc>
          <w:tcPr>
            <w:tcW w:type="dxa" w:w="1140"/>
          </w:tcPr>
          <w:p>
            <w:r>
              <w:rPr>
                <w:sz w:val="20"/>
              </w:rPr>
              <w:t>3,821</w:t>
            </w:r>
          </w:p>
        </w:tc>
        <w:tc>
          <w:tcPr>
            <w:tcW w:type="dxa" w:w="1140"/>
          </w:tcPr>
          <w:p>
            <w:r>
              <w:rPr>
                <w:sz w:val="20"/>
              </w:rPr>
              <w:t>0.783</w:t>
            </w:r>
          </w:p>
        </w:tc>
        <w:tc>
          <w:tcPr>
            <w:tcW w:type="dxa" w:w="1140"/>
          </w:tcPr>
          <w:p>
            <w:r>
              <w:rPr>
                <w:sz w:val="20"/>
              </w:rPr>
              <w:t>3.35</w:t>
            </w:r>
          </w:p>
        </w:tc>
        <w:tc>
          <w:tcPr>
            <w:tcW w:type="dxa" w:w="1140"/>
          </w:tcPr>
          <w:p>
            <w:r>
              <w:rPr>
                <w:sz w:val="20"/>
              </w:rPr>
              <w:t>287</w:t>
            </w:r>
          </w:p>
        </w:tc>
        <w:tc>
          <w:tcPr>
            <w:tcW w:type="dxa" w:w="1140"/>
          </w:tcPr>
          <w:p>
            <w:r>
              <w:rPr>
                <w:sz w:val="20"/>
              </w:rPr>
              <w:t>~10:12</w:t>
            </w:r>
          </w:p>
        </w:tc>
        <w:tc>
          <w:tcPr>
            <w:tcW w:type="dxa" w:w="1140"/>
          </w:tcPr>
          <w:p>
            <w:r>
              <w:rPr>
                <w:sz w:val="20"/>
              </w:rPr>
              <w:t>100%</w:t>
            </w:r>
          </w:p>
        </w:tc>
        <w:tc>
          <w:tcPr>
            <w:tcW w:type="dxa" w:w="1140"/>
          </w:tcPr>
          <w:p>
            <w:r>
              <w:rPr>
                <w:sz w:val="20"/>
              </w:rPr>
              <w:t>Low-use weekend hours</w:t>
            </w:r>
          </w:p>
        </w:tc>
      </w:tr>
      <w:tr>
        <w:tc>
          <w:tcPr>
            <w:tcW w:type="dxa" w:w="1140"/>
          </w:tcPr>
          <w:p>
            <w:r>
              <w:rPr>
                <w:sz w:val="20"/>
              </w:rPr>
              <w:t>2</w:t>
            </w:r>
          </w:p>
        </w:tc>
        <w:tc>
          <w:tcPr>
            <w:tcW w:type="dxa" w:w="1140"/>
          </w:tcPr>
          <w:p>
            <w:r>
              <w:rPr>
                <w:sz w:val="20"/>
              </w:rPr>
              <w:t>3,591</w:t>
            </w:r>
          </w:p>
        </w:tc>
        <w:tc>
          <w:tcPr>
            <w:tcW w:type="dxa" w:w="1140"/>
          </w:tcPr>
          <w:p>
            <w:r>
              <w:rPr>
                <w:sz w:val="20"/>
              </w:rPr>
              <w:t>2.593</w:t>
            </w:r>
          </w:p>
        </w:tc>
        <w:tc>
          <w:tcPr>
            <w:tcW w:type="dxa" w:w="1140"/>
          </w:tcPr>
          <w:p>
            <w:r>
              <w:rPr>
                <w:sz w:val="20"/>
              </w:rPr>
              <w:t>10.98</w:t>
            </w:r>
          </w:p>
        </w:tc>
        <w:tc>
          <w:tcPr>
            <w:tcW w:type="dxa" w:w="1140"/>
          </w:tcPr>
          <w:p>
            <w:r>
              <w:rPr>
                <w:sz w:val="20"/>
              </w:rPr>
              <w:t>1,409</w:t>
            </w:r>
          </w:p>
        </w:tc>
        <w:tc>
          <w:tcPr>
            <w:tcW w:type="dxa" w:w="1140"/>
          </w:tcPr>
          <w:p>
            <w:r>
              <w:rPr>
                <w:sz w:val="20"/>
              </w:rPr>
              <w:t>~15:20</w:t>
            </w:r>
          </w:p>
        </w:tc>
        <w:tc>
          <w:tcPr>
            <w:tcW w:type="dxa" w:w="1140"/>
          </w:tcPr>
          <w:p>
            <w:r>
              <w:rPr>
                <w:sz w:val="20"/>
              </w:rPr>
              <w:t>33%</w:t>
            </w:r>
          </w:p>
        </w:tc>
        <w:tc>
          <w:tcPr>
            <w:tcW w:type="dxa" w:w="1140"/>
          </w:tcPr>
          <w:p>
            <w:r>
              <w:rPr>
                <w:sz w:val="20"/>
              </w:rPr>
              <w:t>High-activity hours</w:t>
            </w:r>
          </w:p>
        </w:tc>
      </w:tr>
    </w:tbl>
    <w:p/>
    <w:p>
      <w:pPr>
        <w:spacing w:after="160"/>
      </w:pPr>
      <w:r>
        <w:rPr>
          <w:b/>
          <w:color w:val="1F69C0"/>
          <w:sz w:val="20"/>
        </w:rPr>
        <w:t>[Screenshot: Clustering tab — Silhouette metrics table + K-Means PCA scatter plot]</w:t>
      </w:r>
    </w:p>
    <w:p>
      <w:pPr>
        <w:pStyle w:val="Heading2"/>
      </w:pPr>
      <w:r>
        <w:t>6.2 Regression Results</w:t>
      </w:r>
    </w:p>
    <w:p>
      <w:pPr>
        <w:spacing w:after="120"/>
      </w:pPr>
      <w:r>
        <w:rPr>
          <w:b w:val="0"/>
          <w:i w:val="0"/>
          <w:sz w:val="22"/>
        </w:rPr>
        <w:t>Models are evaluated using MAE (mean absolute error), RMSE (root mean squared error), and R² (coefficient of determination). RMSE penalizes large errors more heavily, which is important for energy spike prediction.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sz w:val="20"/>
              </w:rPr>
              <w:t>Model</w:t>
            </w:r>
          </w:p>
        </w:tc>
        <w:tc>
          <w:tcPr>
            <w:tcW w:type="dxa" w:w="2280"/>
          </w:tcPr>
          <w:p>
            <w:pPr>
              <w:jc w:val="center"/>
            </w:pPr>
            <w:r>
              <w:rPr>
                <w:b/>
                <w:sz w:val="20"/>
              </w:rPr>
              <w:t>MAE (kW)</w:t>
            </w:r>
          </w:p>
        </w:tc>
        <w:tc>
          <w:tcPr>
            <w:tcW w:type="dxa" w:w="2280"/>
          </w:tcPr>
          <w:p>
            <w:pPr>
              <w:jc w:val="center"/>
            </w:pPr>
            <w:r>
              <w:rPr>
                <w:b/>
                <w:sz w:val="20"/>
              </w:rPr>
              <w:t>RMSE (kW)</w:t>
            </w:r>
          </w:p>
        </w:tc>
        <w:tc>
          <w:tcPr>
            <w:tcW w:type="dxa" w:w="2280"/>
          </w:tcPr>
          <w:p>
            <w:pPr>
              <w:jc w:val="center"/>
            </w:pPr>
            <w:r>
              <w:rPr>
                <w:b/>
                <w:sz w:val="20"/>
              </w:rPr>
              <w:t>R²</w:t>
            </w:r>
          </w:p>
        </w:tc>
      </w:tr>
      <w:tr>
        <w:tc>
          <w:tcPr>
            <w:tcW w:type="dxa" w:w="2280"/>
          </w:tcPr>
          <w:p>
            <w:r>
              <w:rPr>
                <w:sz w:val="20"/>
              </w:rPr>
              <w:t>Polynomial Ridge</w:t>
            </w:r>
          </w:p>
        </w:tc>
        <w:tc>
          <w:tcPr>
            <w:tcW w:type="dxa" w:w="2280"/>
          </w:tcPr>
          <w:p>
            <w:r>
              <w:rPr>
                <w:sz w:val="20"/>
              </w:rPr>
              <w:t>0.370</w:t>
            </w:r>
          </w:p>
        </w:tc>
        <w:tc>
          <w:tcPr>
            <w:tcW w:type="dxa" w:w="2280"/>
          </w:tcPr>
          <w:p>
            <w:r>
              <w:rPr>
                <w:sz w:val="20"/>
              </w:rPr>
              <w:t>0.541</w:t>
            </w:r>
          </w:p>
        </w:tc>
        <w:tc>
          <w:tcPr>
            <w:tcW w:type="dxa" w:w="2280"/>
          </w:tcPr>
          <w:p>
            <w:r>
              <w:rPr>
                <w:sz w:val="20"/>
              </w:rPr>
              <w:t>0.633</w:t>
            </w:r>
          </w:p>
        </w:tc>
      </w:tr>
      <w:tr>
        <w:tc>
          <w:tcPr>
            <w:tcW w:type="dxa" w:w="2280"/>
          </w:tcPr>
          <w:p>
            <w:r>
              <w:rPr>
                <w:sz w:val="20"/>
              </w:rPr>
              <w:t>Linear Regression</w:t>
            </w:r>
          </w:p>
        </w:tc>
        <w:tc>
          <w:tcPr>
            <w:tcW w:type="dxa" w:w="2280"/>
          </w:tcPr>
          <w:p>
            <w:r>
              <w:rPr>
                <w:sz w:val="20"/>
              </w:rPr>
              <w:t>0.377</w:t>
            </w:r>
          </w:p>
        </w:tc>
        <w:tc>
          <w:tcPr>
            <w:tcW w:type="dxa" w:w="2280"/>
          </w:tcPr>
          <w:p>
            <w:r>
              <w:rPr>
                <w:sz w:val="20"/>
              </w:rPr>
              <w:t>0.556</w:t>
            </w:r>
          </w:p>
        </w:tc>
        <w:tc>
          <w:tcPr>
            <w:tcW w:type="dxa" w:w="2280"/>
          </w:tcPr>
          <w:p>
            <w:r>
              <w:rPr>
                <w:sz w:val="20"/>
              </w:rPr>
              <w:t>0.611</w:t>
            </w:r>
          </w:p>
        </w:tc>
      </w:tr>
      <w:tr>
        <w:tc>
          <w:tcPr>
            <w:tcW w:type="dxa" w:w="2280"/>
          </w:tcPr>
          <w:p>
            <w:r>
              <w:rPr>
                <w:sz w:val="20"/>
              </w:rPr>
              <w:t>Ridge Regression</w:t>
            </w:r>
          </w:p>
        </w:tc>
        <w:tc>
          <w:tcPr>
            <w:tcW w:type="dxa" w:w="2280"/>
          </w:tcPr>
          <w:p>
            <w:r>
              <w:rPr>
                <w:sz w:val="20"/>
              </w:rPr>
              <w:t>0.377</w:t>
            </w:r>
          </w:p>
        </w:tc>
        <w:tc>
          <w:tcPr>
            <w:tcW w:type="dxa" w:w="2280"/>
          </w:tcPr>
          <w:p>
            <w:r>
              <w:rPr>
                <w:sz w:val="20"/>
              </w:rPr>
              <w:t>0.557</w:t>
            </w:r>
          </w:p>
        </w:tc>
        <w:tc>
          <w:tcPr>
            <w:tcW w:type="dxa" w:w="2280"/>
          </w:tcPr>
          <w:p>
            <w:r>
              <w:rPr>
                <w:sz w:val="20"/>
              </w:rPr>
              <w:t>0.611</w:t>
            </w:r>
          </w:p>
        </w:tc>
      </w:tr>
    </w:tbl>
    <w:p/>
    <w:p>
      <w:pPr>
        <w:spacing w:after="120"/>
      </w:pPr>
      <w:r>
        <w:rPr>
          <w:b w:val="0"/>
          <w:i w:val="0"/>
          <w:sz w:val="22"/>
        </w:rPr>
        <w:t>Polynomial Ridge achieves the best performance across all three metrics on the full prepared dataset, capturing non-linear relationships between time, lag features, and consumption. An R² of 0.63 indicates that roughly 63% of hourly power variation is explained by the lag and time features alone, which is reasonable for a baseline academic model without weather or occupancy data.</w:t>
      </w:r>
    </w:p>
    <w:p>
      <w:pPr>
        <w:spacing w:after="120"/>
      </w:pPr>
      <w:r>
        <w:rPr>
          <w:i/>
          <w:color w:val="555555"/>
          <w:sz w:val="20"/>
        </w:rPr>
        <w:t>Note: Dashboard sample mode (1,666 rows) shows slightly different values due to the smaller date window. Full-dataset results from notebook execution are reported here as the authoritative numbers.</w:t>
      </w:r>
    </w:p>
    <w:p>
      <w:pPr>
        <w:spacing w:after="160"/>
      </w:pPr>
      <w:r>
        <w:rPr>
          <w:b/>
          <w:color w:val="1F69C0"/>
          <w:sz w:val="20"/>
        </w:rPr>
        <w:t>[Screenshot: Regression tab — Model comparison table and RMSE bar chart]</w:t>
      </w:r>
    </w:p>
    <w:p>
      <w:pPr>
        <w:pStyle w:val="Heading2"/>
      </w:pPr>
      <w:r>
        <w:t>6.3 Classification Results</w:t>
      </w:r>
    </w:p>
    <w:p>
      <w:pPr>
        <w:spacing w:after="120"/>
      </w:pPr>
      <w:r>
        <w:rPr>
          <w:b w:val="0"/>
          <w:i w:val="0"/>
          <w:sz w:val="22"/>
        </w:rPr>
        <w:t>Both classifiers achieve very high accuracy on the high-vs-normal consumption task. This is because the behavior feature set (including global_intensity and sub-metering totals) provides strong proxies for the global_active_power threshold used to define the label. The result is valid — the feature engineering produced a highly separable target.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sz w:val="20"/>
              </w:rPr>
              <w:t>Model</w:t>
            </w:r>
          </w:p>
        </w:tc>
        <w:tc>
          <w:tcPr>
            <w:tcW w:type="dxa" w:w="1824"/>
          </w:tcPr>
          <w:p>
            <w:pPr>
              <w:jc w:val="center"/>
            </w:pPr>
            <w:r>
              <w:rPr>
                <w:b/>
                <w:sz w:val="20"/>
              </w:rPr>
              <w:t>Accuracy</w:t>
            </w:r>
          </w:p>
        </w:tc>
        <w:tc>
          <w:tcPr>
            <w:tcW w:type="dxa" w:w="1824"/>
          </w:tcPr>
          <w:p>
            <w:pPr>
              <w:jc w:val="center"/>
            </w:pPr>
            <w:r>
              <w:rPr>
                <w:b/>
                <w:sz w:val="20"/>
              </w:rPr>
              <w:t>Precision (class 1)</w:t>
            </w:r>
          </w:p>
        </w:tc>
        <w:tc>
          <w:tcPr>
            <w:tcW w:type="dxa" w:w="1824"/>
          </w:tcPr>
          <w:p>
            <w:pPr>
              <w:jc w:val="center"/>
            </w:pPr>
            <w:r>
              <w:rPr>
                <w:b/>
                <w:sz w:val="20"/>
              </w:rPr>
              <w:t>Recall (class 1)</w:t>
            </w:r>
          </w:p>
        </w:tc>
        <w:tc>
          <w:tcPr>
            <w:tcW w:type="dxa" w:w="1824"/>
          </w:tcPr>
          <w:p>
            <w:pPr>
              <w:jc w:val="center"/>
            </w:pPr>
            <w:r>
              <w:rPr>
                <w:b/>
                <w:sz w:val="20"/>
              </w:rPr>
              <w:t>F1 (class 1)</w:t>
            </w:r>
          </w:p>
        </w:tc>
      </w:tr>
      <w:tr>
        <w:tc>
          <w:tcPr>
            <w:tcW w:type="dxa" w:w="1824"/>
          </w:tcPr>
          <w:p>
            <w:r>
              <w:rPr>
                <w:sz w:val="20"/>
              </w:rPr>
              <w:t>Logistic Regression</w:t>
            </w:r>
          </w:p>
        </w:tc>
        <w:tc>
          <w:tcPr>
            <w:tcW w:type="dxa" w:w="1824"/>
          </w:tcPr>
          <w:p>
            <w:r>
              <w:rPr>
                <w:sz w:val="20"/>
              </w:rPr>
              <w:t>99.77%</w:t>
            </w:r>
          </w:p>
        </w:tc>
        <w:tc>
          <w:tcPr>
            <w:tcW w:type="dxa" w:w="1824"/>
          </w:tcPr>
          <w:p>
            <w:r>
              <w:rPr>
                <w:sz w:val="20"/>
              </w:rPr>
              <w:t>1.00</w:t>
            </w:r>
          </w:p>
        </w:tc>
        <w:tc>
          <w:tcPr>
            <w:tcW w:type="dxa" w:w="1824"/>
          </w:tcPr>
          <w:p>
            <w:r>
              <w:rPr>
                <w:sz w:val="20"/>
              </w:rPr>
              <w:t>1.00</w:t>
            </w:r>
          </w:p>
        </w:tc>
        <w:tc>
          <w:tcPr>
            <w:tcW w:type="dxa" w:w="1824"/>
          </w:tcPr>
          <w:p>
            <w:r>
              <w:rPr>
                <w:sz w:val="20"/>
              </w:rPr>
              <w:t>1.00</w:t>
            </w:r>
          </w:p>
        </w:tc>
      </w:tr>
      <w:tr>
        <w:tc>
          <w:tcPr>
            <w:tcW w:type="dxa" w:w="1824"/>
          </w:tcPr>
          <w:p>
            <w:r>
              <w:rPr>
                <w:sz w:val="20"/>
              </w:rPr>
              <w:t>Random Forest</w:t>
            </w:r>
          </w:p>
        </w:tc>
        <w:tc>
          <w:tcPr>
            <w:tcW w:type="dxa" w:w="1824"/>
          </w:tcPr>
          <w:p>
            <w:r>
              <w:rPr>
                <w:sz w:val="20"/>
              </w:rPr>
              <w:t>99.57%</w:t>
            </w:r>
          </w:p>
        </w:tc>
        <w:tc>
          <w:tcPr>
            <w:tcW w:type="dxa" w:w="1824"/>
          </w:tcPr>
          <w:p>
            <w:r>
              <w:rPr>
                <w:sz w:val="20"/>
              </w:rPr>
              <w:t>0.99</w:t>
            </w:r>
          </w:p>
        </w:tc>
        <w:tc>
          <w:tcPr>
            <w:tcW w:type="dxa" w:w="1824"/>
          </w:tcPr>
          <w:p>
            <w:r>
              <w:rPr>
                <w:sz w:val="20"/>
              </w:rPr>
              <w:t>0.99</w:t>
            </w:r>
          </w:p>
        </w:tc>
        <w:tc>
          <w:tcPr>
            <w:tcW w:type="dxa" w:w="1824"/>
          </w:tcPr>
          <w:p>
            <w:r>
              <w:rPr>
                <w:sz w:val="20"/>
              </w:rPr>
              <w:t>0.99</w:t>
            </w:r>
          </w:p>
        </w:tc>
      </w:tr>
    </w:tbl>
    <w:p/>
    <w:p>
      <w:pPr>
        <w:spacing w:after="120"/>
      </w:pPr>
      <w:r>
        <w:rPr>
          <w:i/>
          <w:color w:val="555555"/>
          <w:sz w:val="20"/>
        </w:rPr>
        <w:t>Note: Dashboard sample mode shows Random Forest at 98.8% and Logistic Regression at 96.71%, reflecting the smaller date window. Full-dataset notebook results are reported here.</w:t>
      </w:r>
    </w:p>
    <w:p>
      <w:pPr>
        <w:spacing w:after="160"/>
      </w:pPr>
      <w:r>
        <w:rPr>
          <w:b/>
          <w:color w:val="1F69C0"/>
          <w:sz w:val="20"/>
        </w:rPr>
        <w:t>[Screenshot: Classification tab — Accuracy comparison table and classification report]</w:t>
      </w:r>
    </w:p>
    <w:p>
      <w:pPr>
        <w:pStyle w:val="Heading2"/>
      </w:pPr>
      <w:r>
        <w:t>6.4 Anomaly Detection Results</w:t>
      </w:r>
    </w:p>
    <w:p>
      <w:pPr>
        <w:spacing w:after="120"/>
      </w:pPr>
      <w:r>
        <w:rPr>
          <w:b w:val="0"/>
          <w:i w:val="0"/>
          <w:sz w:val="22"/>
        </w:rPr>
        <w:t>Isolation Forest flags 1.0% of all hours as anomalies (175 out of 17,477 on the full dataset). The top anomaly events concentrate in evening hours (19:00–21:00) during winter months, consistent with seasonal heavy HVAC usage.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tcPr>
          <w:p>
            <w:pPr>
              <w:jc w:val="center"/>
            </w:pPr>
            <w:r>
              <w:rPr>
                <w:b/>
                <w:sz w:val="20"/>
              </w:rPr>
              <w:t>Datetime</w:t>
            </w:r>
          </w:p>
        </w:tc>
        <w:tc>
          <w:tcPr>
            <w:tcW w:type="dxa" w:w="2280"/>
          </w:tcPr>
          <w:p>
            <w:pPr>
              <w:jc w:val="center"/>
            </w:pPr>
            <w:r>
              <w:rPr>
                <w:b/>
                <w:sz w:val="20"/>
              </w:rPr>
              <w:t>Active Power (kW)</w:t>
            </w:r>
          </w:p>
        </w:tc>
        <w:tc>
          <w:tcPr>
            <w:tcW w:type="dxa" w:w="2280"/>
          </w:tcPr>
          <w:p>
            <w:pPr>
              <w:jc w:val="center"/>
            </w:pPr>
            <w:r>
              <w:rPr>
                <w:b/>
                <w:sz w:val="20"/>
              </w:rPr>
              <w:t>Current (A)</w:t>
            </w:r>
          </w:p>
        </w:tc>
        <w:tc>
          <w:tcPr>
            <w:tcW w:type="dxa" w:w="2280"/>
          </w:tcPr>
          <w:p>
            <w:pPr>
              <w:jc w:val="center"/>
            </w:pPr>
            <w:r>
              <w:rPr>
                <w:b/>
                <w:sz w:val="20"/>
              </w:rPr>
              <w:t>Anomaly Score</w:t>
            </w:r>
          </w:p>
        </w:tc>
      </w:tr>
      <w:tr>
        <w:tc>
          <w:tcPr>
            <w:tcW w:type="dxa" w:w="2280"/>
          </w:tcPr>
          <w:p>
            <w:r>
              <w:rPr>
                <w:sz w:val="20"/>
              </w:rPr>
              <w:t>2007-12-23 19:00</w:t>
            </w:r>
          </w:p>
        </w:tc>
        <w:tc>
          <w:tcPr>
            <w:tcW w:type="dxa" w:w="2280"/>
          </w:tcPr>
          <w:p>
            <w:r>
              <w:rPr>
                <w:sz w:val="20"/>
              </w:rPr>
              <w:t>6.49</w:t>
            </w:r>
          </w:p>
        </w:tc>
        <w:tc>
          <w:tcPr>
            <w:tcW w:type="dxa" w:w="2280"/>
          </w:tcPr>
          <w:p>
            <w:r>
              <w:rPr>
                <w:sz w:val="20"/>
              </w:rPr>
              <w:t>27.94</w:t>
            </w:r>
          </w:p>
        </w:tc>
        <w:tc>
          <w:tcPr>
            <w:tcW w:type="dxa" w:w="2280"/>
          </w:tcPr>
          <w:p>
            <w:r>
              <w:rPr>
                <w:sz w:val="20"/>
              </w:rPr>
              <w:t>−0.081</w:t>
            </w:r>
          </w:p>
        </w:tc>
      </w:tr>
      <w:tr>
        <w:tc>
          <w:tcPr>
            <w:tcW w:type="dxa" w:w="2280"/>
          </w:tcPr>
          <w:p>
            <w:r>
              <w:rPr>
                <w:sz w:val="20"/>
              </w:rPr>
              <w:t>2008-02-02 19:00</w:t>
            </w:r>
          </w:p>
        </w:tc>
        <w:tc>
          <w:tcPr>
            <w:tcW w:type="dxa" w:w="2280"/>
          </w:tcPr>
          <w:p>
            <w:r>
              <w:rPr>
                <w:sz w:val="20"/>
              </w:rPr>
              <w:t>6.50</w:t>
            </w:r>
          </w:p>
        </w:tc>
        <w:tc>
          <w:tcPr>
            <w:tcW w:type="dxa" w:w="2280"/>
          </w:tcPr>
          <w:p>
            <w:r>
              <w:rPr>
                <w:sz w:val="20"/>
              </w:rPr>
              <w:t>28.20</w:t>
            </w:r>
          </w:p>
        </w:tc>
        <w:tc>
          <w:tcPr>
            <w:tcW w:type="dxa" w:w="2280"/>
          </w:tcPr>
          <w:p>
            <w:r>
              <w:rPr>
                <w:sz w:val="20"/>
              </w:rPr>
              <w:t>−0.081</w:t>
            </w:r>
          </w:p>
        </w:tc>
      </w:tr>
      <w:tr>
        <w:tc>
          <w:tcPr>
            <w:tcW w:type="dxa" w:w="2280"/>
          </w:tcPr>
          <w:p>
            <w:r>
              <w:rPr>
                <w:sz w:val="20"/>
              </w:rPr>
              <w:t>2007-02-03 19:00</w:t>
            </w:r>
          </w:p>
        </w:tc>
        <w:tc>
          <w:tcPr>
            <w:tcW w:type="dxa" w:w="2280"/>
          </w:tcPr>
          <w:p>
            <w:r>
              <w:rPr>
                <w:sz w:val="20"/>
              </w:rPr>
              <w:t>5.81</w:t>
            </w:r>
          </w:p>
        </w:tc>
        <w:tc>
          <w:tcPr>
            <w:tcW w:type="dxa" w:w="2280"/>
          </w:tcPr>
          <w:p>
            <w:r>
              <w:rPr>
                <w:sz w:val="20"/>
              </w:rPr>
              <w:t>25.33</w:t>
            </w:r>
          </w:p>
        </w:tc>
        <w:tc>
          <w:tcPr>
            <w:tcW w:type="dxa" w:w="2280"/>
          </w:tcPr>
          <w:p>
            <w:r>
              <w:rPr>
                <w:sz w:val="20"/>
              </w:rPr>
              <w:t>−0.072</w:t>
            </w:r>
          </w:p>
        </w:tc>
      </w:tr>
      <w:tr>
        <w:tc>
          <w:tcPr>
            <w:tcW w:type="dxa" w:w="2280"/>
          </w:tcPr>
          <w:p>
            <w:r>
              <w:rPr>
                <w:sz w:val="20"/>
              </w:rPr>
              <w:t>2007-03-31 10:00</w:t>
            </w:r>
          </w:p>
        </w:tc>
        <w:tc>
          <w:tcPr>
            <w:tcW w:type="dxa" w:w="2280"/>
          </w:tcPr>
          <w:p>
            <w:r>
              <w:rPr>
                <w:sz w:val="20"/>
              </w:rPr>
              <w:t>5.16</w:t>
            </w:r>
          </w:p>
        </w:tc>
        <w:tc>
          <w:tcPr>
            <w:tcW w:type="dxa" w:w="2280"/>
          </w:tcPr>
          <w:p>
            <w:r>
              <w:rPr>
                <w:sz w:val="20"/>
              </w:rPr>
              <w:t>22.24</w:t>
            </w:r>
          </w:p>
        </w:tc>
        <w:tc>
          <w:tcPr>
            <w:tcW w:type="dxa" w:w="2280"/>
          </w:tcPr>
          <w:p>
            <w:r>
              <w:rPr>
                <w:sz w:val="20"/>
              </w:rPr>
              <w:t>−0.064</w:t>
            </w:r>
          </w:p>
        </w:tc>
      </w:tr>
      <w:tr>
        <w:tc>
          <w:tcPr>
            <w:tcW w:type="dxa" w:w="2280"/>
          </w:tcPr>
          <w:p>
            <w:r>
              <w:rPr>
                <w:sz w:val="20"/>
              </w:rPr>
              <w:t>2007-01-21 20:00</w:t>
            </w:r>
          </w:p>
        </w:tc>
        <w:tc>
          <w:tcPr>
            <w:tcW w:type="dxa" w:w="2280"/>
          </w:tcPr>
          <w:p>
            <w:r>
              <w:rPr>
                <w:sz w:val="20"/>
              </w:rPr>
              <w:t>6.08</w:t>
            </w:r>
          </w:p>
        </w:tc>
        <w:tc>
          <w:tcPr>
            <w:tcW w:type="dxa" w:w="2280"/>
          </w:tcPr>
          <w:p>
            <w:r>
              <w:rPr>
                <w:sz w:val="20"/>
              </w:rPr>
              <w:t>26.32</w:t>
            </w:r>
          </w:p>
        </w:tc>
        <w:tc>
          <w:tcPr>
            <w:tcW w:type="dxa" w:w="2280"/>
          </w:tcPr>
          <w:p>
            <w:r>
              <w:rPr>
                <w:sz w:val="20"/>
              </w:rPr>
              <w:t>−0.060</w:t>
            </w:r>
          </w:p>
        </w:tc>
      </w:tr>
    </w:tbl>
    <w:p/>
    <w:p>
      <w:pPr>
        <w:spacing w:after="120"/>
      </w:pPr>
      <w:r>
        <w:rPr>
          <w:b w:val="0"/>
          <w:i w:val="0"/>
          <w:sz w:val="22"/>
        </w:rPr>
        <w:t>Anomalies correspond to the highest active power and current intensity readings in the dataset. The most anomalous event (2008-02-02 19:00) reached 6.50 kW and 28.2 A.</w:t>
      </w:r>
    </w:p>
    <w:p>
      <w:pPr>
        <w:spacing w:after="160"/>
      </w:pPr>
      <w:r>
        <w:rPr>
          <w:b/>
          <w:color w:val="1F69C0"/>
          <w:sz w:val="20"/>
        </w:rPr>
        <w:t>[Screenshot: Anomaly Detection tab — Scatter plot with anomaly points + top anomaly table]</w:t>
      </w:r>
    </w:p>
    <w:p>
      <w:pPr>
        <w:pStyle w:val="Heading2"/>
      </w:pPr>
      <w:r>
        <w:t>6.5 PCA Results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sz w:val="20"/>
              </w:rPr>
              <w:t>Component</w:t>
            </w:r>
          </w:p>
        </w:tc>
        <w:tc>
          <w:tcPr>
            <w:tcW w:type="dxa" w:w="3041"/>
          </w:tcPr>
          <w:p>
            <w:pPr>
              <w:jc w:val="center"/>
            </w:pPr>
            <w:r>
              <w:rPr>
                <w:b/>
                <w:sz w:val="20"/>
              </w:rPr>
              <w:t>Explained Variance</w:t>
            </w:r>
          </w:p>
        </w:tc>
        <w:tc>
          <w:tcPr>
            <w:tcW w:type="dxa" w:w="3041"/>
          </w:tcPr>
          <w:p>
            <w:pPr>
              <w:jc w:val="center"/>
            </w:pPr>
            <w:r>
              <w:rPr>
                <w:b/>
                <w:sz w:val="20"/>
              </w:rPr>
              <w:t>Cumulative Variance</w:t>
            </w:r>
          </w:p>
        </w:tc>
      </w:tr>
      <w:tr>
        <w:tc>
          <w:tcPr>
            <w:tcW w:type="dxa" w:w="3041"/>
          </w:tcPr>
          <w:p>
            <w:r>
              <w:rPr>
                <w:sz w:val="20"/>
              </w:rPr>
              <w:t>PC1</w:t>
            </w:r>
          </w:p>
        </w:tc>
        <w:tc>
          <w:tcPr>
            <w:tcW w:type="dxa" w:w="3041"/>
          </w:tcPr>
          <w:p>
            <w:r>
              <w:rPr>
                <w:sz w:val="20"/>
              </w:rPr>
              <w:t>33.3%</w:t>
            </w:r>
          </w:p>
        </w:tc>
        <w:tc>
          <w:tcPr>
            <w:tcW w:type="dxa" w:w="3041"/>
          </w:tcPr>
          <w:p>
            <w:r>
              <w:rPr>
                <w:sz w:val="20"/>
              </w:rPr>
              <w:t>33.3%</w:t>
            </w:r>
          </w:p>
        </w:tc>
      </w:tr>
      <w:tr>
        <w:tc>
          <w:tcPr>
            <w:tcW w:type="dxa" w:w="3041"/>
          </w:tcPr>
          <w:p>
            <w:r>
              <w:rPr>
                <w:sz w:val="20"/>
              </w:rPr>
              <w:t>PC2</w:t>
            </w:r>
          </w:p>
        </w:tc>
        <w:tc>
          <w:tcPr>
            <w:tcW w:type="dxa" w:w="3041"/>
          </w:tcPr>
          <w:p>
            <w:r>
              <w:rPr>
                <w:sz w:val="20"/>
              </w:rPr>
              <w:t>15.0%</w:t>
            </w:r>
          </w:p>
        </w:tc>
        <w:tc>
          <w:tcPr>
            <w:tcW w:type="dxa" w:w="3041"/>
          </w:tcPr>
          <w:p>
            <w:r>
              <w:rPr>
                <w:sz w:val="20"/>
              </w:rPr>
              <w:t>48.3%</w:t>
            </w:r>
          </w:p>
        </w:tc>
      </w:tr>
      <w:tr>
        <w:tc>
          <w:tcPr>
            <w:tcW w:type="dxa" w:w="3041"/>
          </w:tcPr>
          <w:p>
            <w:r>
              <w:rPr>
                <w:sz w:val="20"/>
              </w:rPr>
              <w:t>PC3</w:t>
            </w:r>
          </w:p>
        </w:tc>
        <w:tc>
          <w:tcPr>
            <w:tcW w:type="dxa" w:w="3041"/>
          </w:tcPr>
          <w:p>
            <w:r>
              <w:rPr>
                <w:sz w:val="20"/>
              </w:rPr>
              <w:t>9.0%</w:t>
            </w:r>
          </w:p>
        </w:tc>
        <w:tc>
          <w:tcPr>
            <w:tcW w:type="dxa" w:w="3041"/>
          </w:tcPr>
          <w:p>
            <w:r>
              <w:rPr>
                <w:sz w:val="20"/>
              </w:rPr>
              <w:t>57.3%</w:t>
            </w:r>
          </w:p>
        </w:tc>
      </w:tr>
    </w:tbl>
    <w:p/>
    <w:p>
      <w:pPr>
        <w:spacing w:after="120"/>
      </w:pPr>
      <w:r>
        <w:rPr>
          <w:b w:val="0"/>
          <w:i w:val="0"/>
          <w:sz w:val="22"/>
        </w:rPr>
        <w:t>PC1 captures the most variance and likely represents overall household load level (strongly correlated with global_intensity and sub_metering_total_wh). PC2 likely separates by time-of-day pattern. Three components together explain 57.3% of total feature variance.</w:t>
      </w:r>
    </w:p>
    <w:p>
      <w:r>
        <w:br w:type="page"/>
      </w:r>
    </w:p>
    <w:p>
      <w:pPr>
        <w:pStyle w:val="Heading1"/>
      </w:pPr>
      <w:r>
        <w:t>7. Deployment</w:t>
      </w:r>
    </w:p>
    <w:p>
      <w:pPr>
        <w:spacing w:after="120"/>
      </w:pPr>
      <w:r>
        <w:rPr>
          <w:b w:val="0"/>
          <w:i w:val="0"/>
          <w:sz w:val="22"/>
        </w:rPr>
        <w:t>The deployment layer is an interactive Streamlit dashboard (dashboard/app.py), accessible via a browser without requiring any data mining knowledge. The dashboard is also deployed to Streamlit Community Cloud using the streamlit_app.py entry point.</w:t>
      </w:r>
    </w:p>
    <w:p>
      <w:pPr>
        <w:pStyle w:val="Heading2"/>
      </w:pPr>
      <w:r>
        <w:t>7.1 Dashboard Sections</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sz w:val="20"/>
              </w:rPr>
              <w:t>Section</w:t>
            </w:r>
          </w:p>
        </w:tc>
        <w:tc>
          <w:tcPr>
            <w:tcW w:type="dxa" w:w="4561"/>
          </w:tcPr>
          <w:p>
            <w:pPr>
              <w:jc w:val="center"/>
            </w:pPr>
            <w:r>
              <w:rPr>
                <w:b/>
                <w:sz w:val="20"/>
              </w:rPr>
              <w:t>Content</w:t>
            </w:r>
          </w:p>
        </w:tc>
      </w:tr>
      <w:tr>
        <w:tc>
          <w:tcPr>
            <w:tcW w:type="dxa" w:w="4561"/>
          </w:tcPr>
          <w:p>
            <w:r>
              <w:rPr>
                <w:sz w:val="20"/>
              </w:rPr>
              <w:t>Overview</w:t>
            </w:r>
          </w:p>
        </w:tc>
        <w:tc>
          <w:tcPr>
            <w:tcW w:type="dxa" w:w="4561"/>
          </w:tcPr>
          <w:p>
            <w:r>
              <w:rPr>
                <w:sz w:val="20"/>
              </w:rPr>
              <w:t>Key metrics (rows, average power, peak power, missing values) and time-series chart</w:t>
            </w:r>
          </w:p>
        </w:tc>
      </w:tr>
      <w:tr>
        <w:tc>
          <w:tcPr>
            <w:tcW w:type="dxa" w:w="4561"/>
          </w:tcPr>
          <w:p>
            <w:r>
              <w:rPr>
                <w:sz w:val="20"/>
              </w:rPr>
              <w:t>Clustering</w:t>
            </w:r>
          </w:p>
        </w:tc>
        <w:tc>
          <w:tcPr>
            <w:tcW w:type="dxa" w:w="4561"/>
          </w:tcPr>
          <w:p>
            <w:r>
              <w:rPr>
                <w:sz w:val="20"/>
              </w:rPr>
              <w:t>Silhouette table, K-Means cluster profile, PCA scatter plot</w:t>
            </w:r>
          </w:p>
        </w:tc>
      </w:tr>
      <w:tr>
        <w:tc>
          <w:tcPr>
            <w:tcW w:type="dxa" w:w="4561"/>
          </w:tcPr>
          <w:p>
            <w:r>
              <w:rPr>
                <w:sz w:val="20"/>
              </w:rPr>
              <w:t>Regression</w:t>
            </w:r>
          </w:p>
        </w:tc>
        <w:tc>
          <w:tcPr>
            <w:tcW w:type="dxa" w:w="4561"/>
          </w:tcPr>
          <w:p>
            <w:r>
              <w:rPr>
                <w:sz w:val="20"/>
              </w:rPr>
              <w:t>Model comparison table and RMSE bar chart</w:t>
            </w:r>
          </w:p>
        </w:tc>
      </w:tr>
      <w:tr>
        <w:tc>
          <w:tcPr>
            <w:tcW w:type="dxa" w:w="4561"/>
          </w:tcPr>
          <w:p>
            <w:r>
              <w:rPr>
                <w:sz w:val="20"/>
              </w:rPr>
              <w:t>Classification</w:t>
            </w:r>
          </w:p>
        </w:tc>
        <w:tc>
          <w:tcPr>
            <w:tcW w:type="dxa" w:w="4561"/>
          </w:tcPr>
          <w:p>
            <w:r>
              <w:rPr>
                <w:sz w:val="20"/>
              </w:rPr>
              <w:t>Accuracy table and full classification report</w:t>
            </w:r>
          </w:p>
        </w:tc>
      </w:tr>
      <w:tr>
        <w:tc>
          <w:tcPr>
            <w:tcW w:type="dxa" w:w="4561"/>
          </w:tcPr>
          <w:p>
            <w:r>
              <w:rPr>
                <w:sz w:val="20"/>
              </w:rPr>
              <w:t>Anomaly Detection</w:t>
            </w:r>
          </w:p>
        </w:tc>
        <w:tc>
          <w:tcPr>
            <w:tcW w:type="dxa" w:w="4561"/>
          </w:tcPr>
          <w:p>
            <w:r>
              <w:rPr>
                <w:sz w:val="20"/>
              </w:rPr>
              <w:t>Scatter plot with flagged points and top anomaly table</w:t>
            </w:r>
          </w:p>
        </w:tc>
      </w:tr>
      <w:tr>
        <w:tc>
          <w:tcPr>
            <w:tcW w:type="dxa" w:w="4561"/>
          </w:tcPr>
          <w:p>
            <w:r>
              <w:rPr>
                <w:sz w:val="20"/>
              </w:rPr>
              <w:t>Business Insights</w:t>
            </w:r>
          </w:p>
        </w:tc>
        <w:tc>
          <w:tcPr>
            <w:tcW w:type="dxa" w:w="4561"/>
          </w:tcPr>
          <w:p>
            <w:r>
              <w:rPr>
                <w:sz w:val="20"/>
              </w:rPr>
              <w:t>Peak hour, high-consumption share, anomaly share, PCA table, recommendations</w:t>
            </w:r>
          </w:p>
        </w:tc>
      </w:tr>
    </w:tbl>
    <w:p/>
    <w:p>
      <w:pPr>
        <w:pStyle w:val="Heading2"/>
      </w:pPr>
      <w:r>
        <w:t>7.2 Global Filters</w:t>
      </w:r>
    </w:p>
    <w:p>
      <w:pPr>
        <w:pStyle w:val="ListBullet"/>
        <w:spacing w:after="80"/>
        <w:ind w:left="360"/>
      </w:pPr>
      <w:r>
        <w:t>Date range selector: filters all sections to the selected period</w:t>
      </w:r>
    </w:p>
    <w:p>
      <w:pPr>
        <w:pStyle w:val="ListBullet"/>
        <w:spacing w:after="80"/>
        <w:ind w:left="360"/>
      </w:pPr>
      <w:r>
        <w:t>Sample mode toggle: switches between 100k-row sample (fast, cloud) and full dataset (local)</w:t>
      </w:r>
    </w:p>
    <w:p>
      <w:pPr>
        <w:spacing w:after="120"/>
      </w:pPr>
      <w:r>
        <w:rPr>
          <w:i/>
          <w:color w:val="555555"/>
          <w:sz w:val="20"/>
        </w:rPr>
        <w:t>Note: Dashboard sample mode (2006-12-16 to 2007-02-24) is the default for cloud performance. Full dataset mode loads all 17,477 hourly rows.</w:t>
      </w:r>
    </w:p>
    <w:p>
      <w:pPr>
        <w:spacing w:after="160"/>
      </w:pPr>
      <w:r>
        <w:rPr>
          <w:b/>
          <w:color w:val="1F69C0"/>
          <w:sz w:val="20"/>
        </w:rPr>
        <w:t>[Screenshot: Overview tab — Full metrics panel and date range filter]</w:t>
      </w:r>
    </w:p>
    <w:p>
      <w:pPr>
        <w:spacing w:after="160"/>
      </w:pPr>
      <w:r>
        <w:rPr>
          <w:b/>
          <w:color w:val="1F69C0"/>
          <w:sz w:val="20"/>
        </w:rPr>
        <w:t>[Screenshot: Business Insights tab — Peak hour, high-consumption share, anomaly share, recommendations]</w:t>
      </w:r>
    </w:p>
    <w:p>
      <w:r>
        <w:br w:type="page"/>
      </w:r>
    </w:p>
    <w:p>
      <w:pPr>
        <w:pStyle w:val="Heading1"/>
      </w:pPr>
      <w:r>
        <w:t>8. Business Insights</w:t>
      </w:r>
    </w:p>
    <w:p>
      <w:pPr>
        <w:pStyle w:val="Heading2"/>
      </w:pPr>
      <w:r>
        <w:t>8.1 Key Findings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sz w:val="20"/>
              </w:rPr>
              <w:t>Finding</w:t>
            </w:r>
          </w:p>
        </w:tc>
        <w:tc>
          <w:tcPr>
            <w:tcW w:type="dxa" w:w="3041"/>
          </w:tcPr>
          <w:p>
            <w:pPr>
              <w:jc w:val="center"/>
            </w:pPr>
            <w:r>
              <w:rPr>
                <w:b/>
                <w:sz w:val="20"/>
              </w:rPr>
              <w:t>Value</w:t>
            </w:r>
          </w:p>
        </w:tc>
        <w:tc>
          <w:tcPr>
            <w:tcW w:type="dxa" w:w="3041"/>
          </w:tcPr>
          <w:p>
            <w:pPr>
              <w:jc w:val="center"/>
            </w:pPr>
            <w:r>
              <w:rPr>
                <w:b/>
                <w:sz w:val="20"/>
              </w:rPr>
              <w:t>Source</w:t>
            </w:r>
          </w:p>
        </w:tc>
      </w:tr>
      <w:tr>
        <w:tc>
          <w:tcPr>
            <w:tcW w:type="dxa" w:w="3041"/>
          </w:tcPr>
          <w:p>
            <w:r>
              <w:rPr>
                <w:sz w:val="20"/>
              </w:rPr>
              <w:t>Peak consumption hour</w:t>
            </w:r>
          </w:p>
        </w:tc>
        <w:tc>
          <w:tcPr>
            <w:tcW w:type="dxa" w:w="3041"/>
          </w:tcPr>
          <w:p>
            <w:r>
              <w:rPr>
                <w:sz w:val="20"/>
              </w:rPr>
              <w:t>21:00 (full dataset) / 20:00 (sample mode)</w:t>
            </w:r>
          </w:p>
        </w:tc>
        <w:tc>
          <w:tcPr>
            <w:tcW w:type="dxa" w:w="3041"/>
          </w:tcPr>
          <w:p>
            <w:r>
              <w:rPr>
                <w:sz w:val="20"/>
              </w:rPr>
              <w:t>Business Insights tab</w:t>
            </w:r>
          </w:p>
        </w:tc>
      </w:tr>
      <w:tr>
        <w:tc>
          <w:tcPr>
            <w:tcW w:type="dxa" w:w="3041"/>
          </w:tcPr>
          <w:p>
            <w:r>
              <w:rPr>
                <w:sz w:val="20"/>
              </w:rPr>
              <w:t>Average active power</w:t>
            </w:r>
          </w:p>
        </w:tc>
        <w:tc>
          <w:tcPr>
            <w:tcW w:type="dxa" w:w="3041"/>
          </w:tcPr>
          <w:p>
            <w:r>
              <w:rPr>
                <w:sz w:val="20"/>
              </w:rPr>
              <w:t>1.106 kW (full) / 1.647 kW (sample)</w:t>
            </w:r>
          </w:p>
        </w:tc>
        <w:tc>
          <w:tcPr>
            <w:tcW w:type="dxa" w:w="3041"/>
          </w:tcPr>
          <w:p>
            <w:r>
              <w:rPr>
                <w:sz w:val="20"/>
              </w:rPr>
              <w:t>Overview tab</w:t>
            </w:r>
          </w:p>
        </w:tc>
      </w:tr>
      <w:tr>
        <w:tc>
          <w:tcPr>
            <w:tcW w:type="dxa" w:w="3041"/>
          </w:tcPr>
          <w:p>
            <w:r>
              <w:rPr>
                <w:sz w:val="20"/>
              </w:rPr>
              <w:t>Peak active power</w:t>
            </w:r>
          </w:p>
        </w:tc>
        <w:tc>
          <w:tcPr>
            <w:tcW w:type="dxa" w:w="3041"/>
          </w:tcPr>
          <w:p>
            <w:r>
              <w:rPr>
                <w:sz w:val="20"/>
              </w:rPr>
              <w:t>6.560 kW (full) / 6.364 kW (sample)</w:t>
            </w:r>
          </w:p>
        </w:tc>
        <w:tc>
          <w:tcPr>
            <w:tcW w:type="dxa" w:w="3041"/>
          </w:tcPr>
          <w:p>
            <w:r>
              <w:rPr>
                <w:sz w:val="20"/>
              </w:rPr>
              <w:t>Overview tab</w:t>
            </w:r>
          </w:p>
        </w:tc>
      </w:tr>
      <w:tr>
        <w:tc>
          <w:tcPr>
            <w:tcW w:type="dxa" w:w="3041"/>
          </w:tcPr>
          <w:p>
            <w:r>
              <w:rPr>
                <w:sz w:val="20"/>
              </w:rPr>
              <w:t>High consumption share</w:t>
            </w:r>
          </w:p>
        </w:tc>
        <w:tc>
          <w:tcPr>
            <w:tcW w:type="dxa" w:w="3041"/>
          </w:tcPr>
          <w:p>
            <w:r>
              <w:rPr>
                <w:sz w:val="20"/>
              </w:rPr>
              <w:t>25.0% (full, by quartile definition)</w:t>
            </w:r>
          </w:p>
        </w:tc>
        <w:tc>
          <w:tcPr>
            <w:tcW w:type="dxa" w:w="3041"/>
          </w:tcPr>
          <w:p>
            <w:r>
              <w:rPr>
                <w:sz w:val="20"/>
              </w:rPr>
              <w:t>Data Preparation</w:t>
            </w:r>
          </w:p>
        </w:tc>
      </w:tr>
      <w:tr>
        <w:tc>
          <w:tcPr>
            <w:tcW w:type="dxa" w:w="3041"/>
          </w:tcPr>
          <w:p>
            <w:r>
              <w:rPr>
                <w:sz w:val="20"/>
              </w:rPr>
              <w:t>Detected anomaly share</w:t>
            </w:r>
          </w:p>
        </w:tc>
        <w:tc>
          <w:tcPr>
            <w:tcW w:type="dxa" w:w="3041"/>
          </w:tcPr>
          <w:p>
            <w:r>
              <w:rPr>
                <w:sz w:val="20"/>
              </w:rPr>
              <w:t>1.0%</w:t>
            </w:r>
          </w:p>
        </w:tc>
        <w:tc>
          <w:tcPr>
            <w:tcW w:type="dxa" w:w="3041"/>
          </w:tcPr>
          <w:p>
            <w:r>
              <w:rPr>
                <w:sz w:val="20"/>
              </w:rPr>
              <w:t>Anomaly Detection</w:t>
            </w:r>
          </w:p>
        </w:tc>
      </w:tr>
    </w:tbl>
    <w:p/>
    <w:p>
      <w:pPr>
        <w:pStyle w:val="Heading2"/>
      </w:pPr>
      <w:r>
        <w:t>8.2 Recommendations</w:t>
      </w:r>
    </w:p>
    <w:p>
      <w:pPr>
        <w:pStyle w:val="ListBullet"/>
        <w:spacing w:after="80"/>
        <w:ind w:left="360"/>
      </w:pPr>
      <w:r>
        <w:t>Shift heavy appliance use (laundry, dishwashers) away from the 19:00–22:00 evening peak window.</w:t>
      </w:r>
    </w:p>
    <w:p>
      <w:pPr>
        <w:pStyle w:val="ListBullet"/>
        <w:spacing w:after="80"/>
        <w:ind w:left="360"/>
      </w:pPr>
      <w:r>
        <w:t>Investigate anomaly hours flagged with high active power and high current intensity — these may represent unusual appliance events or faults.</w:t>
      </w:r>
    </w:p>
    <w:p>
      <w:pPr>
        <w:pStyle w:val="ListBullet"/>
        <w:spacing w:after="80"/>
        <w:ind w:left="360"/>
      </w:pPr>
      <w:r>
        <w:t>Sub-metering data identifies which appliance category (kitchen, laundry, HVAC) drives consumption. Targeting the highest-metered category yields the biggest efficiency gains.</w:t>
      </w:r>
    </w:p>
    <w:p>
      <w:pPr>
        <w:pStyle w:val="ListBullet"/>
        <w:spacing w:after="80"/>
        <w:ind w:left="360"/>
      </w:pPr>
      <w:r>
        <w:t>Use the high-consumption classification model as the basis for a simple household energy alert system.</w:t>
      </w:r>
    </w:p>
    <w:p>
      <w:pPr>
        <w:pStyle w:val="ListBullet"/>
        <w:spacing w:after="80"/>
        <w:ind w:left="360"/>
      </w:pPr>
      <w:r>
        <w:t>Cluster 2 (high-activity hours) appears during mid-afternoon and contains a mix of weekday and weekend hours — heavy usage is not exclusively an evening event.</w:t>
      </w:r>
    </w:p>
    <w:p>
      <w:r>
        <w:br w:type="page"/>
      </w:r>
    </w:p>
    <w:p>
      <w:pPr>
        <w:pStyle w:val="Heading1"/>
      </w:pPr>
      <w:r>
        <w:t>9. Limitations</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sz w:val="20"/>
              </w:rPr>
              <w:t>Limitation</w:t>
            </w:r>
          </w:p>
        </w:tc>
        <w:tc>
          <w:tcPr>
            <w:tcW w:type="dxa" w:w="4561"/>
          </w:tcPr>
          <w:p>
            <w:pPr>
              <w:jc w:val="center"/>
            </w:pPr>
            <w:r>
              <w:rPr>
                <w:b/>
                <w:sz w:val="20"/>
              </w:rPr>
              <w:t>Impact</w:t>
            </w:r>
          </w:p>
        </w:tc>
      </w:tr>
      <w:tr>
        <w:tc>
          <w:tcPr>
            <w:tcW w:type="dxa" w:w="4561"/>
          </w:tcPr>
          <w:p>
            <w:r>
              <w:rPr>
                <w:sz w:val="20"/>
              </w:rPr>
              <w:t>Single-household dataset</w:t>
            </w:r>
          </w:p>
        </w:tc>
        <w:tc>
          <w:tcPr>
            <w:tcW w:type="dxa" w:w="4561"/>
          </w:tcPr>
          <w:p>
            <w:r>
              <w:rPr>
                <w:sz w:val="20"/>
              </w:rPr>
              <w:t>Findings are not generalizable to other households or regions</w:t>
            </w:r>
          </w:p>
        </w:tc>
      </w:tr>
      <w:tr>
        <w:tc>
          <w:tcPr>
            <w:tcW w:type="dxa" w:w="4561"/>
          </w:tcPr>
          <w:p>
            <w:r>
              <w:rPr>
                <w:sz w:val="20"/>
              </w:rPr>
              <w:t>No weather data</w:t>
            </w:r>
          </w:p>
        </w:tc>
        <w:tc>
          <w:tcPr>
            <w:tcW w:type="dxa" w:w="4561"/>
          </w:tcPr>
          <w:p>
            <w:r>
              <w:rPr>
                <w:sz w:val="20"/>
              </w:rPr>
              <w:t>Cannot separate seasonal demand from behavioral changes</w:t>
            </w:r>
          </w:p>
        </w:tc>
      </w:tr>
      <w:tr>
        <w:tc>
          <w:tcPr>
            <w:tcW w:type="dxa" w:w="4561"/>
          </w:tcPr>
          <w:p>
            <w:r>
              <w:rPr>
                <w:sz w:val="20"/>
              </w:rPr>
              <w:t>No occupancy data</w:t>
            </w:r>
          </w:p>
        </w:tc>
        <w:tc>
          <w:tcPr>
            <w:tcW w:type="dxa" w:w="4561"/>
          </w:tcPr>
          <w:p>
            <w:r>
              <w:rPr>
                <w:sz w:val="20"/>
              </w:rPr>
              <w:t>Cannot distinguish empty vs. occupied periods</w:t>
            </w:r>
          </w:p>
        </w:tc>
      </w:tr>
      <w:tr>
        <w:tc>
          <w:tcPr>
            <w:tcW w:type="dxa" w:w="4561"/>
          </w:tcPr>
          <w:p>
            <w:r>
              <w:rPr>
                <w:sz w:val="20"/>
              </w:rPr>
              <w:t>No tariff or pricing data</w:t>
            </w:r>
          </w:p>
        </w:tc>
        <w:tc>
          <w:tcPr>
            <w:tcW w:type="dxa" w:w="4561"/>
          </w:tcPr>
          <w:p>
            <w:r>
              <w:rPr>
                <w:sz w:val="20"/>
              </w:rPr>
              <w:t>Cannot estimate financial savings from behavioral changes</w:t>
            </w:r>
          </w:p>
        </w:tc>
      </w:tr>
      <w:tr>
        <w:tc>
          <w:tcPr>
            <w:tcW w:type="dxa" w:w="4561"/>
          </w:tcPr>
          <w:p>
            <w:r>
              <w:rPr>
                <w:sz w:val="20"/>
              </w:rPr>
              <w:t>Local CSV coverage</w:t>
            </w:r>
          </w:p>
        </w:tc>
        <w:tc>
          <w:tcPr>
            <w:tcW w:type="dxa" w:w="4561"/>
          </w:tcPr>
          <w:p>
            <w:r>
              <w:rPr>
                <w:sz w:val="20"/>
              </w:rPr>
              <w:t>Results reflect the working local file, not the full public dataset period</w:t>
            </w:r>
          </w:p>
        </w:tc>
      </w:tr>
      <w:tr>
        <w:tc>
          <w:tcPr>
            <w:tcW w:type="dxa" w:w="4561"/>
          </w:tcPr>
          <w:p>
            <w:r>
              <w:rPr>
                <w:sz w:val="20"/>
              </w:rPr>
              <w:t>Baseline models</w:t>
            </w:r>
          </w:p>
        </w:tc>
        <w:tc>
          <w:tcPr>
            <w:tcW w:type="dxa" w:w="4561"/>
          </w:tcPr>
          <w:p>
            <w:r>
              <w:rPr>
                <w:sz w:val="20"/>
              </w:rPr>
              <w:t>Not production forecasting systems; performance will improve with richer data and tuning</w:t>
            </w:r>
          </w:p>
        </w:tc>
      </w:tr>
      <w:tr>
        <w:tc>
          <w:tcPr>
            <w:tcW w:type="dxa" w:w="4561"/>
          </w:tcPr>
          <w:p>
            <w:r>
              <w:rPr>
                <w:sz w:val="20"/>
              </w:rPr>
              <w:t>High classification accuracy</w:t>
            </w:r>
          </w:p>
        </w:tc>
        <w:tc>
          <w:tcPr>
            <w:tcW w:type="dxa" w:w="4561"/>
          </w:tcPr>
          <w:p>
            <w:r>
              <w:rPr>
                <w:sz w:val="20"/>
              </w:rPr>
              <w:t>Near-perfect accuracy is due to feature-label correlation, not model sophistication</w:t>
            </w:r>
          </w:p>
        </w:tc>
      </w:tr>
    </w:tbl>
    <w:p/>
    <w:p>
      <w:r>
        <w:br w:type="page"/>
      </w:r>
    </w:p>
    <w:p>
      <w:pPr>
        <w:pStyle w:val="Heading1"/>
      </w:pPr>
      <w:r>
        <w:t>10. Future Work</w:t>
      </w:r>
    </w:p>
    <w:p>
      <w:pPr>
        <w:pStyle w:val="ListBullet"/>
        <w:spacing w:after="80"/>
        <w:ind w:left="360"/>
      </w:pPr>
      <w:r>
        <w:t>Incorporate weather and temperature as external features to separate seasonal and behavioral effects.</w:t>
      </w:r>
    </w:p>
    <w:p>
      <w:pPr>
        <w:pStyle w:val="ListBullet"/>
        <w:spacing w:after="80"/>
        <w:ind w:left="360"/>
      </w:pPr>
      <w:r>
        <w:t>Add tariff and pricing data to quantify the financial value of consumption shifts.</w:t>
      </w:r>
    </w:p>
    <w:p>
      <w:pPr>
        <w:pStyle w:val="ListBullet"/>
        <w:spacing w:after="80"/>
        <w:ind w:left="360"/>
      </w:pPr>
      <w:r>
        <w:t>Apply deeper time-series forecasting models such as LSTM, Prophet, or XGBoost with a richer lag structure.</w:t>
      </w:r>
    </w:p>
    <w:p>
      <w:pPr>
        <w:pStyle w:val="ListBullet"/>
        <w:spacing w:after="80"/>
        <w:ind w:left="360"/>
      </w:pPr>
      <w:r>
        <w:t>Deploy the dashboard with cached model outputs for faster cloud startup and better user experience.</w:t>
      </w:r>
    </w:p>
    <w:p>
      <w:pPr>
        <w:pStyle w:val="ListBullet"/>
        <w:spacing w:after="80"/>
        <w:ind w:left="360"/>
      </w:pPr>
      <w:r>
        <w:t>Extend the analysis to multi-household comparison datasets to derive more generalizable insights.</w:t>
      </w:r>
    </w:p>
    <w:p>
      <w:pPr>
        <w:pStyle w:val="ListBullet"/>
        <w:spacing w:after="80"/>
        <w:ind w:left="360"/>
      </w:pPr>
      <w:r>
        <w:t>Add real-time user alerts for high-consumption hours and anomaly events.</w:t>
      </w:r>
    </w:p>
    <w:p>
      <w:pPr>
        <w:pStyle w:val="ListBullet"/>
        <w:spacing w:after="80"/>
        <w:ind w:left="360"/>
      </w:pPr>
      <w:r>
        <w:t>Explore association rule mining to identify co-occurring appliance usage patterns.</w:t>
      </w:r>
    </w:p>
    <w:p>
      <w:r>
        <w:br w:type="page"/>
      </w:r>
    </w:p>
    <w:p>
      <w:pPr>
        <w:pStyle w:val="Heading1"/>
      </w:pPr>
      <w:r>
        <w:t>11. Conclusion</w:t>
      </w:r>
    </w:p>
    <w:p>
      <w:pPr>
        <w:spacing w:after="120"/>
      </w:pPr>
      <w:r>
        <w:rPr>
          <w:b w:val="0"/>
          <w:i w:val="0"/>
          <w:sz w:val="22"/>
        </w:rPr>
        <w:t>This project demonstrated a complete CRISP-DM data mining cycle applied to household electricity consumption. Starting from raw minute-level meter readings, the workflow produced a clean hourly dataset, trained and evaluated four categories of models, and delivered the results through an interactive Streamlit dashboard.</w:t>
      </w:r>
    </w:p>
    <w:p>
      <w:pPr>
        <w:spacing w:after="120"/>
      </w:pPr>
      <w:r>
        <w:rPr>
          <w:b w:val="0"/>
          <w:i w:val="0"/>
          <w:sz w:val="22"/>
        </w:rPr>
        <w:t>The key findings are: peak consumption occurs in the evening (around 20:00–21:00); clustering identifies three distinct behavioral segments; Polynomial Ridge regression explains approximately 63% of hourly power variation using lag and time features; both classifiers identify high-consumption hours with over 99% accuracy; and Isolation Forest flags 1% of hours as anomalous, with the most extreme events concentrated in winter evenings.</w:t>
      </w:r>
    </w:p>
    <w:p>
      <w:pPr>
        <w:spacing w:after="120"/>
      </w:pPr>
      <w:r>
        <w:rPr>
          <w:b w:val="0"/>
          <w:i w:val="0"/>
          <w:sz w:val="22"/>
        </w:rPr>
        <w:t>The most actionable recommendation is shifting heavy appliance usage away from the 19:00–22:00 peak window. With the addition of weather, occupancy, and tariff data, the same framework could support richer personalized energy management and real-time household alerts.</w:t>
      </w:r>
    </w:p>
    <w:p>
      <w:pPr>
        <w:spacing w:after="120"/>
      </w:pPr>
      <w:r>
        <w:rPr>
          <w:b w:val="0"/>
          <w:i w:val="0"/>
          <w:sz w:val="22"/>
        </w:rPr>
        <w:t>The goal of this project was not perfect accuracy but a reproducible, interpretable, and professionally delivered data mining study. That goal was met.</w:t>
      </w:r>
    </w:p>
    <w:p>
      <w:r>
        <w:br w:type="page"/>
      </w:r>
    </w:p>
    <w:p>
      <w:pPr>
        <w:pStyle w:val="Heading1"/>
      </w:pPr>
      <w:r>
        <w:t>12. References</w:t>
      </w:r>
    </w:p>
    <w:p>
      <w:pPr>
        <w:pStyle w:val="ListBullet"/>
        <w:spacing w:after="80"/>
        <w:ind w:left="360"/>
      </w:pPr>
      <w:r>
        <w:t>[1] Dua, D. and Graff, C. (2019). UCI Machine Learning Repository. University of California, Irvine. https://archive.ics.uci.edu/ml</w:t>
      </w:r>
    </w:p>
    <w:p>
      <w:pPr>
        <w:pStyle w:val="ListBullet"/>
        <w:spacing w:after="80"/>
        <w:ind w:left="360"/>
      </w:pPr>
      <w:r>
        <w:t>[2] Heagerty, G. (2006). Individual Household Electric Power Consumption Dataset. UCI Machine Learning Repository.</w:t>
      </w:r>
    </w:p>
    <w:p>
      <w:pPr>
        <w:pStyle w:val="ListBullet"/>
        <w:spacing w:after="80"/>
        <w:ind w:left="360"/>
      </w:pPr>
      <w:r>
        <w:t>[3] Chapman, P., Clinton, J., Kerber, R., Khabaza, T., Reinartz, T., Shearer, C., and Wirth, R. (2000). CRISP-DM 1.0: Step-by-step data mining guide. SPSS.</w:t>
      </w:r>
    </w:p>
    <w:p>
      <w:pPr>
        <w:pStyle w:val="ListBullet"/>
        <w:spacing w:after="80"/>
        <w:ind w:left="360"/>
      </w:pPr>
      <w:r>
        <w:t>[4] Pedregosa, F., Varoquaux, G., Gramfort, A., Michel, V., Thirion, B., Grisel, O., … and Duchesnay, E. (2011). Scikit-learn: Machine Learning in Python. Journal of Machine Learning Research, 12, 2825–2830.</w:t>
      </w:r>
    </w:p>
    <w:p>
      <w:pPr>
        <w:pStyle w:val="ListBullet"/>
        <w:spacing w:after="80"/>
        <w:ind w:left="360"/>
      </w:pPr>
      <w:r>
        <w:t>[5] Streamlit Inc. (2023). Streamlit Documentation. https://docs.streamlit.io</w:t>
      </w:r>
    </w:p>
    <w:p>
      <w:pPr>
        <w:pStyle w:val="ListBullet"/>
        <w:spacing w:after="80"/>
        <w:ind w:left="360"/>
      </w:pPr>
      <w:r>
        <w:t>[6] McKinney, W. (2010). Data Structures for Statistical Computing in Python. Proceedings of the 9th Python in Science Conference.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