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</w:t>
      </w:r>
      <w:r w:rsidDel="00000000" w:rsidR="00000000" w:rsidRPr="00000000">
        <w:rPr>
          <w:b w:val="1"/>
          <w:u w:val="single"/>
          <w:rtl w:val="1"/>
        </w:rPr>
        <w:t xml:space="preserve"> – </w:t>
      </w:r>
      <w:r w:rsidDel="00000000" w:rsidR="00000000" w:rsidRPr="00000000">
        <w:rPr>
          <w:b w:val="1"/>
          <w:u w:val="single"/>
          <w:rtl w:val="1"/>
        </w:rPr>
        <w:t xml:space="preserve">הגדרת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תגיות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ומאפיינים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נפוצים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h1, h2, h3, h4, h5, h6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43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F5tqMyCx+dt01G/kY3wCxRrSFQ==">AMUW2mXLrgMvxieasoCXSv6wIme2F11ILvvHAzIDgmHpAZO9WRLcLbqSk4q9vzHRPkGRq8eziF6HNa+tKGzBRODzdKck273NBI9sUhIAq4iRBMX01LkOh54=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2020-10-23T10:21:00Z</dcterms:created>
  <dc:creator>Assaf Finkelshtein</dc:creator>
</cp:coreProperties>
</file>